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24C6A">
      <w:pPr>
        <w:pStyle w:val="centeredARTICLE"/>
        <w:rPr>
          <w:rFonts w:ascii="Arial" w:hAnsi="Arial" w:cs="Arial"/>
        </w:rPr>
      </w:pPr>
      <w:bookmarkStart w:id="0" w:name="_GoBack"/>
      <w:bookmarkEnd w:id="0"/>
      <w:r>
        <w:rPr>
          <w:rFonts w:ascii="Arial" w:hAnsi="Arial" w:cs="Arial"/>
        </w:rPr>
        <w:t>Artikel</w:t>
      </w:r>
      <w:r>
        <w:rPr>
          <w:rFonts w:ascii="Arial" w:hAnsi="Arial" w:cs="Arial"/>
        </w:rPr>
        <w:t> </w:t>
      </w:r>
      <w:r>
        <w:rPr>
          <w:rFonts w:ascii="Arial" w:hAnsi="Arial" w:cs="Arial"/>
        </w:rPr>
        <w:t>1</w:t>
      </w:r>
    </w:p>
    <w:p w:rsidR="00000000" w:rsidRDefault="00224C6A">
      <w:pPr>
        <w:pStyle w:val="BodyTextNL"/>
        <w:rPr>
          <w:rFonts w:ascii="Arial" w:hAnsi="Arial" w:cs="Arial"/>
        </w:rPr>
      </w:pPr>
      <w:r>
        <w:rPr>
          <w:rFonts w:ascii="Arial" w:hAnsi="Arial" w:cs="Arial"/>
        </w:rPr>
        <w:t>Deze wet regelt een aangelegenheid als bedoeld in artikel</w:t>
      </w:r>
      <w:r>
        <w:rPr>
          <w:rFonts w:ascii="Arial" w:hAnsi="Arial" w:cs="Arial"/>
        </w:rPr>
        <w:t> </w:t>
      </w:r>
      <w:r>
        <w:rPr>
          <w:rFonts w:ascii="Arial" w:hAnsi="Arial" w:cs="Arial"/>
        </w:rPr>
        <w:t>74 van de Grondwet.</w:t>
      </w:r>
    </w:p>
    <w:p w:rsidR="00000000" w:rsidRDefault="00224C6A">
      <w:pPr>
        <w:pStyle w:val="centeredARTICLE"/>
        <w:rPr>
          <w:rFonts w:ascii="Arial" w:hAnsi="Arial" w:cs="Arial"/>
        </w:rPr>
      </w:pPr>
      <w:r>
        <w:rPr>
          <w:rFonts w:ascii="Arial" w:hAnsi="Arial" w:cs="Arial"/>
          <w:u w:val="thick"/>
        </w:rPr>
        <w:t>Art.</w:t>
      </w:r>
      <w:r>
        <w:rPr>
          <w:rFonts w:ascii="Arial" w:hAnsi="Arial" w:cs="Arial"/>
          <w:u w:val="thick"/>
        </w:rPr>
        <w:t> </w:t>
      </w:r>
      <w:r>
        <w:rPr>
          <w:rFonts w:ascii="Arial" w:hAnsi="Arial" w:cs="Arial"/>
          <w:u w:val="thick"/>
        </w:rPr>
        <w:t>2</w:t>
      </w:r>
      <w:r>
        <w:rPr>
          <w:rFonts w:ascii="Arial" w:hAnsi="Arial" w:cs="Arial"/>
        </w:rPr>
        <w:t xml:space="preserve"> (</w:t>
      </w:r>
      <w:r>
        <w:rPr>
          <w:rFonts w:ascii="Arial" w:hAnsi="Arial" w:cs="Arial"/>
          <w:i/>
          <w:iCs/>
        </w:rPr>
        <w:t>nieuw</w:t>
      </w:r>
      <w:r>
        <w:rPr>
          <w:rFonts w:ascii="Arial" w:hAnsi="Arial" w:cs="Arial"/>
        </w:rPr>
        <w:t>)</w:t>
      </w:r>
    </w:p>
    <w:p w:rsidR="00000000" w:rsidRDefault="00224C6A">
      <w:pPr>
        <w:pStyle w:val="BodyTextNL"/>
        <w:rPr>
          <w:rFonts w:ascii="Arial" w:hAnsi="Arial" w:cs="Arial"/>
        </w:rPr>
      </w:pPr>
      <w:r>
        <w:rPr>
          <w:rFonts w:ascii="Arial" w:hAnsi="Arial" w:cs="Arial"/>
        </w:rPr>
        <w:t>Deze wet voorziet in de gedeeltelijke omzetting van richtlijn (EU) 2019/904 van het Europees Parlement en de Raad van 5</w:t>
      </w:r>
      <w:r>
        <w:rPr>
          <w:rFonts w:ascii="Arial" w:hAnsi="Arial" w:cs="Arial"/>
        </w:rPr>
        <w:t> </w:t>
      </w:r>
      <w:r>
        <w:rPr>
          <w:rFonts w:ascii="Arial" w:hAnsi="Arial" w:cs="Arial"/>
        </w:rPr>
        <w:t>juni 2019 betreffende de vermindering van de effecten van bepaalde kunststofproducten op het milieu en van richtlijn (EU) 2015/720 van h</w:t>
      </w:r>
      <w:r>
        <w:rPr>
          <w:rFonts w:ascii="Arial" w:hAnsi="Arial" w:cs="Arial"/>
        </w:rPr>
        <w:t>et Europees Parlement en de Raad van 29</w:t>
      </w:r>
      <w:r>
        <w:rPr>
          <w:rFonts w:ascii="Arial" w:hAnsi="Arial" w:cs="Arial"/>
        </w:rPr>
        <w:t> </w:t>
      </w:r>
      <w:r>
        <w:rPr>
          <w:rFonts w:ascii="Arial" w:hAnsi="Arial" w:cs="Arial"/>
        </w:rPr>
        <w:t>april 2015 tot wijziging van richtlijn 94/62/EG betreffende de vermindering van het verbruik van lichte plastic draagtassen.</w:t>
      </w:r>
    </w:p>
    <w:p w:rsidR="00000000" w:rsidRDefault="00224C6A">
      <w:pPr>
        <w:pStyle w:val="centeredARTICLE"/>
        <w:rPr>
          <w:rFonts w:ascii="Arial" w:hAnsi="Arial" w:cs="Arial"/>
        </w:rPr>
      </w:pPr>
      <w:r>
        <w:rPr>
          <w:rFonts w:ascii="Arial" w:hAnsi="Arial" w:cs="Arial"/>
        </w:rPr>
        <w:t>Art.</w:t>
      </w:r>
      <w:r>
        <w:rPr>
          <w:rFonts w:ascii="Arial" w:hAnsi="Arial" w:cs="Arial"/>
        </w:rPr>
        <w:t> </w:t>
      </w:r>
      <w:r>
        <w:rPr>
          <w:rFonts w:ascii="Arial" w:hAnsi="Arial" w:cs="Arial"/>
          <w:u w:val="thick"/>
        </w:rPr>
        <w:t>3</w:t>
      </w:r>
      <w:r>
        <w:rPr>
          <w:rFonts w:ascii="Arial" w:hAnsi="Arial" w:cs="Arial"/>
        </w:rPr>
        <w:t xml:space="preserve"> (vroeger art. 2)</w:t>
      </w:r>
    </w:p>
    <w:p w:rsidR="00000000" w:rsidRDefault="00224C6A">
      <w:pPr>
        <w:pStyle w:val="BodyTextNL"/>
        <w:rPr>
          <w:rFonts w:ascii="Arial" w:hAnsi="Arial" w:cs="Arial"/>
        </w:rPr>
      </w:pPr>
      <w:r>
        <w:rPr>
          <w:rFonts w:ascii="Arial" w:hAnsi="Arial" w:cs="Arial"/>
        </w:rPr>
        <w:t>Artikel</w:t>
      </w:r>
      <w:r>
        <w:rPr>
          <w:rFonts w:ascii="Arial" w:hAnsi="Arial" w:cs="Arial"/>
        </w:rPr>
        <w:t> </w:t>
      </w:r>
      <w:r>
        <w:rPr>
          <w:rFonts w:ascii="Arial" w:hAnsi="Arial" w:cs="Arial"/>
        </w:rPr>
        <w:t>2 van de wet van 21</w:t>
      </w:r>
      <w:r>
        <w:rPr>
          <w:rFonts w:ascii="Arial" w:hAnsi="Arial" w:cs="Arial"/>
        </w:rPr>
        <w:t> </w:t>
      </w:r>
      <w:r>
        <w:rPr>
          <w:rFonts w:ascii="Arial" w:hAnsi="Arial" w:cs="Arial"/>
        </w:rPr>
        <w:t>december 1998 betreffende de productnor</w:t>
      </w:r>
      <w:r>
        <w:rPr>
          <w:rFonts w:ascii="Arial" w:hAnsi="Arial" w:cs="Arial"/>
        </w:rPr>
        <w:t xml:space="preserve">men ter bevordering van duurzame productie- en consumptiepatronen en ter bescherming van het leefmilieu, de volksgezondheid en de werknemers, </w:t>
      </w:r>
      <w:r>
        <w:rPr>
          <w:rFonts w:ascii="Arial" w:hAnsi="Arial" w:cs="Arial"/>
          <w:u w:val="thick"/>
        </w:rPr>
        <w:t>laatstelijk</w:t>
      </w:r>
      <w:r>
        <w:rPr>
          <w:rFonts w:ascii="Arial" w:hAnsi="Arial" w:cs="Arial"/>
        </w:rPr>
        <w:t xml:space="preserve"> gewijzigd bij de wet van 16</w:t>
      </w:r>
      <w:r>
        <w:rPr>
          <w:rFonts w:ascii="Arial" w:hAnsi="Arial" w:cs="Arial"/>
        </w:rPr>
        <w:t> </w:t>
      </w:r>
      <w:r>
        <w:rPr>
          <w:rFonts w:ascii="Arial" w:hAnsi="Arial" w:cs="Arial"/>
        </w:rPr>
        <w:t>december 2015, wordt aangevuld met de volgende bepalingen onder 23° tot 26</w:t>
      </w:r>
      <w:r>
        <w:rPr>
          <w:rFonts w:ascii="Arial" w:hAnsi="Arial" w:cs="Arial"/>
        </w:rPr>
        <w:t>°, luidende:</w:t>
      </w:r>
    </w:p>
    <w:p w:rsidR="00000000" w:rsidRDefault="00224C6A">
      <w:pPr>
        <w:pStyle w:val="BodyTextNL"/>
        <w:rPr>
          <w:rFonts w:ascii="Arial" w:hAnsi="Arial" w:cs="Arial"/>
        </w:rPr>
      </w:pPr>
      <w:r>
        <w:rPr>
          <w:rFonts w:ascii="Arial" w:hAnsi="Arial" w:cs="Arial"/>
        </w:rPr>
        <w:t>“23° kunststof: een materiaal bestaande uit een polymeer als bedoeld in artikel</w:t>
      </w:r>
      <w:r>
        <w:rPr>
          <w:rFonts w:ascii="Arial" w:hAnsi="Arial" w:cs="Arial"/>
        </w:rPr>
        <w:t> </w:t>
      </w:r>
      <w:r>
        <w:rPr>
          <w:rFonts w:ascii="Arial" w:hAnsi="Arial" w:cs="Arial"/>
        </w:rPr>
        <w:t>3, punt</w:t>
      </w:r>
      <w:r>
        <w:rPr>
          <w:rFonts w:ascii="Arial" w:hAnsi="Arial" w:cs="Arial"/>
        </w:rPr>
        <w:t> </w:t>
      </w:r>
      <w:r>
        <w:rPr>
          <w:rFonts w:ascii="Arial" w:hAnsi="Arial" w:cs="Arial"/>
        </w:rPr>
        <w:t xml:space="preserve">5, van </w:t>
      </w:r>
      <w:r>
        <w:rPr>
          <w:rFonts w:ascii="Arial" w:hAnsi="Arial" w:cs="Arial"/>
          <w:u w:val="thick"/>
        </w:rPr>
        <w:t>REACH</w:t>
      </w:r>
      <w:r>
        <w:rPr>
          <w:rFonts w:ascii="Arial" w:hAnsi="Arial" w:cs="Arial"/>
        </w:rPr>
        <w:t xml:space="preserve"> waaraan mogelijk additieven of andere stoffen zijn toegevoegd, en dat als een structureel hoofdbestanddeel van eindproducten kan worden gebrui</w:t>
      </w:r>
      <w:r>
        <w:rPr>
          <w:rFonts w:ascii="Arial" w:hAnsi="Arial" w:cs="Arial"/>
        </w:rPr>
        <w:t>kt, met uitzondering van natuurlijke polymeren die niet chemisch zijn gewijzigd;</w:t>
      </w:r>
    </w:p>
    <w:p w:rsidR="00000000" w:rsidRDefault="00224C6A">
      <w:pPr>
        <w:pStyle w:val="BodyTextNL"/>
        <w:rPr>
          <w:rFonts w:ascii="Arial" w:hAnsi="Arial" w:cs="Arial"/>
        </w:rPr>
      </w:pPr>
      <w:r>
        <w:rPr>
          <w:rFonts w:ascii="Arial" w:hAnsi="Arial" w:cs="Arial"/>
        </w:rPr>
        <w:t xml:space="preserve">24° kunststofproduct voor eenmalig gebruik: een product dat geheel of gedeeltelijk van kunststoffen is gemaakt en dat niet werd bedacht, ontworpen of in de handel gebracht om </w:t>
      </w:r>
      <w:r>
        <w:rPr>
          <w:rFonts w:ascii="Arial" w:hAnsi="Arial" w:cs="Arial"/>
        </w:rPr>
        <w:t>binnen zijn levensduur meerdere cycli te maken door te worden teruggestuurd naar een producent om opnieuw te worden gevuld of opnieuw te worden gebruikt voor het doel waarvoor het was gemaakt;</w:t>
      </w:r>
    </w:p>
    <w:p w:rsidR="00000000" w:rsidRDefault="00224C6A">
      <w:pPr>
        <w:pStyle w:val="BodyTextNL"/>
        <w:rPr>
          <w:rFonts w:ascii="Arial" w:hAnsi="Arial" w:cs="Arial"/>
        </w:rPr>
      </w:pPr>
      <w:r>
        <w:rPr>
          <w:rFonts w:ascii="Arial" w:hAnsi="Arial" w:cs="Arial"/>
        </w:rPr>
        <w:t>25° oxo-degradeerbare kunststof: een kunststofmateriaal dat add</w:t>
      </w:r>
      <w:r>
        <w:rPr>
          <w:rFonts w:ascii="Arial" w:hAnsi="Arial" w:cs="Arial"/>
        </w:rPr>
        <w:t>itieven bevat die via oxidatie het kunststofmateriaal afbreken tot microfragmenten of het chemisch ontbinden;</w:t>
      </w:r>
    </w:p>
    <w:p w:rsidR="00000000" w:rsidRDefault="00224C6A">
      <w:pPr>
        <w:pStyle w:val="BodyTextNL"/>
        <w:rPr>
          <w:rFonts w:ascii="Arial" w:hAnsi="Arial" w:cs="Arial"/>
        </w:rPr>
      </w:pPr>
      <w:r>
        <w:rPr>
          <w:rStyle w:val="Underline"/>
          <w:rFonts w:ascii="Arial" w:hAnsi="Arial" w:cs="Arial"/>
        </w:rPr>
        <w:t>26° plastic draagtas voor eenmalig gebruik: een lichte plastic draagtas of een zeer lichte plastic draagtas in de zin van richtlijn 94/62/EG van h</w:t>
      </w:r>
      <w:r>
        <w:rPr>
          <w:rStyle w:val="Underline"/>
          <w:rFonts w:ascii="Arial" w:hAnsi="Arial" w:cs="Arial"/>
        </w:rPr>
        <w:t>et Europees Parlement en de Raad van 20</w:t>
      </w:r>
      <w:r>
        <w:rPr>
          <w:rStyle w:val="Underline"/>
          <w:rFonts w:ascii="Arial" w:hAnsi="Arial" w:cs="Arial"/>
        </w:rPr>
        <w:t> </w:t>
      </w:r>
      <w:r>
        <w:rPr>
          <w:rStyle w:val="Underline"/>
          <w:rFonts w:ascii="Arial" w:hAnsi="Arial" w:cs="Arial"/>
        </w:rPr>
        <w:t>december 1994 betreffende verpakking en verpakkingsafval, die geheel of gedeeltelijk van kunststof is gemaakt en die niet werd ontworpen, geproduceerd of in de handel gebracht om binnen zijn levensduur opnieuw te wor</w:t>
      </w:r>
      <w:r>
        <w:rPr>
          <w:rStyle w:val="Underline"/>
          <w:rFonts w:ascii="Arial" w:hAnsi="Arial" w:cs="Arial"/>
        </w:rPr>
        <w:t>den gebruikt voor het doel waarvoor hij was ontworpen.”.</w:t>
      </w:r>
    </w:p>
    <w:p w:rsidR="00000000" w:rsidRDefault="00224C6A">
      <w:pPr>
        <w:pStyle w:val="centeredARTICLE"/>
        <w:rPr>
          <w:rFonts w:ascii="Arial" w:hAnsi="Arial" w:cs="Arial"/>
        </w:rPr>
      </w:pPr>
      <w:r>
        <w:rPr>
          <w:rFonts w:ascii="Arial" w:hAnsi="Arial" w:cs="Arial"/>
        </w:rPr>
        <w:t>Art.</w:t>
      </w:r>
      <w:r>
        <w:rPr>
          <w:rFonts w:ascii="Arial" w:hAnsi="Arial" w:cs="Arial"/>
        </w:rPr>
        <w:t> </w:t>
      </w:r>
      <w:r>
        <w:rPr>
          <w:rFonts w:ascii="Arial" w:hAnsi="Arial" w:cs="Arial"/>
          <w:u w:val="thick"/>
        </w:rPr>
        <w:t>4</w:t>
      </w:r>
      <w:r>
        <w:rPr>
          <w:rFonts w:ascii="Arial" w:hAnsi="Arial" w:cs="Arial"/>
        </w:rPr>
        <w:t xml:space="preserve"> (vroeger art. 3)</w:t>
      </w:r>
    </w:p>
    <w:p w:rsidR="00000000" w:rsidRDefault="00224C6A">
      <w:pPr>
        <w:pStyle w:val="BodyTextNL"/>
        <w:rPr>
          <w:rFonts w:ascii="Arial" w:hAnsi="Arial" w:cs="Arial"/>
        </w:rPr>
      </w:pPr>
      <w:r>
        <w:rPr>
          <w:rFonts w:ascii="Arial" w:hAnsi="Arial" w:cs="Arial"/>
        </w:rPr>
        <w:t>In dezelfde wet wordt een hoofdstuk</w:t>
      </w:r>
      <w:r>
        <w:rPr>
          <w:rFonts w:ascii="Arial" w:hAnsi="Arial" w:cs="Arial"/>
        </w:rPr>
        <w:t> </w:t>
      </w:r>
      <w:r>
        <w:rPr>
          <w:rFonts w:ascii="Arial" w:hAnsi="Arial" w:cs="Arial"/>
        </w:rPr>
        <w:t>IV</w:t>
      </w:r>
      <w:r>
        <w:rPr>
          <w:rStyle w:val="Italic"/>
          <w:rFonts w:ascii="Arial" w:hAnsi="Arial" w:cs="Arial"/>
        </w:rPr>
        <w:t xml:space="preserve">bis </w:t>
      </w:r>
      <w:r>
        <w:rPr>
          <w:rFonts w:ascii="Arial" w:hAnsi="Arial" w:cs="Arial"/>
        </w:rPr>
        <w:t>ingevoegd, luidende:</w:t>
      </w:r>
    </w:p>
    <w:p w:rsidR="00000000" w:rsidRDefault="00224C6A">
      <w:pPr>
        <w:pStyle w:val="BodyTextNL"/>
        <w:rPr>
          <w:rFonts w:ascii="Arial" w:hAnsi="Arial" w:cs="Arial"/>
        </w:rPr>
      </w:pPr>
      <w:r>
        <w:rPr>
          <w:rFonts w:ascii="Arial" w:hAnsi="Arial" w:cs="Arial"/>
        </w:rPr>
        <w:t>“Hoofdstuk</w:t>
      </w:r>
      <w:r>
        <w:rPr>
          <w:rFonts w:ascii="Arial" w:hAnsi="Arial" w:cs="Arial"/>
        </w:rPr>
        <w:t> </w:t>
      </w:r>
      <w:r>
        <w:rPr>
          <w:rFonts w:ascii="Arial" w:hAnsi="Arial" w:cs="Arial"/>
        </w:rPr>
        <w:t>IV</w:t>
      </w:r>
      <w:r>
        <w:rPr>
          <w:rStyle w:val="Italic"/>
          <w:rFonts w:ascii="Arial" w:hAnsi="Arial" w:cs="Arial"/>
        </w:rPr>
        <w:t>bis.</w:t>
      </w:r>
      <w:r>
        <w:rPr>
          <w:rFonts w:ascii="Arial" w:hAnsi="Arial" w:cs="Arial"/>
        </w:rPr>
        <w:t xml:space="preserve"> Bijzondere bepalingen inzake de </w:t>
      </w:r>
      <w:r>
        <w:rPr>
          <w:rFonts w:ascii="Arial" w:hAnsi="Arial" w:cs="Arial"/>
          <w:u w:val="thick"/>
        </w:rPr>
        <w:t>kunststofproducten</w:t>
      </w:r>
      <w:r>
        <w:rPr>
          <w:rFonts w:ascii="Arial" w:hAnsi="Arial" w:cs="Arial"/>
        </w:rPr>
        <w:t>”.</w:t>
      </w:r>
    </w:p>
    <w:p w:rsidR="00000000" w:rsidRDefault="00224C6A">
      <w:pPr>
        <w:pStyle w:val="centeredARTICLE"/>
        <w:rPr>
          <w:rFonts w:ascii="Arial" w:hAnsi="Arial" w:cs="Arial"/>
        </w:rPr>
      </w:pPr>
      <w:r>
        <w:rPr>
          <w:rFonts w:ascii="Arial" w:hAnsi="Arial" w:cs="Arial"/>
        </w:rPr>
        <w:t>Art.</w:t>
      </w:r>
      <w:r>
        <w:rPr>
          <w:rFonts w:ascii="Arial" w:hAnsi="Arial" w:cs="Arial"/>
        </w:rPr>
        <w:t> </w:t>
      </w:r>
      <w:r>
        <w:rPr>
          <w:rFonts w:ascii="Arial" w:hAnsi="Arial" w:cs="Arial"/>
          <w:u w:val="thick"/>
        </w:rPr>
        <w:t>5</w:t>
      </w:r>
      <w:r>
        <w:rPr>
          <w:rFonts w:ascii="Arial" w:hAnsi="Arial" w:cs="Arial"/>
        </w:rPr>
        <w:t xml:space="preserve"> (vroeger art. 4)</w:t>
      </w:r>
    </w:p>
    <w:p w:rsidR="00000000" w:rsidRDefault="00224C6A">
      <w:pPr>
        <w:pStyle w:val="BodyTextNL"/>
        <w:rPr>
          <w:rFonts w:ascii="Arial" w:hAnsi="Arial" w:cs="Arial"/>
        </w:rPr>
      </w:pPr>
      <w:r>
        <w:rPr>
          <w:rFonts w:ascii="Arial" w:hAnsi="Arial" w:cs="Arial"/>
        </w:rPr>
        <w:t xml:space="preserve">In het voormelde </w:t>
      </w:r>
      <w:r>
        <w:rPr>
          <w:rFonts w:ascii="Arial" w:hAnsi="Arial" w:cs="Arial"/>
        </w:rPr>
        <w:t>hoofdstuk</w:t>
      </w:r>
      <w:r>
        <w:rPr>
          <w:rFonts w:ascii="Arial" w:hAnsi="Arial" w:cs="Arial"/>
        </w:rPr>
        <w:t> </w:t>
      </w:r>
      <w:r>
        <w:rPr>
          <w:rFonts w:ascii="Arial" w:hAnsi="Arial" w:cs="Arial"/>
        </w:rPr>
        <w:t>IV</w:t>
      </w:r>
      <w:r>
        <w:rPr>
          <w:rStyle w:val="Italic"/>
          <w:rFonts w:ascii="Arial" w:hAnsi="Arial" w:cs="Arial"/>
        </w:rPr>
        <w:t>bis</w:t>
      </w:r>
      <w:r>
        <w:rPr>
          <w:rFonts w:ascii="Arial" w:hAnsi="Arial" w:cs="Arial"/>
        </w:rPr>
        <w:t xml:space="preserve"> wordt een artikel</w:t>
      </w:r>
      <w:r>
        <w:rPr>
          <w:rFonts w:ascii="Arial" w:hAnsi="Arial" w:cs="Arial"/>
        </w:rPr>
        <w:t> </w:t>
      </w:r>
      <w:r>
        <w:rPr>
          <w:rFonts w:ascii="Arial" w:hAnsi="Arial" w:cs="Arial"/>
          <w:u w:val="thick"/>
          <w:lang w:val="fr-FR"/>
        </w:rPr>
        <w:t>9bis</w:t>
      </w:r>
      <w:r>
        <w:rPr>
          <w:rFonts w:ascii="Arial" w:hAnsi="Arial" w:cs="Arial"/>
        </w:rPr>
        <w:t xml:space="preserve"> ingevoegd, luidende:</w:t>
      </w:r>
    </w:p>
    <w:p w:rsidR="00000000" w:rsidRDefault="00224C6A">
      <w:pPr>
        <w:pStyle w:val="BodyTextNL"/>
        <w:rPr>
          <w:rFonts w:ascii="Arial" w:hAnsi="Arial" w:cs="Arial"/>
        </w:rPr>
      </w:pPr>
      <w:r>
        <w:rPr>
          <w:rFonts w:ascii="Arial" w:hAnsi="Arial" w:cs="Arial"/>
        </w:rPr>
        <w:t>“Art.</w:t>
      </w:r>
      <w:r>
        <w:rPr>
          <w:rFonts w:ascii="Arial" w:hAnsi="Arial" w:cs="Arial"/>
        </w:rPr>
        <w:t> </w:t>
      </w:r>
      <w:r>
        <w:rPr>
          <w:rFonts w:ascii="Arial" w:hAnsi="Arial" w:cs="Arial"/>
          <w:u w:val="thick"/>
          <w:lang w:val="fr-FR"/>
        </w:rPr>
        <w:t>9bis</w:t>
      </w:r>
      <w:r>
        <w:rPr>
          <w:rFonts w:ascii="Arial" w:hAnsi="Arial" w:cs="Arial"/>
        </w:rPr>
        <w:t>. Het is verboden producten op basis van oxo-degradeerbare kunststof in de handel te brengen.”.</w:t>
      </w:r>
    </w:p>
    <w:p w:rsidR="00000000" w:rsidRDefault="00224C6A">
      <w:pPr>
        <w:pStyle w:val="centeredARTICLE"/>
        <w:rPr>
          <w:rFonts w:ascii="Arial" w:hAnsi="Arial" w:cs="Arial"/>
        </w:rPr>
      </w:pPr>
      <w:r>
        <w:rPr>
          <w:rFonts w:ascii="Arial" w:hAnsi="Arial" w:cs="Arial"/>
        </w:rPr>
        <w:t>Art.</w:t>
      </w:r>
      <w:r>
        <w:rPr>
          <w:rFonts w:ascii="Arial" w:hAnsi="Arial" w:cs="Arial"/>
        </w:rPr>
        <w:t> </w:t>
      </w:r>
      <w:r>
        <w:rPr>
          <w:rFonts w:ascii="Arial" w:hAnsi="Arial" w:cs="Arial"/>
          <w:u w:val="thick"/>
        </w:rPr>
        <w:t>6</w:t>
      </w:r>
      <w:r>
        <w:rPr>
          <w:rFonts w:ascii="Arial" w:hAnsi="Arial" w:cs="Arial"/>
        </w:rPr>
        <w:t xml:space="preserve"> (vroeger art. 5)</w:t>
      </w:r>
    </w:p>
    <w:p w:rsidR="00000000" w:rsidRDefault="00224C6A">
      <w:pPr>
        <w:pStyle w:val="BodyTextNL"/>
        <w:rPr>
          <w:rFonts w:ascii="Arial" w:hAnsi="Arial" w:cs="Arial"/>
        </w:rPr>
      </w:pPr>
      <w:r>
        <w:rPr>
          <w:rFonts w:ascii="Arial" w:hAnsi="Arial" w:cs="Arial"/>
        </w:rPr>
        <w:t>In het voormelde hoofdstuk</w:t>
      </w:r>
      <w:r>
        <w:rPr>
          <w:rFonts w:ascii="Arial" w:hAnsi="Arial" w:cs="Arial"/>
        </w:rPr>
        <w:t> </w:t>
      </w:r>
      <w:r>
        <w:rPr>
          <w:rFonts w:ascii="Arial" w:hAnsi="Arial" w:cs="Arial"/>
        </w:rPr>
        <w:t>IV</w:t>
      </w:r>
      <w:r>
        <w:rPr>
          <w:rStyle w:val="Italic"/>
          <w:rFonts w:ascii="Arial" w:hAnsi="Arial" w:cs="Arial"/>
        </w:rPr>
        <w:t>bis</w:t>
      </w:r>
      <w:r>
        <w:rPr>
          <w:rFonts w:ascii="Arial" w:hAnsi="Arial" w:cs="Arial"/>
        </w:rPr>
        <w:t xml:space="preserve"> wordt een artikel</w:t>
      </w:r>
      <w:r>
        <w:rPr>
          <w:rFonts w:ascii="Arial" w:hAnsi="Arial" w:cs="Arial"/>
        </w:rPr>
        <w:t> </w:t>
      </w:r>
      <w:r>
        <w:rPr>
          <w:rFonts w:ascii="Arial" w:hAnsi="Arial" w:cs="Arial"/>
          <w:u w:val="thick"/>
          <w:lang w:val="fr-FR"/>
        </w:rPr>
        <w:t>9ter</w:t>
      </w:r>
      <w:r>
        <w:rPr>
          <w:rFonts w:ascii="Arial" w:hAnsi="Arial" w:cs="Arial"/>
          <w:lang w:val="fr-FR"/>
        </w:rPr>
        <w:t xml:space="preserve"> </w:t>
      </w:r>
      <w:r>
        <w:rPr>
          <w:rFonts w:ascii="Arial" w:hAnsi="Arial" w:cs="Arial"/>
        </w:rPr>
        <w:t>ingevoegd,</w:t>
      </w:r>
      <w:r>
        <w:rPr>
          <w:rFonts w:ascii="Arial" w:hAnsi="Arial" w:cs="Arial"/>
        </w:rPr>
        <w:t xml:space="preserve"> luidende:</w:t>
      </w:r>
    </w:p>
    <w:p w:rsidR="00000000" w:rsidRDefault="00224C6A">
      <w:pPr>
        <w:pStyle w:val="BodyTextNL"/>
        <w:rPr>
          <w:rFonts w:ascii="Arial" w:hAnsi="Arial" w:cs="Arial"/>
        </w:rPr>
      </w:pPr>
      <w:r>
        <w:rPr>
          <w:rFonts w:ascii="Arial" w:hAnsi="Arial" w:cs="Arial"/>
        </w:rPr>
        <w:t>“Art.</w:t>
      </w:r>
      <w:r>
        <w:rPr>
          <w:rFonts w:ascii="Arial" w:hAnsi="Arial" w:cs="Arial"/>
        </w:rPr>
        <w:t> </w:t>
      </w:r>
      <w:r>
        <w:rPr>
          <w:rFonts w:ascii="Arial" w:hAnsi="Arial" w:cs="Arial"/>
          <w:u w:val="thick"/>
          <w:lang w:val="fr-FR"/>
        </w:rPr>
        <w:t>9ter</w:t>
      </w:r>
      <w:r>
        <w:rPr>
          <w:rFonts w:ascii="Arial" w:hAnsi="Arial" w:cs="Arial"/>
        </w:rPr>
        <w:t>. Het is verboden de volgende kunststofproducten voor eenmalig gebruik in de handel te brengen:</w:t>
      </w:r>
    </w:p>
    <w:p w:rsidR="00000000" w:rsidRDefault="00224C6A">
      <w:pPr>
        <w:pStyle w:val="BodyTextNL"/>
        <w:rPr>
          <w:rFonts w:ascii="Arial" w:hAnsi="Arial" w:cs="Arial"/>
        </w:rPr>
      </w:pPr>
      <w:r>
        <w:rPr>
          <w:rFonts w:ascii="Arial" w:hAnsi="Arial" w:cs="Arial"/>
        </w:rPr>
        <w:lastRenderedPageBreak/>
        <w:t xml:space="preserve">1° katoenen wattenstaafjes, tenzij die binnen het toepassingsgebied van richtlijn 90/385/EEG van de Raad </w:t>
      </w:r>
      <w:r>
        <w:rPr>
          <w:rFonts w:ascii="Arial" w:hAnsi="Arial" w:cs="Arial"/>
          <w:u w:val="thick"/>
        </w:rPr>
        <w:t>van 20 juni 1990 betreffende de on</w:t>
      </w:r>
      <w:r>
        <w:rPr>
          <w:rFonts w:ascii="Arial" w:hAnsi="Arial" w:cs="Arial"/>
          <w:u w:val="thick"/>
        </w:rPr>
        <w:t>derlinge aanpassing van de wetgevingen van de Lidstaten inzake actieve implanteerbare medische hulpmiddelen</w:t>
      </w:r>
      <w:r>
        <w:rPr>
          <w:rFonts w:ascii="Arial" w:hAnsi="Arial" w:cs="Arial"/>
        </w:rPr>
        <w:t xml:space="preserve"> of van richtlijn 93/42/EEG </w:t>
      </w:r>
      <w:r>
        <w:rPr>
          <w:rFonts w:ascii="Arial" w:hAnsi="Arial" w:cs="Arial"/>
          <w:u w:val="thick"/>
        </w:rPr>
        <w:t>van de Raad van 14 juni 1993 betreffende medische hulpmiddelen,</w:t>
      </w:r>
      <w:r>
        <w:rPr>
          <w:rFonts w:ascii="Arial" w:hAnsi="Arial" w:cs="Arial"/>
        </w:rPr>
        <w:t xml:space="preserve"> vallen;</w:t>
      </w:r>
    </w:p>
    <w:p w:rsidR="00000000" w:rsidRDefault="00224C6A">
      <w:pPr>
        <w:pStyle w:val="BodyTextNL"/>
        <w:rPr>
          <w:rFonts w:ascii="Arial" w:hAnsi="Arial" w:cs="Arial"/>
        </w:rPr>
      </w:pPr>
      <w:r>
        <w:rPr>
          <w:rFonts w:ascii="Arial" w:hAnsi="Arial" w:cs="Arial"/>
        </w:rPr>
        <w:t>2° bestek (vorken, messen, lepels, eetstokjes);</w:t>
      </w:r>
    </w:p>
    <w:p w:rsidR="00000000" w:rsidRDefault="00224C6A">
      <w:pPr>
        <w:pStyle w:val="BodyTextNL"/>
        <w:spacing w:before="240"/>
        <w:rPr>
          <w:rFonts w:ascii="Arial" w:hAnsi="Arial" w:cs="Arial"/>
        </w:rPr>
      </w:pPr>
      <w:r>
        <w:rPr>
          <w:rFonts w:ascii="Arial" w:hAnsi="Arial" w:cs="Arial"/>
        </w:rPr>
        <w:t>3</w:t>
      </w:r>
      <w:r>
        <w:rPr>
          <w:rFonts w:ascii="Arial" w:hAnsi="Arial" w:cs="Arial"/>
        </w:rPr>
        <w:t>° borden;</w:t>
      </w:r>
    </w:p>
    <w:p w:rsidR="00000000" w:rsidRDefault="00224C6A">
      <w:pPr>
        <w:pStyle w:val="BodyTextNL"/>
        <w:rPr>
          <w:rFonts w:ascii="Arial" w:hAnsi="Arial" w:cs="Arial"/>
        </w:rPr>
      </w:pPr>
      <w:r>
        <w:rPr>
          <w:rFonts w:ascii="Arial" w:hAnsi="Arial" w:cs="Arial"/>
        </w:rPr>
        <w:t xml:space="preserve">4° rietjes, tenzij die binnen het toepassingsgebied van richtlijn 90/385/EEG </w:t>
      </w:r>
      <w:r>
        <w:rPr>
          <w:rFonts w:ascii="Arial" w:hAnsi="Arial" w:cs="Arial"/>
          <w:u w:val="thick"/>
        </w:rPr>
        <w:t>van de Raad van 20 juni 1990 betreffende de onderlinge aanpassing van de wetgevingen van de Lidstaten inzake actieve implanteerbare medische hulpmiddelen</w:t>
      </w:r>
      <w:r>
        <w:rPr>
          <w:rFonts w:ascii="Arial" w:hAnsi="Arial" w:cs="Arial"/>
        </w:rPr>
        <w:t xml:space="preserve"> of van richtlij</w:t>
      </w:r>
      <w:r>
        <w:rPr>
          <w:rFonts w:ascii="Arial" w:hAnsi="Arial" w:cs="Arial"/>
        </w:rPr>
        <w:t xml:space="preserve">n 93/42/EEG </w:t>
      </w:r>
      <w:r>
        <w:rPr>
          <w:rFonts w:ascii="Arial" w:hAnsi="Arial" w:cs="Arial"/>
          <w:u w:val="thick"/>
        </w:rPr>
        <w:t>van de Raad van 14 juni 1993 betreffende medische hulpmiddelen</w:t>
      </w:r>
      <w:r>
        <w:rPr>
          <w:rFonts w:ascii="Arial" w:hAnsi="Arial" w:cs="Arial"/>
        </w:rPr>
        <w:t xml:space="preserve"> vallen;</w:t>
      </w:r>
    </w:p>
    <w:p w:rsidR="00000000" w:rsidRDefault="00224C6A">
      <w:pPr>
        <w:pStyle w:val="BodyTextNL"/>
        <w:rPr>
          <w:rFonts w:ascii="Arial" w:hAnsi="Arial" w:cs="Arial"/>
        </w:rPr>
      </w:pPr>
      <w:r>
        <w:rPr>
          <w:rFonts w:ascii="Arial" w:hAnsi="Arial" w:cs="Arial"/>
        </w:rPr>
        <w:t>5° roerstaafjes voor dranken;</w:t>
      </w:r>
    </w:p>
    <w:p w:rsidR="00000000" w:rsidRDefault="00224C6A">
      <w:pPr>
        <w:pStyle w:val="BodyTextNL"/>
        <w:rPr>
          <w:rFonts w:ascii="Arial" w:hAnsi="Arial" w:cs="Arial"/>
        </w:rPr>
      </w:pPr>
      <w:r>
        <w:rPr>
          <w:rFonts w:ascii="Arial" w:hAnsi="Arial" w:cs="Arial"/>
        </w:rPr>
        <w:t>6° stokjes en de mechanismen daarvan, bedoeld om te worden bevestigd aan en ter ondersteuning van ballonnen, met uitzondering van ballonnen voo</w:t>
      </w:r>
      <w:r>
        <w:rPr>
          <w:rFonts w:ascii="Arial" w:hAnsi="Arial" w:cs="Arial"/>
        </w:rPr>
        <w:t>r industriële of andere professionele toepassingen die niet aan consumenten worden verstrekt;</w:t>
      </w:r>
    </w:p>
    <w:p w:rsidR="00000000" w:rsidRDefault="00224C6A">
      <w:pPr>
        <w:pStyle w:val="BodyTextNL"/>
        <w:rPr>
          <w:rFonts w:ascii="Arial" w:hAnsi="Arial" w:cs="Arial"/>
        </w:rPr>
      </w:pPr>
      <w:r>
        <w:rPr>
          <w:rFonts w:ascii="Arial" w:hAnsi="Arial" w:cs="Arial"/>
        </w:rPr>
        <w:t xml:space="preserve">7° voedselverpakkingen gemaakt van geëxpandeerd polystyreen, dat wil zeggen </w:t>
      </w:r>
      <w:r>
        <w:rPr>
          <w:rFonts w:ascii="Arial" w:hAnsi="Arial" w:cs="Arial"/>
          <w:u w:val="thick"/>
        </w:rPr>
        <w:t>containers</w:t>
      </w:r>
      <w:r>
        <w:rPr>
          <w:rFonts w:ascii="Arial" w:hAnsi="Arial" w:cs="Arial"/>
        </w:rPr>
        <w:t xml:space="preserve"> zoals dozen, met of zonder deksel, voor voedingsmiddelen die:</w:t>
      </w:r>
    </w:p>
    <w:p w:rsidR="00000000" w:rsidRDefault="00224C6A">
      <w:pPr>
        <w:pStyle w:val="BodyTextNL"/>
        <w:spacing w:before="240"/>
        <w:rPr>
          <w:rFonts w:ascii="Arial" w:hAnsi="Arial" w:cs="Arial"/>
        </w:rPr>
      </w:pPr>
      <w:r>
        <w:rPr>
          <w:rFonts w:ascii="Arial" w:hAnsi="Arial" w:cs="Arial"/>
        </w:rPr>
        <w:t>a) bestemd zi</w:t>
      </w:r>
      <w:r>
        <w:rPr>
          <w:rFonts w:ascii="Arial" w:hAnsi="Arial" w:cs="Arial"/>
        </w:rPr>
        <w:t>jn voor onmiddellijke consumptie, ter plaatse of om mee te nemen,</w:t>
      </w:r>
    </w:p>
    <w:p w:rsidR="00000000" w:rsidRDefault="00224C6A">
      <w:pPr>
        <w:pStyle w:val="BodyTextNL"/>
        <w:rPr>
          <w:rFonts w:ascii="Arial" w:hAnsi="Arial" w:cs="Arial"/>
        </w:rPr>
      </w:pPr>
      <w:r>
        <w:rPr>
          <w:rFonts w:ascii="Arial" w:hAnsi="Arial" w:cs="Arial"/>
        </w:rPr>
        <w:t xml:space="preserve">b) </w:t>
      </w:r>
      <w:r>
        <w:rPr>
          <w:rFonts w:ascii="Arial" w:hAnsi="Arial" w:cs="Arial"/>
          <w:u w:val="thick"/>
        </w:rPr>
        <w:t>typisch</w:t>
      </w:r>
      <w:r>
        <w:rPr>
          <w:rFonts w:ascii="Arial" w:hAnsi="Arial" w:cs="Arial"/>
        </w:rPr>
        <w:t xml:space="preserve"> vanuit de </w:t>
      </w:r>
      <w:r>
        <w:rPr>
          <w:rFonts w:ascii="Arial" w:hAnsi="Arial" w:cs="Arial"/>
          <w:u w:val="thick"/>
        </w:rPr>
        <w:t>container</w:t>
      </w:r>
      <w:r>
        <w:rPr>
          <w:rFonts w:ascii="Arial" w:hAnsi="Arial" w:cs="Arial"/>
        </w:rPr>
        <w:t xml:space="preserve"> worden geconsumeerd, en</w:t>
      </w:r>
    </w:p>
    <w:p w:rsidR="00000000" w:rsidRDefault="00224C6A">
      <w:pPr>
        <w:pStyle w:val="BodyTextNL"/>
        <w:rPr>
          <w:rFonts w:ascii="Arial" w:hAnsi="Arial" w:cs="Arial"/>
        </w:rPr>
      </w:pPr>
      <w:r>
        <w:rPr>
          <w:rFonts w:ascii="Arial" w:hAnsi="Arial" w:cs="Arial"/>
        </w:rPr>
        <w:t>c) gereed zijn voor consumptie zonder verdere bereiding zoals bakken, koken of verwarmen,</w:t>
      </w:r>
    </w:p>
    <w:p w:rsidR="00000000" w:rsidRDefault="00224C6A">
      <w:pPr>
        <w:pStyle w:val="BodyTextNL"/>
        <w:spacing w:before="240"/>
        <w:rPr>
          <w:rFonts w:ascii="Arial" w:hAnsi="Arial" w:cs="Arial"/>
        </w:rPr>
      </w:pPr>
      <w:r>
        <w:rPr>
          <w:rFonts w:ascii="Arial" w:hAnsi="Arial" w:cs="Arial"/>
        </w:rPr>
        <w:t>inclusief voedselverpakkingen voor fastfood of andere maaltijden die gereed zijn voor onmiddellijke consumptie, met uitzondering van drankverpakkingen, borden, zakjes en wikkels die voedingsmiddelen bevatten;</w:t>
      </w:r>
    </w:p>
    <w:p w:rsidR="00000000" w:rsidRDefault="00224C6A">
      <w:pPr>
        <w:pStyle w:val="BodyTextNL"/>
        <w:spacing w:before="240"/>
        <w:rPr>
          <w:rFonts w:ascii="Arial" w:hAnsi="Arial" w:cs="Arial"/>
        </w:rPr>
      </w:pPr>
      <w:r>
        <w:rPr>
          <w:rFonts w:ascii="Arial" w:hAnsi="Arial" w:cs="Arial"/>
        </w:rPr>
        <w:t>8° drankverpakkingen gemaakt van geëxpandeerd p</w:t>
      </w:r>
      <w:r>
        <w:rPr>
          <w:rFonts w:ascii="Arial" w:hAnsi="Arial" w:cs="Arial"/>
        </w:rPr>
        <w:t>olystyreen, doppen en deksels inbegrepen;</w:t>
      </w:r>
    </w:p>
    <w:p w:rsidR="00000000" w:rsidRDefault="00224C6A">
      <w:pPr>
        <w:pStyle w:val="BodyTextNL"/>
        <w:rPr>
          <w:rFonts w:ascii="Arial" w:hAnsi="Arial" w:cs="Arial"/>
        </w:rPr>
      </w:pPr>
      <w:r>
        <w:rPr>
          <w:rFonts w:ascii="Arial" w:hAnsi="Arial" w:cs="Arial"/>
        </w:rPr>
        <w:t>9° drinkbekers gemaakt van geëxpandeerd polystyreen, doppen en deksels inbegrepen.”.</w:t>
      </w:r>
    </w:p>
    <w:p w:rsidR="00000000" w:rsidRDefault="00224C6A">
      <w:pPr>
        <w:pStyle w:val="centeredARTICLE"/>
        <w:rPr>
          <w:rFonts w:ascii="Arial" w:hAnsi="Arial" w:cs="Arial"/>
        </w:rPr>
      </w:pPr>
      <w:r>
        <w:rPr>
          <w:rFonts w:ascii="Arial" w:hAnsi="Arial" w:cs="Arial"/>
        </w:rPr>
        <w:t>Art.</w:t>
      </w:r>
      <w:r>
        <w:rPr>
          <w:rFonts w:ascii="Arial" w:hAnsi="Arial" w:cs="Arial"/>
        </w:rPr>
        <w:t> </w:t>
      </w:r>
      <w:r>
        <w:rPr>
          <w:rFonts w:ascii="Arial" w:hAnsi="Arial" w:cs="Arial"/>
          <w:u w:val="thick"/>
        </w:rPr>
        <w:t>7</w:t>
      </w:r>
      <w:r>
        <w:rPr>
          <w:rFonts w:ascii="Arial" w:hAnsi="Arial" w:cs="Arial"/>
        </w:rPr>
        <w:t xml:space="preserve"> (vroeger art. 6)</w:t>
      </w:r>
    </w:p>
    <w:p w:rsidR="00000000" w:rsidRDefault="00224C6A">
      <w:pPr>
        <w:pStyle w:val="BodyTextNL"/>
        <w:rPr>
          <w:rFonts w:ascii="Arial" w:hAnsi="Arial" w:cs="Arial"/>
        </w:rPr>
      </w:pPr>
      <w:r>
        <w:rPr>
          <w:rFonts w:ascii="Arial" w:hAnsi="Arial" w:cs="Arial"/>
        </w:rPr>
        <w:t>In het voormelde hoofdstuk</w:t>
      </w:r>
      <w:r>
        <w:rPr>
          <w:rFonts w:ascii="Arial" w:hAnsi="Arial" w:cs="Arial"/>
        </w:rPr>
        <w:t> </w:t>
      </w:r>
      <w:r>
        <w:rPr>
          <w:rFonts w:ascii="Arial" w:hAnsi="Arial" w:cs="Arial"/>
        </w:rPr>
        <w:t>IV</w:t>
      </w:r>
      <w:r>
        <w:rPr>
          <w:rStyle w:val="Italic"/>
          <w:rFonts w:ascii="Arial" w:hAnsi="Arial" w:cs="Arial"/>
        </w:rPr>
        <w:t>bis</w:t>
      </w:r>
      <w:r>
        <w:rPr>
          <w:rFonts w:ascii="Arial" w:hAnsi="Arial" w:cs="Arial"/>
        </w:rPr>
        <w:t xml:space="preserve"> wordt een artikel</w:t>
      </w:r>
      <w:r>
        <w:rPr>
          <w:rFonts w:ascii="Arial" w:hAnsi="Arial" w:cs="Arial"/>
        </w:rPr>
        <w:t> </w:t>
      </w:r>
      <w:r>
        <w:rPr>
          <w:rFonts w:ascii="Arial" w:hAnsi="Arial" w:cs="Arial"/>
          <w:u w:val="thick"/>
          <w:lang w:val="fr-FR"/>
        </w:rPr>
        <w:t>9quater</w:t>
      </w:r>
      <w:r>
        <w:rPr>
          <w:rFonts w:ascii="Arial" w:hAnsi="Arial" w:cs="Arial"/>
          <w:lang w:val="fr-FR"/>
        </w:rPr>
        <w:t xml:space="preserve"> </w:t>
      </w:r>
      <w:r>
        <w:rPr>
          <w:rFonts w:ascii="Arial" w:hAnsi="Arial" w:cs="Arial"/>
        </w:rPr>
        <w:t>ingevoegd, luidende:</w:t>
      </w:r>
    </w:p>
    <w:p w:rsidR="00000000" w:rsidRDefault="00224C6A">
      <w:pPr>
        <w:pStyle w:val="BodyTextNL"/>
        <w:rPr>
          <w:rFonts w:ascii="Arial" w:hAnsi="Arial" w:cs="Arial"/>
        </w:rPr>
      </w:pPr>
      <w:r>
        <w:rPr>
          <w:rFonts w:ascii="Arial" w:hAnsi="Arial" w:cs="Arial"/>
        </w:rPr>
        <w:t>“Art.</w:t>
      </w:r>
      <w:r>
        <w:rPr>
          <w:rFonts w:ascii="Arial" w:hAnsi="Arial" w:cs="Arial"/>
        </w:rPr>
        <w:t> </w:t>
      </w:r>
      <w:r>
        <w:rPr>
          <w:rFonts w:ascii="Arial" w:hAnsi="Arial" w:cs="Arial"/>
          <w:u w:val="thick"/>
          <w:lang w:val="fr-FR"/>
        </w:rPr>
        <w:t>9quater</w:t>
      </w:r>
      <w:r>
        <w:rPr>
          <w:rFonts w:ascii="Arial" w:hAnsi="Arial" w:cs="Arial"/>
        </w:rPr>
        <w:t>. Het is ver</w:t>
      </w:r>
      <w:r>
        <w:rPr>
          <w:rFonts w:ascii="Arial" w:hAnsi="Arial" w:cs="Arial"/>
        </w:rPr>
        <w:t>boden plastic draagtassen voor eenmalig gebruik, die zijn ontworpen om in al dan niet overdekte verkooppunten te worden gebruikt om goederen bij aankopen te verpakken en/of te vervoeren, in de handel te brengen, met uitzondering van:</w:t>
      </w:r>
    </w:p>
    <w:p w:rsidR="00000000" w:rsidRDefault="00224C6A">
      <w:pPr>
        <w:pStyle w:val="BodyTextNL"/>
        <w:rPr>
          <w:rFonts w:ascii="Arial" w:hAnsi="Arial" w:cs="Arial"/>
        </w:rPr>
      </w:pPr>
      <w:r>
        <w:rPr>
          <w:rFonts w:ascii="Arial" w:hAnsi="Arial" w:cs="Arial"/>
        </w:rPr>
        <w:t xml:space="preserve">1° op de luchthavens, </w:t>
      </w:r>
      <w:r>
        <w:rPr>
          <w:rFonts w:ascii="Arial" w:hAnsi="Arial" w:cs="Arial"/>
        </w:rPr>
        <w:t>die welke zijn voorzien van een klevende hoge-veiligheidssluiting en/of stevige naden;</w:t>
      </w:r>
    </w:p>
    <w:p w:rsidR="00000000" w:rsidRDefault="00224C6A">
      <w:pPr>
        <w:pStyle w:val="BodyTextNL"/>
        <w:rPr>
          <w:rFonts w:ascii="Arial" w:hAnsi="Arial" w:cs="Arial"/>
        </w:rPr>
      </w:pPr>
      <w:r>
        <w:rPr>
          <w:rFonts w:ascii="Arial" w:hAnsi="Arial" w:cs="Arial"/>
        </w:rPr>
        <w:t xml:space="preserve"> 2° die welke zijn bestemd voor vuilnisophaling;</w:t>
      </w:r>
    </w:p>
    <w:p w:rsidR="00000000" w:rsidRDefault="00224C6A">
      <w:pPr>
        <w:pStyle w:val="BodyTextNL"/>
        <w:rPr>
          <w:rFonts w:ascii="Arial" w:hAnsi="Arial" w:cs="Arial"/>
        </w:rPr>
      </w:pPr>
      <w:r>
        <w:rPr>
          <w:rFonts w:ascii="Arial" w:hAnsi="Arial" w:cs="Arial"/>
        </w:rPr>
        <w:t>3° die welke zijn bestemd voor medisch gebruik;</w:t>
      </w:r>
    </w:p>
    <w:p w:rsidR="00000000" w:rsidRDefault="00224C6A">
      <w:pPr>
        <w:pStyle w:val="BodyTextNL"/>
        <w:rPr>
          <w:rFonts w:ascii="Arial" w:hAnsi="Arial" w:cs="Arial"/>
        </w:rPr>
      </w:pPr>
      <w:r>
        <w:rPr>
          <w:rFonts w:ascii="Arial" w:hAnsi="Arial" w:cs="Arial"/>
        </w:rPr>
        <w:t>4° die welke zijn bestemd voor het inpakken van in kleine hoeveelheden v</w:t>
      </w:r>
      <w:r>
        <w:rPr>
          <w:rFonts w:ascii="Arial" w:hAnsi="Arial" w:cs="Arial"/>
        </w:rPr>
        <w:t>erkochte voedingswaren die vochtig of vloeibaar zijn of die vloeistoffen bevatten die kunnen uitlopen, op voorwaarde dat het gaat om een biogebaseerde draagtas die geschikt is voor thuiscompostering;</w:t>
      </w:r>
    </w:p>
    <w:p w:rsidR="00000000" w:rsidRDefault="00224C6A">
      <w:pPr>
        <w:pStyle w:val="BodyTextNL"/>
        <w:rPr>
          <w:rFonts w:ascii="Arial" w:hAnsi="Arial" w:cs="Arial"/>
        </w:rPr>
      </w:pPr>
      <w:r>
        <w:rPr>
          <w:rFonts w:ascii="Arial" w:hAnsi="Arial" w:cs="Arial"/>
        </w:rPr>
        <w:t>5° de zeer lichte plastic draagtassen voor de primaire v</w:t>
      </w:r>
      <w:r>
        <w:rPr>
          <w:rFonts w:ascii="Arial" w:hAnsi="Arial" w:cs="Arial"/>
        </w:rPr>
        <w:t xml:space="preserve">erpakking van waterplanten en -dieren. </w:t>
      </w:r>
    </w:p>
    <w:p w:rsidR="00000000" w:rsidRDefault="00224C6A">
      <w:pPr>
        <w:pStyle w:val="BodyTextNL"/>
        <w:spacing w:before="240"/>
        <w:rPr>
          <w:rFonts w:ascii="Arial" w:hAnsi="Arial" w:cs="Arial"/>
        </w:rPr>
      </w:pPr>
      <w:r>
        <w:rPr>
          <w:rFonts w:ascii="Arial" w:hAnsi="Arial" w:cs="Arial"/>
          <w:u w:val="thick"/>
        </w:rPr>
        <w:lastRenderedPageBreak/>
        <w:t>Te rekenen van zes maanden na de bekendmaking van de wet van ... tot wijziging van de wet van 21 december 1998 betreffende de productnormen ter bevordering van duurzame productie- en consumptiepatronen en ter bescher</w:t>
      </w:r>
      <w:r>
        <w:rPr>
          <w:rFonts w:ascii="Arial" w:hAnsi="Arial" w:cs="Arial"/>
          <w:u w:val="thick"/>
        </w:rPr>
        <w:t xml:space="preserve">ming van het leefmilieu, de volksgezondheid en de werknemers, teneinde een verbod in te stellen op het gebruik van oxo-degradeerbare kunststofproducten en van sommige andere kunststofproducten voor eenmalig gebruik in het </w:t>
      </w:r>
      <w:r>
        <w:rPr>
          <w:rFonts w:ascii="Arial" w:hAnsi="Arial" w:cs="Arial"/>
          <w:i/>
          <w:iCs/>
          <w:u w:val="thick"/>
        </w:rPr>
        <w:t>Belgisch Staatsblad</w:t>
      </w:r>
      <w:r>
        <w:rPr>
          <w:rFonts w:ascii="Arial" w:hAnsi="Arial" w:cs="Arial"/>
        </w:rPr>
        <w:t xml:space="preserve"> bestaan de in </w:t>
      </w:r>
      <w:r>
        <w:rPr>
          <w:rFonts w:ascii="Arial" w:hAnsi="Arial" w:cs="Arial"/>
        </w:rPr>
        <w:t>het eerste lid, 4°, bedoelde draagtassen uit minstens 40</w:t>
      </w:r>
      <w:r>
        <w:rPr>
          <w:rFonts w:ascii="Arial" w:hAnsi="Arial" w:cs="Arial"/>
        </w:rPr>
        <w:t> </w:t>
      </w:r>
      <w:r>
        <w:rPr>
          <w:rFonts w:ascii="Arial" w:hAnsi="Arial" w:cs="Arial"/>
        </w:rPr>
        <w:t>% biomateriaal en vanaf 1</w:t>
      </w:r>
      <w:r>
        <w:rPr>
          <w:rFonts w:ascii="Arial" w:hAnsi="Arial" w:cs="Arial"/>
        </w:rPr>
        <w:t> </w:t>
      </w:r>
      <w:r>
        <w:rPr>
          <w:rFonts w:ascii="Arial" w:hAnsi="Arial" w:cs="Arial"/>
        </w:rPr>
        <w:t>januari 2025 uit minstens 60</w:t>
      </w:r>
      <w:r>
        <w:rPr>
          <w:rFonts w:ascii="Arial" w:hAnsi="Arial" w:cs="Arial"/>
        </w:rPr>
        <w:t> </w:t>
      </w:r>
      <w:r>
        <w:rPr>
          <w:rFonts w:ascii="Arial" w:hAnsi="Arial" w:cs="Arial"/>
        </w:rPr>
        <w:t xml:space="preserve">% biomateriaal. </w:t>
      </w:r>
    </w:p>
    <w:p w:rsidR="00000000" w:rsidRDefault="00224C6A">
      <w:pPr>
        <w:pStyle w:val="BodyTextNL"/>
        <w:rPr>
          <w:rFonts w:ascii="Arial" w:hAnsi="Arial" w:cs="Arial"/>
        </w:rPr>
      </w:pPr>
      <w:r>
        <w:rPr>
          <w:rFonts w:ascii="Arial" w:hAnsi="Arial" w:cs="Arial"/>
          <w:u w:val="thick"/>
        </w:rPr>
        <w:t>De Koning kan op het in het eerste lid bedoelde verbod uitsluitend bijkomende uitzonderingen bepalen wanneer de situatie daarto</w:t>
      </w:r>
      <w:r>
        <w:rPr>
          <w:rFonts w:ascii="Arial" w:hAnsi="Arial" w:cs="Arial"/>
          <w:u w:val="thick"/>
        </w:rPr>
        <w:t>e noopt en wanneer geen enkel alternatief voor kunststof voor eenmalig gebruik voorhanden is, rekening houdend met de in richtlijn 94/62/EG van het Europees Parlement en de Raad van 20 december 1994 betreffende verpakking en verpakkingsafval vervatte regel</w:t>
      </w:r>
      <w:r>
        <w:rPr>
          <w:rFonts w:ascii="Arial" w:hAnsi="Arial" w:cs="Arial"/>
          <w:u w:val="thick"/>
        </w:rPr>
        <w:t xml:space="preserve">s inzake evenredigheid en </w:t>
      </w:r>
      <w:r>
        <w:rPr>
          <w:rStyle w:val="ItalicUnderline"/>
          <w:rFonts w:ascii="Arial" w:hAnsi="Arial" w:cs="Arial"/>
          <w:i w:val="0"/>
          <w:iCs w:val="0"/>
        </w:rPr>
        <w:t>non-discriminatie.”.</w:t>
      </w:r>
    </w:p>
    <w:p w:rsidR="00000000" w:rsidRDefault="00224C6A">
      <w:pPr>
        <w:pStyle w:val="centeredARTICLE"/>
        <w:rPr>
          <w:rFonts w:ascii="Arial" w:hAnsi="Arial" w:cs="Arial"/>
        </w:rPr>
      </w:pPr>
      <w:r>
        <w:rPr>
          <w:rStyle w:val="Underline"/>
          <w:rFonts w:ascii="Arial" w:hAnsi="Arial" w:cs="Arial"/>
          <w:u w:val="none"/>
        </w:rPr>
        <w:t>Art.</w:t>
      </w:r>
      <w:r>
        <w:rPr>
          <w:rStyle w:val="Underline"/>
          <w:rFonts w:ascii="Arial" w:hAnsi="Arial" w:cs="Arial"/>
          <w:u w:val="none"/>
        </w:rPr>
        <w:t> </w:t>
      </w:r>
      <w:r>
        <w:rPr>
          <w:rStyle w:val="Underline"/>
          <w:rFonts w:ascii="Arial" w:hAnsi="Arial" w:cs="Arial"/>
        </w:rPr>
        <w:t>8</w:t>
      </w:r>
      <w:r>
        <w:rPr>
          <w:rStyle w:val="Underline"/>
          <w:rFonts w:ascii="Arial" w:hAnsi="Arial" w:cs="Arial"/>
          <w:u w:val="none"/>
        </w:rPr>
        <w:t xml:space="preserve"> </w:t>
      </w:r>
      <w:r>
        <w:rPr>
          <w:rFonts w:ascii="Arial" w:hAnsi="Arial" w:cs="Arial"/>
        </w:rPr>
        <w:t>(vroeger art. 7)</w:t>
      </w:r>
    </w:p>
    <w:p w:rsidR="00000000" w:rsidRDefault="00224C6A">
      <w:pPr>
        <w:pStyle w:val="BodyTextNL"/>
        <w:rPr>
          <w:rFonts w:ascii="Arial" w:hAnsi="Arial" w:cs="Arial"/>
        </w:rPr>
      </w:pPr>
      <w:r>
        <w:rPr>
          <w:rFonts w:ascii="Arial" w:hAnsi="Arial" w:cs="Arial"/>
        </w:rPr>
        <w:t>In artikel</w:t>
      </w:r>
      <w:r>
        <w:rPr>
          <w:rFonts w:ascii="Arial" w:hAnsi="Arial" w:cs="Arial"/>
        </w:rPr>
        <w:t> </w:t>
      </w:r>
      <w:r>
        <w:rPr>
          <w:rFonts w:ascii="Arial" w:hAnsi="Arial" w:cs="Arial"/>
        </w:rPr>
        <w:t>17, §</w:t>
      </w:r>
      <w:r>
        <w:rPr>
          <w:rFonts w:ascii="Arial" w:hAnsi="Arial" w:cs="Arial"/>
        </w:rPr>
        <w:t> </w:t>
      </w:r>
      <w:r>
        <w:rPr>
          <w:rFonts w:ascii="Arial" w:hAnsi="Arial" w:cs="Arial"/>
        </w:rPr>
        <w:t>2, 2°, van dezelfde wet van 21</w:t>
      </w:r>
      <w:r>
        <w:rPr>
          <w:rFonts w:ascii="Arial" w:hAnsi="Arial" w:cs="Arial"/>
        </w:rPr>
        <w:t> </w:t>
      </w:r>
      <w:r>
        <w:rPr>
          <w:rFonts w:ascii="Arial" w:hAnsi="Arial" w:cs="Arial"/>
        </w:rPr>
        <w:t>december 1998 worden de woorden “van de artikelen</w:t>
      </w:r>
      <w:r>
        <w:rPr>
          <w:rFonts w:ascii="Arial" w:hAnsi="Arial" w:cs="Arial"/>
        </w:rPr>
        <w:t> </w:t>
      </w:r>
      <w:r>
        <w:rPr>
          <w:rFonts w:ascii="Arial" w:hAnsi="Arial" w:cs="Arial"/>
        </w:rPr>
        <w:t>10 tot 14” vervangen door de woorden “van de artikelen</w:t>
      </w:r>
      <w:r>
        <w:rPr>
          <w:rFonts w:ascii="Arial" w:hAnsi="Arial" w:cs="Arial"/>
        </w:rPr>
        <w:t> </w:t>
      </w:r>
      <w:r>
        <w:rPr>
          <w:rFonts w:ascii="Arial" w:hAnsi="Arial" w:cs="Arial"/>
          <w:u w:val="thick"/>
          <w:lang w:val="fr-FR"/>
        </w:rPr>
        <w:t>9bis</w:t>
      </w:r>
      <w:r>
        <w:rPr>
          <w:rFonts w:ascii="Arial" w:hAnsi="Arial" w:cs="Arial"/>
        </w:rPr>
        <w:t xml:space="preserve"> tot 14”.</w:t>
      </w:r>
    </w:p>
    <w:p w:rsidR="00000000" w:rsidRDefault="00224C6A">
      <w:pPr>
        <w:pStyle w:val="centeredARTICLE"/>
        <w:rPr>
          <w:rFonts w:ascii="Arial" w:hAnsi="Arial" w:cs="Arial"/>
        </w:rPr>
      </w:pPr>
      <w:r>
        <w:rPr>
          <w:rStyle w:val="Underline"/>
          <w:rFonts w:ascii="Arial" w:hAnsi="Arial" w:cs="Arial"/>
        </w:rPr>
        <w:t>Art.</w:t>
      </w:r>
      <w:r>
        <w:rPr>
          <w:rStyle w:val="Underline"/>
          <w:rFonts w:ascii="Arial" w:hAnsi="Arial" w:cs="Arial"/>
        </w:rPr>
        <w:t> </w:t>
      </w:r>
      <w:r>
        <w:rPr>
          <w:rStyle w:val="Underline"/>
          <w:rFonts w:ascii="Arial" w:hAnsi="Arial" w:cs="Arial"/>
        </w:rPr>
        <w:t>9</w:t>
      </w:r>
      <w:r>
        <w:rPr>
          <w:rFonts w:ascii="Arial" w:hAnsi="Arial" w:cs="Arial"/>
        </w:rPr>
        <w:t xml:space="preserve"> (</w:t>
      </w:r>
      <w:r>
        <w:rPr>
          <w:rFonts w:ascii="Arial" w:hAnsi="Arial" w:cs="Arial"/>
          <w:i/>
          <w:iCs/>
        </w:rPr>
        <w:t>nieuw</w:t>
      </w:r>
      <w:r>
        <w:rPr>
          <w:rFonts w:ascii="Arial" w:hAnsi="Arial" w:cs="Arial"/>
        </w:rPr>
        <w:t>)</w:t>
      </w:r>
    </w:p>
    <w:p w:rsidR="00000000" w:rsidRDefault="00224C6A">
      <w:pPr>
        <w:pStyle w:val="BodyTextNL"/>
        <w:rPr>
          <w:rStyle w:val="Italic"/>
          <w:rFonts w:ascii="Arial" w:hAnsi="Arial" w:cs="Arial"/>
        </w:rPr>
      </w:pPr>
      <w:r>
        <w:rPr>
          <w:rFonts w:ascii="Arial" w:hAnsi="Arial" w:cs="Arial"/>
        </w:rPr>
        <w:t>De plastic draagtassen waarvan het in de handel brengen krachtens artikel</w:t>
      </w:r>
      <w:r>
        <w:rPr>
          <w:rFonts w:ascii="Arial" w:hAnsi="Arial" w:cs="Arial"/>
        </w:rPr>
        <w:t> </w:t>
      </w:r>
      <w:r>
        <w:rPr>
          <w:rFonts w:ascii="Arial" w:hAnsi="Arial" w:cs="Arial"/>
          <w:u w:val="thick"/>
          <w:lang w:val="fr-FR"/>
        </w:rPr>
        <w:t>9quater</w:t>
      </w:r>
      <w:r>
        <w:rPr>
          <w:rFonts w:ascii="Arial" w:hAnsi="Arial" w:cs="Arial"/>
        </w:rPr>
        <w:t xml:space="preserve"> van dezelfde wet verboden is en die door de kleinhandelaar zijn betaald vóór de datum van inwerkingtreding bedoeld in artikel</w:t>
      </w:r>
      <w:r>
        <w:rPr>
          <w:rFonts w:ascii="Arial" w:hAnsi="Arial" w:cs="Arial"/>
        </w:rPr>
        <w:t> </w:t>
      </w:r>
      <w:r>
        <w:rPr>
          <w:rStyle w:val="Underline"/>
          <w:rFonts w:ascii="Arial" w:hAnsi="Arial" w:cs="Arial"/>
        </w:rPr>
        <w:t>10</w:t>
      </w:r>
      <w:r>
        <w:rPr>
          <w:rFonts w:ascii="Arial" w:hAnsi="Arial" w:cs="Arial"/>
        </w:rPr>
        <w:t>,</w:t>
      </w:r>
      <w:r>
        <w:rPr>
          <w:rFonts w:ascii="Arial" w:hAnsi="Arial" w:cs="Arial"/>
          <w:u w:val="thick"/>
        </w:rPr>
        <w:t xml:space="preserve"> </w:t>
      </w:r>
      <w:r>
        <w:rPr>
          <w:rFonts w:ascii="Arial" w:hAnsi="Arial" w:cs="Arial"/>
        </w:rPr>
        <w:t>tweede lid, van deze wet, mogen vanaf die da</w:t>
      </w:r>
      <w:r>
        <w:rPr>
          <w:rFonts w:ascii="Arial" w:hAnsi="Arial" w:cs="Arial"/>
        </w:rPr>
        <w:t xml:space="preserve">tum nog </w:t>
      </w:r>
      <w:r>
        <w:rPr>
          <w:rStyle w:val="Italic"/>
          <w:rFonts w:ascii="Arial" w:hAnsi="Arial" w:cs="Arial"/>
          <w:i w:val="0"/>
          <w:iCs w:val="0"/>
        </w:rPr>
        <w:t>gedurende zes maanden van de hand worden gedaan.</w:t>
      </w:r>
      <w:r>
        <w:rPr>
          <w:rStyle w:val="Italic"/>
          <w:rFonts w:ascii="Arial" w:hAnsi="Arial" w:cs="Arial"/>
        </w:rPr>
        <w:t xml:space="preserve"> </w:t>
      </w:r>
    </w:p>
    <w:p w:rsidR="00000000" w:rsidRDefault="00224C6A">
      <w:pPr>
        <w:pStyle w:val="centeredARTICLE"/>
        <w:rPr>
          <w:rStyle w:val="Underline"/>
          <w:rFonts w:ascii="Arial" w:hAnsi="Arial" w:cs="Arial"/>
        </w:rPr>
      </w:pPr>
      <w:r>
        <w:rPr>
          <w:rStyle w:val="Underline"/>
          <w:rFonts w:ascii="Arial" w:hAnsi="Arial" w:cs="Arial"/>
          <w:u w:val="none"/>
        </w:rPr>
        <w:t>Art.</w:t>
      </w:r>
      <w:r>
        <w:rPr>
          <w:rStyle w:val="Underline"/>
          <w:rFonts w:ascii="Arial" w:hAnsi="Arial" w:cs="Arial"/>
          <w:u w:val="none"/>
        </w:rPr>
        <w:t> </w:t>
      </w:r>
      <w:r>
        <w:rPr>
          <w:rStyle w:val="Underline"/>
          <w:rFonts w:ascii="Arial" w:hAnsi="Arial" w:cs="Arial"/>
        </w:rPr>
        <w:t>10</w:t>
      </w:r>
      <w:r>
        <w:rPr>
          <w:rStyle w:val="Underline"/>
          <w:rFonts w:ascii="Arial" w:hAnsi="Arial" w:cs="Arial"/>
          <w:u w:val="none"/>
        </w:rPr>
        <w:t xml:space="preserve"> </w:t>
      </w:r>
      <w:r>
        <w:rPr>
          <w:rFonts w:ascii="Arial" w:hAnsi="Arial" w:cs="Arial"/>
        </w:rPr>
        <w:t>(vroeger art. 8)</w:t>
      </w:r>
    </w:p>
    <w:p w:rsidR="00000000" w:rsidRDefault="00224C6A">
      <w:pPr>
        <w:pStyle w:val="BodyTextNL"/>
        <w:rPr>
          <w:rFonts w:ascii="Arial" w:hAnsi="Arial" w:cs="Arial"/>
        </w:rPr>
      </w:pPr>
      <w:r>
        <w:rPr>
          <w:rFonts w:ascii="Arial" w:hAnsi="Arial" w:cs="Arial"/>
        </w:rPr>
        <w:t>Deze wet treedt in werking op 3</w:t>
      </w:r>
      <w:r>
        <w:rPr>
          <w:rFonts w:ascii="Arial" w:hAnsi="Arial" w:cs="Arial"/>
        </w:rPr>
        <w:t> </w:t>
      </w:r>
      <w:r>
        <w:rPr>
          <w:rFonts w:ascii="Arial" w:hAnsi="Arial" w:cs="Arial"/>
        </w:rPr>
        <w:t>juli 2021.</w:t>
      </w:r>
    </w:p>
    <w:p w:rsidR="00000000" w:rsidRDefault="00224C6A">
      <w:pPr>
        <w:pStyle w:val="BodyTextNL"/>
        <w:rPr>
          <w:rFonts w:ascii="Arial" w:hAnsi="Arial" w:cs="Arial"/>
        </w:rPr>
      </w:pPr>
      <w:r>
        <w:rPr>
          <w:rFonts w:ascii="Arial" w:hAnsi="Arial" w:cs="Arial"/>
        </w:rPr>
        <w:t>De Koning kan een datum van inwerkingtreding bepalen voorafgaand aan de datum vermeld in het eerste lid.</w:t>
      </w:r>
    </w:p>
    <w:p w:rsidR="00000000" w:rsidRDefault="00224C6A">
      <w:pPr>
        <w:pStyle w:val="BodyTextNL"/>
      </w:pPr>
      <w:r>
        <w:rPr>
          <w:rFonts w:ascii="Arial" w:hAnsi="Arial" w:cs="Arial"/>
        </w:rPr>
        <w:t>In afwijking van het eers</w:t>
      </w:r>
      <w:r>
        <w:rPr>
          <w:rFonts w:ascii="Arial" w:hAnsi="Arial" w:cs="Arial"/>
        </w:rPr>
        <w:t xml:space="preserve">te en het tweede lid, </w:t>
      </w:r>
      <w:r>
        <w:rPr>
          <w:rFonts w:ascii="Arial" w:hAnsi="Arial" w:cs="Arial"/>
          <w:u w:val="thick"/>
        </w:rPr>
        <w:t>treden de artikelen</w:t>
      </w:r>
      <w:r>
        <w:rPr>
          <w:rFonts w:ascii="Arial" w:hAnsi="Arial" w:cs="Arial"/>
          <w:u w:val="thick"/>
        </w:rPr>
        <w:t> </w:t>
      </w:r>
      <w:r>
        <w:rPr>
          <w:rFonts w:ascii="Arial" w:hAnsi="Arial" w:cs="Arial"/>
          <w:u w:val="thick"/>
        </w:rPr>
        <w:t>3, 4, 7 en 8</w:t>
      </w:r>
      <w:r>
        <w:rPr>
          <w:rFonts w:ascii="Arial" w:hAnsi="Arial" w:cs="Arial"/>
        </w:rPr>
        <w:t xml:space="preserve"> in werking zes maanden na de bekendmaking van deze wet in het </w:t>
      </w:r>
      <w:r>
        <w:rPr>
          <w:rStyle w:val="Italic"/>
          <w:rFonts w:ascii="Arial" w:hAnsi="Arial" w:cs="Arial"/>
        </w:rPr>
        <w:t xml:space="preserve">Belgisch </w:t>
      </w:r>
      <w:r>
        <w:rPr>
          <w:rStyle w:val="Italic"/>
          <w:rFonts w:ascii="Arial" w:hAnsi="Arial" w:cs="Arial"/>
          <w:u w:val="thick"/>
        </w:rPr>
        <w:t>Staatsblad</w:t>
      </w:r>
      <w:r>
        <w:rPr>
          <w:rFonts w:ascii="Arial" w:hAnsi="Arial" w:cs="Arial"/>
        </w:rPr>
        <w:t>.</w:t>
      </w:r>
    </w:p>
    <w:sectPr w:rsidR="00000000">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LT Std">
    <w:altName w:val="Arial"/>
    <w:panose1 w:val="00000000000000000000"/>
    <w:charset w:val="CC"/>
    <w:family w:val="auto"/>
    <w:notTrueType/>
    <w:pitch w:val="default"/>
    <w:sig w:usb0="00000201" w:usb1="00000000" w:usb2="00000000" w:usb3="00000000" w:csb0="00000004"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24C6A"/>
    <w:rsid w:val="00224C6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6B2BA8E-28E1-4DE1-8A66-0220D7F87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Helvetica LT Std" w:hAnsi="Helvetica LT Std" w:cs="Helvetica LT Std"/>
      <w:color w:val="000000"/>
      <w:sz w:val="24"/>
      <w:szCs w:val="24"/>
      <w:lang w:val="en-US"/>
    </w:rPr>
  </w:style>
  <w:style w:type="paragraph" w:customStyle="1" w:styleId="BodyTextNL">
    <w:name w:val="BodyText_NL"/>
    <w:basedOn w:val="NoParagraphStyle"/>
    <w:uiPriority w:val="99"/>
    <w:pPr>
      <w:spacing w:after="240"/>
      <w:ind w:firstLine="227"/>
      <w:jc w:val="both"/>
    </w:pPr>
    <w:rPr>
      <w:sz w:val="20"/>
      <w:szCs w:val="20"/>
      <w:lang w:val="nl-NL"/>
    </w:rPr>
  </w:style>
  <w:style w:type="paragraph" w:customStyle="1" w:styleId="centeredARTICLE">
    <w:name w:val="centered ARTICLE"/>
    <w:basedOn w:val="BodyTextNL"/>
    <w:next w:val="NoParagraphStyle"/>
    <w:uiPriority w:val="99"/>
    <w:pPr>
      <w:keepNext/>
      <w:keepLines/>
      <w:suppressAutoHyphens/>
      <w:spacing w:before="240"/>
      <w:ind w:firstLine="0"/>
      <w:jc w:val="center"/>
    </w:pPr>
  </w:style>
  <w:style w:type="character" w:customStyle="1" w:styleId="Underline">
    <w:name w:val="_Underline"/>
    <w:uiPriority w:val="99"/>
    <w:rPr>
      <w:u w:val="thick"/>
    </w:rPr>
  </w:style>
  <w:style w:type="character" w:customStyle="1" w:styleId="Italic">
    <w:name w:val="_Italic"/>
    <w:uiPriority w:val="99"/>
    <w:rPr>
      <w:i/>
      <w:iCs/>
    </w:rPr>
  </w:style>
  <w:style w:type="character" w:customStyle="1" w:styleId="ItalicUnderline">
    <w:name w:val="_Italic_Underline"/>
    <w:basedOn w:val="Italic"/>
    <w:uiPriority w:val="99"/>
    <w:rPr>
      <w:i/>
      <w:iCs/>
      <w:u w:val="thick"/>
    </w:rPr>
  </w:style>
  <w:style w:type="character" w:customStyle="1" w:styleId="Sup">
    <w:name w:val="_Sup"/>
    <w:uiPriority w:val="99"/>
    <w:rPr>
      <w:vertAlign w:val="superscript"/>
    </w:rPr>
  </w:style>
  <w:style w:type="character" w:customStyle="1" w:styleId="Bold">
    <w:name w:val="_Bold"/>
    <w:uiPriority w:val="99"/>
    <w:rPr>
      <w:b/>
      <w:bCs/>
    </w:rPr>
  </w:style>
  <w:style w:type="character" w:customStyle="1" w:styleId="BoldUnderline">
    <w:name w:val="_Bold_Underline"/>
    <w:basedOn w:val="Bold"/>
    <w:uiPriority w:val="99"/>
    <w:rPr>
      <w:b/>
      <w:bCs/>
      <w:u w:val="thick"/>
    </w:rPr>
  </w:style>
  <w:style w:type="character" w:customStyle="1" w:styleId="Caps">
    <w:name w:val="_Caps"/>
    <w:uiPriority w:val="99"/>
    <w:rPr>
      <w:caps/>
    </w:rPr>
  </w:style>
  <w:style w:type="character" w:customStyle="1" w:styleId="BoldCaps">
    <w:name w:val="_Bold_Caps"/>
    <w:basedOn w:val="Bold"/>
    <w:uiPriority w:val="99"/>
    <w:rPr>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1132</Words>
  <Characters>6229</Characters>
  <Application>Microsoft Office Word</Application>
  <DocSecurity>4</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Wenkin (FOD Economie - SPF Economie)</dc:creator>
  <cp:keywords/>
  <dc:description/>
  <cp:lastModifiedBy>Laurent Wenkin (FOD Economie - SPF Economie)</cp:lastModifiedBy>
  <cp:revision>2</cp:revision>
  <dcterms:created xsi:type="dcterms:W3CDTF">2020-09-03T06:54:00Z</dcterms:created>
  <dcterms:modified xsi:type="dcterms:W3CDTF">2020-09-03T06:54:00Z</dcterms:modified>
</cp:coreProperties>
</file>