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901FB" w14:textId="580CCA28" w:rsidR="008F5571" w:rsidRPr="008F5571" w:rsidRDefault="008F5571" w:rsidP="008F5571">
      <w:pPr>
        <w:spacing w:after="0" w:line="240" w:lineRule="auto"/>
        <w:rPr>
          <w:rFonts w:ascii="Courier New" w:hAnsi="Courier New" w:cs="Courier New"/>
          <w:sz w:val="20"/>
          <w:szCs w:val="20"/>
        </w:rPr>
      </w:pPr>
      <w:r>
        <w:rPr>
          <w:rFonts w:ascii="Courier New" w:hAnsi="Courier New"/>
          <w:sz w:val="20"/>
        </w:rPr>
        <w:t>1. ------IND- 2020 0549 B-- SV- ------ 20200911 --- --- PROJET</w:t>
      </w:r>
    </w:p>
    <w:p w14:paraId="72BFD6B2" w14:textId="77777777" w:rsidR="008F5571" w:rsidRPr="008F5571" w:rsidRDefault="008F5571" w:rsidP="008F5571">
      <w:pPr>
        <w:spacing w:after="0" w:line="240" w:lineRule="auto"/>
      </w:pPr>
    </w:p>
    <w:p w14:paraId="71744518" w14:textId="2E9DB1EE" w:rsidR="00994A23" w:rsidRDefault="00224C6A">
      <w:pPr>
        <w:pStyle w:val="centeredARTICLE"/>
        <w:rPr>
          <w:rFonts w:ascii="Arial" w:hAnsi="Arial" w:cs="Arial"/>
        </w:rPr>
      </w:pPr>
      <w:r>
        <w:rPr>
          <w:rFonts w:ascii="Arial" w:hAnsi="Arial"/>
        </w:rPr>
        <w:t>Artikel 1</w:t>
      </w:r>
    </w:p>
    <w:p w14:paraId="148B8B34" w14:textId="77777777" w:rsidR="00994A23" w:rsidRDefault="00224C6A">
      <w:pPr>
        <w:pStyle w:val="BodyTextNL"/>
        <w:rPr>
          <w:rFonts w:ascii="Arial" w:hAnsi="Arial" w:cs="Arial"/>
        </w:rPr>
      </w:pPr>
      <w:r>
        <w:rPr>
          <w:rFonts w:ascii="Arial" w:hAnsi="Arial"/>
        </w:rPr>
        <w:t>Genom denna lag regleras det ämne som avses i artikel 74 i den belgiska konstitutionen.</w:t>
      </w:r>
    </w:p>
    <w:p w14:paraId="48680981" w14:textId="77777777" w:rsidR="00994A23" w:rsidRDefault="00224C6A">
      <w:pPr>
        <w:pStyle w:val="centeredARTICLE"/>
        <w:rPr>
          <w:rFonts w:ascii="Arial" w:hAnsi="Arial" w:cs="Arial"/>
        </w:rPr>
      </w:pPr>
      <w:r>
        <w:rPr>
          <w:rFonts w:ascii="Arial" w:hAnsi="Arial"/>
          <w:u w:val="thick"/>
        </w:rPr>
        <w:t>Artikel 2</w:t>
      </w:r>
      <w:r>
        <w:rPr>
          <w:rFonts w:ascii="Arial" w:hAnsi="Arial"/>
        </w:rPr>
        <w:t xml:space="preserve"> </w:t>
      </w:r>
      <w:r>
        <w:rPr>
          <w:rFonts w:ascii="Arial" w:hAnsi="Arial"/>
          <w:i/>
        </w:rPr>
        <w:t>(ny)</w:t>
      </w:r>
    </w:p>
    <w:p w14:paraId="5A417BDE" w14:textId="77777777" w:rsidR="00994A23" w:rsidRDefault="00224C6A">
      <w:pPr>
        <w:pStyle w:val="BodyTextNL"/>
        <w:rPr>
          <w:rFonts w:ascii="Arial" w:hAnsi="Arial" w:cs="Arial"/>
        </w:rPr>
      </w:pPr>
      <w:r>
        <w:rPr>
          <w:rFonts w:ascii="Arial" w:hAnsi="Arial"/>
        </w:rPr>
        <w:t>I denna lag fastställs ofullständigt införlivande av Europaparlamentets och rådets direktiv (EU) 2019/904 av den 5 juni 2019 om minskning av vissa plastprodukters inverkan på miljön och Europaparlamentets och rådets direktiv (EU) 2015/720 av den 29 april 2015 om ändring av direktiv 94/62/EG när det gäller att minska förbrukningen av tunna plastbärkassar.</w:t>
      </w:r>
    </w:p>
    <w:p w14:paraId="1D39E3F8" w14:textId="77777777" w:rsidR="00994A23" w:rsidRDefault="00224C6A">
      <w:pPr>
        <w:pStyle w:val="centeredARTICLE"/>
        <w:rPr>
          <w:rFonts w:ascii="Arial" w:hAnsi="Arial" w:cs="Arial"/>
        </w:rPr>
      </w:pPr>
      <w:r>
        <w:rPr>
          <w:rFonts w:ascii="Arial" w:hAnsi="Arial"/>
        </w:rPr>
        <w:t>Artikel </w:t>
      </w:r>
      <w:r>
        <w:rPr>
          <w:rFonts w:ascii="Arial" w:hAnsi="Arial"/>
          <w:u w:val="thick"/>
        </w:rPr>
        <w:t>3</w:t>
      </w:r>
      <w:r>
        <w:rPr>
          <w:rFonts w:ascii="Arial" w:hAnsi="Arial"/>
        </w:rPr>
        <w:t xml:space="preserve"> (tidigare artikel 2)</w:t>
      </w:r>
    </w:p>
    <w:p w14:paraId="50EB5F49" w14:textId="77777777" w:rsidR="00994A23" w:rsidRDefault="00224C6A">
      <w:pPr>
        <w:pStyle w:val="BodyTextNL"/>
        <w:rPr>
          <w:rFonts w:ascii="Arial" w:hAnsi="Arial" w:cs="Arial"/>
        </w:rPr>
      </w:pPr>
      <w:r>
        <w:rPr>
          <w:rFonts w:ascii="Arial" w:hAnsi="Arial"/>
        </w:rPr>
        <w:t xml:space="preserve">Artikel 2 i lagen av den 21 december 1998 om produktstandarder för främjande av hållbara produktions- och konsumtionsmönster och för skydd av miljön, folkhälsan och anställda, </w:t>
      </w:r>
      <w:r>
        <w:rPr>
          <w:rFonts w:ascii="Arial" w:hAnsi="Arial"/>
          <w:u w:val="thick"/>
        </w:rPr>
        <w:t>senast</w:t>
      </w:r>
      <w:r>
        <w:rPr>
          <w:rFonts w:ascii="Arial" w:hAnsi="Arial"/>
        </w:rPr>
        <w:t xml:space="preserve"> ändrad genom lagen av den 16 december 2015, kompletteras härmed med bestämmelserna 23 till 26 med följande lydelse:</w:t>
      </w:r>
    </w:p>
    <w:p w14:paraId="70B34437" w14:textId="77777777" w:rsidR="00994A23" w:rsidRDefault="00224C6A">
      <w:pPr>
        <w:pStyle w:val="BodyTextNL"/>
        <w:rPr>
          <w:rFonts w:ascii="Arial" w:hAnsi="Arial" w:cs="Arial"/>
        </w:rPr>
      </w:pPr>
      <w:r>
        <w:rPr>
          <w:rFonts w:ascii="Arial" w:hAnsi="Arial"/>
        </w:rPr>
        <w:t xml:space="preserve">”23. </w:t>
      </w:r>
      <w:r>
        <w:rPr>
          <w:rFonts w:ascii="Arial" w:hAnsi="Arial"/>
          <w:i/>
          <w:iCs/>
        </w:rPr>
        <w:t>plast</w:t>
      </w:r>
      <w:r>
        <w:rPr>
          <w:rFonts w:ascii="Arial" w:hAnsi="Arial"/>
        </w:rPr>
        <w:t xml:space="preserve">: material bestående av polymer enligt definitionen i artikel 3.5 i </w:t>
      </w:r>
      <w:r>
        <w:rPr>
          <w:rFonts w:ascii="Arial" w:hAnsi="Arial"/>
          <w:u w:val="thick"/>
        </w:rPr>
        <w:t>Reach</w:t>
      </w:r>
      <w:r>
        <w:rPr>
          <w:rFonts w:ascii="Arial" w:hAnsi="Arial"/>
        </w:rPr>
        <w:t>, till vilken tillsatser eller andra ämnen kan ha tillsatts och som kan fungera som en strukturell huvudbeståndsdel i slutprodukterna, med undantag av naturliga polymerer som inte har modifierats kemiskt.</w:t>
      </w:r>
    </w:p>
    <w:p w14:paraId="284CE3E0" w14:textId="77777777" w:rsidR="00994A23" w:rsidRDefault="00224C6A">
      <w:pPr>
        <w:pStyle w:val="BodyTextNL"/>
        <w:rPr>
          <w:rFonts w:ascii="Arial" w:hAnsi="Arial" w:cs="Arial"/>
        </w:rPr>
      </w:pPr>
      <w:r>
        <w:rPr>
          <w:rFonts w:ascii="Arial" w:hAnsi="Arial"/>
        </w:rPr>
        <w:t xml:space="preserve">24. </w:t>
      </w:r>
      <w:r>
        <w:rPr>
          <w:rFonts w:ascii="Arial" w:hAnsi="Arial"/>
          <w:i/>
          <w:iCs/>
        </w:rPr>
        <w:t>plastprodukter för engångsbruk</w:t>
      </w:r>
      <w:r>
        <w:rPr>
          <w:rFonts w:ascii="Arial" w:hAnsi="Arial"/>
        </w:rPr>
        <w:t>: produkter som helt eller delvis består av plast och som inte har utformats, konstruerats eller släppts ut på marknaden för att under sin livscykel återanvändas flera gånger genom att sändas tillbaka till en producent för att återfyllas eller återanvändas för samma ändamål som den utformades för.</w:t>
      </w:r>
    </w:p>
    <w:p w14:paraId="28CEBF73" w14:textId="77777777" w:rsidR="00994A23" w:rsidRDefault="00224C6A">
      <w:pPr>
        <w:pStyle w:val="BodyTextNL"/>
        <w:rPr>
          <w:rFonts w:ascii="Arial" w:hAnsi="Arial" w:cs="Arial"/>
        </w:rPr>
      </w:pPr>
      <w:r>
        <w:rPr>
          <w:rFonts w:ascii="Arial" w:hAnsi="Arial"/>
        </w:rPr>
        <w:t xml:space="preserve">25. </w:t>
      </w:r>
      <w:r>
        <w:rPr>
          <w:rFonts w:ascii="Arial" w:hAnsi="Arial"/>
          <w:i/>
          <w:iCs/>
        </w:rPr>
        <w:t>oxo-nedbrytbar plast</w:t>
      </w:r>
      <w:r>
        <w:rPr>
          <w:rFonts w:ascii="Arial" w:hAnsi="Arial"/>
        </w:rPr>
        <w:t>: plastmaterial som innehåller tillsatser som genom oxidation gör att plastmaterialet fragmenteras till mikrofragment eller bryts ned kemiskt.</w:t>
      </w:r>
    </w:p>
    <w:p w14:paraId="1E9365A9" w14:textId="77777777" w:rsidR="00994A23" w:rsidRDefault="00224C6A">
      <w:pPr>
        <w:pStyle w:val="BodyTextNL"/>
        <w:rPr>
          <w:rFonts w:ascii="Arial" w:hAnsi="Arial" w:cs="Arial"/>
        </w:rPr>
      </w:pPr>
      <w:r>
        <w:rPr>
          <w:rStyle w:val="Underline"/>
          <w:rFonts w:ascii="Arial" w:hAnsi="Arial"/>
        </w:rPr>
        <w:t xml:space="preserve">26. </w:t>
      </w:r>
      <w:r>
        <w:rPr>
          <w:rStyle w:val="Underline"/>
          <w:rFonts w:ascii="Arial" w:hAnsi="Arial"/>
          <w:i/>
          <w:iCs/>
        </w:rPr>
        <w:t>plastbärkasse för engångsbruk</w:t>
      </w:r>
      <w:r>
        <w:rPr>
          <w:rStyle w:val="Underline"/>
          <w:rFonts w:ascii="Arial" w:hAnsi="Arial"/>
        </w:rPr>
        <w:t>: en tunn plastbärkasse eller en mycket tunn plastbärkasse, i den mening som avses i Europaparlamentets och rådets direktiv 94/62/EG av den 20 december 1994 om förpackningar och förpackningsavfall, som helt eller delvis är av plast och som inte är utformad, producerad eller har släppts ut på marknaden i syfte att återanvändas, under sin livscykel, för samma ändamål som den utformades för.”</w:t>
      </w:r>
    </w:p>
    <w:p w14:paraId="17AFD7CB" w14:textId="77777777" w:rsidR="00994A23" w:rsidRDefault="00224C6A">
      <w:pPr>
        <w:pStyle w:val="centeredARTICLE"/>
        <w:rPr>
          <w:rFonts w:ascii="Arial" w:hAnsi="Arial" w:cs="Arial"/>
        </w:rPr>
      </w:pPr>
      <w:r>
        <w:rPr>
          <w:rFonts w:ascii="Arial" w:hAnsi="Arial"/>
        </w:rPr>
        <w:t>Artikel </w:t>
      </w:r>
      <w:r>
        <w:rPr>
          <w:rFonts w:ascii="Arial" w:hAnsi="Arial"/>
          <w:u w:val="thick"/>
        </w:rPr>
        <w:t>4</w:t>
      </w:r>
      <w:r>
        <w:rPr>
          <w:rFonts w:ascii="Arial" w:hAnsi="Arial"/>
        </w:rPr>
        <w:t xml:space="preserve"> (tidigare artikel 3)</w:t>
      </w:r>
    </w:p>
    <w:p w14:paraId="4FF64097" w14:textId="77777777" w:rsidR="00994A23" w:rsidRDefault="00224C6A" w:rsidP="008F5571">
      <w:pPr>
        <w:pStyle w:val="BodyTextNL"/>
        <w:keepNext/>
        <w:keepLines/>
        <w:rPr>
          <w:rFonts w:ascii="Arial" w:hAnsi="Arial" w:cs="Arial"/>
        </w:rPr>
      </w:pPr>
      <w:r>
        <w:rPr>
          <w:rFonts w:ascii="Arial" w:hAnsi="Arial"/>
        </w:rPr>
        <w:t>Kapitel IV</w:t>
      </w:r>
      <w:r>
        <w:rPr>
          <w:rStyle w:val="Italic"/>
          <w:rFonts w:ascii="Arial" w:hAnsi="Arial"/>
        </w:rPr>
        <w:t xml:space="preserve">bis </w:t>
      </w:r>
      <w:r>
        <w:rPr>
          <w:rFonts w:ascii="Arial" w:hAnsi="Arial"/>
        </w:rPr>
        <w:t>ska införas i samma lag, med följande lydelse:</w:t>
      </w:r>
    </w:p>
    <w:p w14:paraId="3518C363" w14:textId="77777777" w:rsidR="00994A23" w:rsidRDefault="00224C6A">
      <w:pPr>
        <w:pStyle w:val="BodyTextNL"/>
        <w:rPr>
          <w:rFonts w:ascii="Arial" w:hAnsi="Arial" w:cs="Arial"/>
        </w:rPr>
      </w:pPr>
      <w:r>
        <w:rPr>
          <w:rFonts w:ascii="Arial" w:hAnsi="Arial"/>
        </w:rPr>
        <w:t>”Kapitel IV</w:t>
      </w:r>
      <w:r>
        <w:rPr>
          <w:rStyle w:val="Italic"/>
          <w:rFonts w:ascii="Arial" w:hAnsi="Arial"/>
        </w:rPr>
        <w:t>bis</w:t>
      </w:r>
      <w:r>
        <w:rPr>
          <w:rFonts w:ascii="Arial" w:hAnsi="Arial"/>
        </w:rPr>
        <w:t xml:space="preserve">. Särskilda bestämmelser om </w:t>
      </w:r>
      <w:r>
        <w:rPr>
          <w:rFonts w:ascii="Arial" w:hAnsi="Arial"/>
          <w:u w:val="thick"/>
        </w:rPr>
        <w:t>plastprodukter</w:t>
      </w:r>
      <w:r>
        <w:rPr>
          <w:rFonts w:ascii="Arial" w:hAnsi="Arial"/>
        </w:rPr>
        <w:t>”.</w:t>
      </w:r>
    </w:p>
    <w:p w14:paraId="120C8156" w14:textId="77777777" w:rsidR="00994A23" w:rsidRDefault="00224C6A">
      <w:pPr>
        <w:pStyle w:val="centeredARTICLE"/>
        <w:rPr>
          <w:rFonts w:ascii="Arial" w:hAnsi="Arial" w:cs="Arial"/>
        </w:rPr>
      </w:pPr>
      <w:r>
        <w:rPr>
          <w:rFonts w:ascii="Arial" w:hAnsi="Arial"/>
        </w:rPr>
        <w:t>Artikel </w:t>
      </w:r>
      <w:r>
        <w:rPr>
          <w:rFonts w:ascii="Arial" w:hAnsi="Arial"/>
          <w:u w:val="thick"/>
        </w:rPr>
        <w:t>5</w:t>
      </w:r>
      <w:r>
        <w:rPr>
          <w:rFonts w:ascii="Arial" w:hAnsi="Arial"/>
        </w:rPr>
        <w:t xml:space="preserve"> (tidigare artikel 4)</w:t>
      </w:r>
    </w:p>
    <w:p w14:paraId="04CA87F4" w14:textId="77777777" w:rsidR="00994A23" w:rsidRDefault="00224C6A" w:rsidP="008F5571">
      <w:pPr>
        <w:pStyle w:val="BodyTextNL"/>
        <w:keepNext/>
        <w:keepLines/>
        <w:rPr>
          <w:rFonts w:ascii="Arial" w:hAnsi="Arial" w:cs="Arial"/>
        </w:rPr>
      </w:pPr>
      <w:r>
        <w:rPr>
          <w:rFonts w:ascii="Arial" w:hAnsi="Arial"/>
        </w:rPr>
        <w:t xml:space="preserve">Artikel </w:t>
      </w:r>
      <w:r>
        <w:rPr>
          <w:rFonts w:ascii="Arial" w:hAnsi="Arial"/>
          <w:u w:val="thick"/>
        </w:rPr>
        <w:t>9bis</w:t>
      </w:r>
      <w:r>
        <w:rPr>
          <w:rFonts w:ascii="Arial" w:hAnsi="Arial"/>
        </w:rPr>
        <w:t xml:space="preserve"> ska införas i ovan nämnda kapitel IV</w:t>
      </w:r>
      <w:r>
        <w:rPr>
          <w:rStyle w:val="Italic"/>
          <w:rFonts w:ascii="Arial" w:hAnsi="Arial"/>
        </w:rPr>
        <w:t>bis</w:t>
      </w:r>
      <w:r>
        <w:rPr>
          <w:rFonts w:ascii="Arial" w:hAnsi="Arial"/>
        </w:rPr>
        <w:t>, med följande lydelse:</w:t>
      </w:r>
    </w:p>
    <w:p w14:paraId="68CE4898" w14:textId="77777777" w:rsidR="00994A23" w:rsidRDefault="00224C6A">
      <w:pPr>
        <w:pStyle w:val="BodyTextNL"/>
        <w:rPr>
          <w:rFonts w:ascii="Arial" w:hAnsi="Arial" w:cs="Arial"/>
        </w:rPr>
      </w:pPr>
      <w:r>
        <w:rPr>
          <w:rFonts w:ascii="Arial" w:hAnsi="Arial"/>
        </w:rPr>
        <w:t>”Artikel </w:t>
      </w:r>
      <w:r>
        <w:rPr>
          <w:rFonts w:ascii="Arial" w:hAnsi="Arial"/>
          <w:u w:val="thick"/>
        </w:rPr>
        <w:t>9bis</w:t>
      </w:r>
      <w:r>
        <w:rPr>
          <w:rFonts w:ascii="Arial" w:hAnsi="Arial"/>
        </w:rPr>
        <w:t>. Det är förbjudet att släppa ut produkter av oxo-nedbrytbar plast på marknaden.”</w:t>
      </w:r>
    </w:p>
    <w:p w14:paraId="4CC3EED2" w14:textId="77777777" w:rsidR="00994A23" w:rsidRDefault="00224C6A">
      <w:pPr>
        <w:pStyle w:val="centeredARTICLE"/>
        <w:rPr>
          <w:rFonts w:ascii="Arial" w:hAnsi="Arial" w:cs="Arial"/>
        </w:rPr>
      </w:pPr>
      <w:r>
        <w:rPr>
          <w:rFonts w:ascii="Arial" w:hAnsi="Arial"/>
        </w:rPr>
        <w:lastRenderedPageBreak/>
        <w:t>Artikel </w:t>
      </w:r>
      <w:r>
        <w:rPr>
          <w:rFonts w:ascii="Arial" w:hAnsi="Arial"/>
          <w:u w:val="thick"/>
        </w:rPr>
        <w:t>6</w:t>
      </w:r>
      <w:r>
        <w:rPr>
          <w:rFonts w:ascii="Arial" w:hAnsi="Arial"/>
        </w:rPr>
        <w:t xml:space="preserve"> (tidigare artikel 5)</w:t>
      </w:r>
    </w:p>
    <w:p w14:paraId="13ADD4F2" w14:textId="77777777" w:rsidR="00994A23" w:rsidRDefault="00224C6A" w:rsidP="008F5571">
      <w:pPr>
        <w:pStyle w:val="BodyTextNL"/>
        <w:keepNext/>
        <w:keepLines/>
        <w:rPr>
          <w:rFonts w:ascii="Arial" w:hAnsi="Arial" w:cs="Arial"/>
        </w:rPr>
      </w:pPr>
      <w:r>
        <w:rPr>
          <w:rFonts w:ascii="Arial" w:hAnsi="Arial"/>
        </w:rPr>
        <w:t xml:space="preserve">Artikel </w:t>
      </w:r>
      <w:r>
        <w:rPr>
          <w:rFonts w:ascii="Arial" w:hAnsi="Arial"/>
          <w:u w:val="thick"/>
        </w:rPr>
        <w:t>9ter</w:t>
      </w:r>
      <w:r>
        <w:rPr>
          <w:rFonts w:ascii="Arial" w:hAnsi="Arial"/>
        </w:rPr>
        <w:t xml:space="preserve"> ska införas i ovan nämnda kapitel IV</w:t>
      </w:r>
      <w:r>
        <w:rPr>
          <w:rStyle w:val="Italic"/>
          <w:rFonts w:ascii="Arial" w:hAnsi="Arial"/>
        </w:rPr>
        <w:t>bis</w:t>
      </w:r>
      <w:r>
        <w:rPr>
          <w:rFonts w:ascii="Arial" w:hAnsi="Arial"/>
        </w:rPr>
        <w:t>, med följande lydelse:</w:t>
      </w:r>
    </w:p>
    <w:p w14:paraId="0ECEF58C" w14:textId="77777777" w:rsidR="00994A23" w:rsidRDefault="00224C6A" w:rsidP="008F5571">
      <w:pPr>
        <w:pStyle w:val="BodyTextNL"/>
        <w:keepNext/>
        <w:keepLines/>
        <w:rPr>
          <w:rFonts w:ascii="Arial" w:hAnsi="Arial" w:cs="Arial"/>
        </w:rPr>
      </w:pPr>
      <w:r>
        <w:rPr>
          <w:rFonts w:ascii="Arial" w:hAnsi="Arial"/>
        </w:rPr>
        <w:t>”Artikel </w:t>
      </w:r>
      <w:r>
        <w:rPr>
          <w:rFonts w:ascii="Arial" w:hAnsi="Arial"/>
          <w:u w:val="thick"/>
        </w:rPr>
        <w:t>9ter</w:t>
      </w:r>
      <w:r>
        <w:rPr>
          <w:rFonts w:ascii="Arial" w:hAnsi="Arial"/>
        </w:rPr>
        <w:t>. Det är förbjudet att släppa ut följande plastprodukter för engångsbruk på marknaden:</w:t>
      </w:r>
    </w:p>
    <w:p w14:paraId="34AEC717" w14:textId="77777777" w:rsidR="00994A23" w:rsidRDefault="00224C6A">
      <w:pPr>
        <w:pStyle w:val="BodyTextNL"/>
        <w:rPr>
          <w:rFonts w:ascii="Arial" w:hAnsi="Arial" w:cs="Arial"/>
        </w:rPr>
      </w:pPr>
      <w:r>
        <w:rPr>
          <w:rFonts w:ascii="Arial" w:hAnsi="Arial"/>
        </w:rPr>
        <w:t xml:space="preserve">1. Bomullspinnar (tops), utom sådana som omfattas av tillämpningsområdet för rådets direktiv 90/385/EEG </w:t>
      </w:r>
      <w:r>
        <w:rPr>
          <w:rFonts w:ascii="Arial" w:hAnsi="Arial"/>
          <w:u w:val="thick"/>
        </w:rPr>
        <w:t>av den 20 juni 1990 om tillnärmning av medlemsstaternas lagstiftning om aktiva medicintekniska produkter för implantation</w:t>
      </w:r>
      <w:r>
        <w:rPr>
          <w:rFonts w:ascii="Arial" w:hAnsi="Arial"/>
        </w:rPr>
        <w:t xml:space="preserve"> eller direktiv 93/42/EEG </w:t>
      </w:r>
      <w:r>
        <w:rPr>
          <w:rFonts w:ascii="Arial" w:hAnsi="Arial"/>
          <w:u w:val="thick"/>
        </w:rPr>
        <w:t>av den 14 juni 1993 om medicintekniska produkter</w:t>
      </w:r>
      <w:r>
        <w:rPr>
          <w:rFonts w:ascii="Arial" w:hAnsi="Arial"/>
        </w:rPr>
        <w:t>.</w:t>
      </w:r>
    </w:p>
    <w:p w14:paraId="30187EEB" w14:textId="77777777" w:rsidR="00994A23" w:rsidRDefault="00224C6A">
      <w:pPr>
        <w:pStyle w:val="BodyTextNL"/>
        <w:rPr>
          <w:rFonts w:ascii="Arial" w:hAnsi="Arial" w:cs="Arial"/>
        </w:rPr>
      </w:pPr>
      <w:r>
        <w:rPr>
          <w:rFonts w:ascii="Arial" w:hAnsi="Arial"/>
        </w:rPr>
        <w:t>2. Bestick (gafflar, knivar, skedar, ätpinnar).</w:t>
      </w:r>
    </w:p>
    <w:p w14:paraId="36C9D4BD" w14:textId="77777777" w:rsidR="00994A23" w:rsidRDefault="00224C6A">
      <w:pPr>
        <w:pStyle w:val="BodyTextNL"/>
        <w:spacing w:before="240"/>
        <w:rPr>
          <w:rFonts w:ascii="Arial" w:hAnsi="Arial" w:cs="Arial"/>
        </w:rPr>
      </w:pPr>
      <w:r>
        <w:rPr>
          <w:rFonts w:ascii="Arial" w:hAnsi="Arial"/>
        </w:rPr>
        <w:t>3. Tallrikar.</w:t>
      </w:r>
    </w:p>
    <w:p w14:paraId="77F3288E" w14:textId="77777777" w:rsidR="00994A23" w:rsidRDefault="00224C6A">
      <w:pPr>
        <w:pStyle w:val="BodyTextNL"/>
        <w:rPr>
          <w:rFonts w:ascii="Arial" w:hAnsi="Arial" w:cs="Arial"/>
        </w:rPr>
      </w:pPr>
      <w:r>
        <w:rPr>
          <w:rFonts w:ascii="Arial" w:hAnsi="Arial"/>
        </w:rPr>
        <w:t xml:space="preserve">4. Sugrör, utom sådana som omfattas av tillämpningsområdet för direktiv 90/385/EEG </w:t>
      </w:r>
      <w:r>
        <w:rPr>
          <w:rFonts w:ascii="Arial" w:hAnsi="Arial"/>
          <w:u w:val="thick"/>
        </w:rPr>
        <w:t>av den 20 juni 1990 om tillnärmning av medlemsstaternas lagstiftning om aktiva medicintekniska produkter för implantation</w:t>
      </w:r>
      <w:r>
        <w:rPr>
          <w:rFonts w:ascii="Arial" w:hAnsi="Arial"/>
        </w:rPr>
        <w:t xml:space="preserve"> eller direktiv 93/42/EEG </w:t>
      </w:r>
      <w:r>
        <w:rPr>
          <w:rFonts w:ascii="Arial" w:hAnsi="Arial"/>
          <w:u w:val="thick"/>
        </w:rPr>
        <w:t>av den 14 juni 1993 om medicintekniska produkter</w:t>
      </w:r>
      <w:r>
        <w:rPr>
          <w:rFonts w:ascii="Arial" w:hAnsi="Arial"/>
        </w:rPr>
        <w:t>.</w:t>
      </w:r>
    </w:p>
    <w:p w14:paraId="4667BDE1" w14:textId="77777777" w:rsidR="00994A23" w:rsidRDefault="00224C6A">
      <w:pPr>
        <w:pStyle w:val="BodyTextNL"/>
        <w:rPr>
          <w:rFonts w:ascii="Arial" w:hAnsi="Arial" w:cs="Arial"/>
        </w:rPr>
      </w:pPr>
      <w:r>
        <w:rPr>
          <w:rFonts w:ascii="Arial" w:hAnsi="Arial"/>
        </w:rPr>
        <w:t>5. Omrörare för drycker.</w:t>
      </w:r>
    </w:p>
    <w:p w14:paraId="14EC48F7" w14:textId="77777777" w:rsidR="00994A23" w:rsidRDefault="00224C6A">
      <w:pPr>
        <w:pStyle w:val="BodyTextNL"/>
        <w:rPr>
          <w:rFonts w:ascii="Arial" w:hAnsi="Arial" w:cs="Arial"/>
        </w:rPr>
      </w:pPr>
      <w:r>
        <w:rPr>
          <w:rFonts w:ascii="Arial" w:hAnsi="Arial"/>
        </w:rPr>
        <w:t>6. Pinnar som ska fästas vid och bära upp ballonger, utom ballonger för industriella eller andra yrkesmässiga användningar och tillämpningar som inte distribueras till konsumenter, inklusive mekanismerna i sådana pinnar.</w:t>
      </w:r>
    </w:p>
    <w:p w14:paraId="47B7F89B" w14:textId="77777777" w:rsidR="00994A23" w:rsidRDefault="00224C6A" w:rsidP="008F5571">
      <w:pPr>
        <w:pStyle w:val="BodyTextNL"/>
        <w:keepNext/>
        <w:keepLines/>
        <w:rPr>
          <w:rFonts w:ascii="Arial" w:hAnsi="Arial" w:cs="Arial"/>
        </w:rPr>
      </w:pPr>
      <w:r>
        <w:rPr>
          <w:rFonts w:ascii="Arial" w:hAnsi="Arial"/>
        </w:rPr>
        <w:t xml:space="preserve">7. Livsmedelsbehållare av expanderad polystyren, det vill säga </w:t>
      </w:r>
      <w:r>
        <w:rPr>
          <w:rFonts w:ascii="Arial" w:hAnsi="Arial"/>
          <w:u w:val="thick"/>
        </w:rPr>
        <w:t>behållare</w:t>
      </w:r>
      <w:r>
        <w:rPr>
          <w:rFonts w:ascii="Arial" w:hAnsi="Arial"/>
        </w:rPr>
        <w:t xml:space="preserve"> såsom lådor, med eller utan lock, som används för livsmedel som</w:t>
      </w:r>
    </w:p>
    <w:p w14:paraId="77C93A15" w14:textId="77777777" w:rsidR="00994A23" w:rsidRDefault="00224C6A">
      <w:pPr>
        <w:pStyle w:val="BodyTextNL"/>
        <w:spacing w:before="240"/>
        <w:rPr>
          <w:rFonts w:ascii="Arial" w:hAnsi="Arial" w:cs="Arial"/>
        </w:rPr>
      </w:pPr>
      <w:r>
        <w:rPr>
          <w:rFonts w:ascii="Arial" w:hAnsi="Arial"/>
        </w:rPr>
        <w:t>a) är avsedda att konsumeras direkt på försäljningsstället eller på en annan plats,</w:t>
      </w:r>
    </w:p>
    <w:p w14:paraId="7DC6276B" w14:textId="77777777" w:rsidR="00994A23" w:rsidRDefault="00224C6A">
      <w:pPr>
        <w:pStyle w:val="BodyTextNL"/>
        <w:rPr>
          <w:rFonts w:ascii="Arial" w:hAnsi="Arial" w:cs="Arial"/>
        </w:rPr>
      </w:pPr>
      <w:r>
        <w:rPr>
          <w:rFonts w:ascii="Arial" w:hAnsi="Arial"/>
        </w:rPr>
        <w:t xml:space="preserve">b) </w:t>
      </w:r>
      <w:r>
        <w:rPr>
          <w:rFonts w:ascii="Arial" w:hAnsi="Arial"/>
          <w:u w:val="thick"/>
        </w:rPr>
        <w:t>vanligtvis</w:t>
      </w:r>
      <w:r>
        <w:rPr>
          <w:rFonts w:ascii="Arial" w:hAnsi="Arial"/>
        </w:rPr>
        <w:t xml:space="preserve"> konsumeras direkt ur </w:t>
      </w:r>
      <w:r>
        <w:rPr>
          <w:rFonts w:ascii="Arial" w:hAnsi="Arial"/>
          <w:u w:val="thick"/>
        </w:rPr>
        <w:t>behållaren</w:t>
      </w:r>
      <w:r>
        <w:rPr>
          <w:rFonts w:ascii="Arial" w:hAnsi="Arial"/>
        </w:rPr>
        <w:t>, och</w:t>
      </w:r>
    </w:p>
    <w:p w14:paraId="35E33460" w14:textId="77777777" w:rsidR="00994A23" w:rsidRDefault="00224C6A">
      <w:pPr>
        <w:pStyle w:val="BodyTextNL"/>
        <w:rPr>
          <w:rFonts w:ascii="Arial" w:hAnsi="Arial" w:cs="Arial"/>
        </w:rPr>
      </w:pPr>
      <w:r>
        <w:rPr>
          <w:rFonts w:ascii="Arial" w:hAnsi="Arial"/>
        </w:rPr>
        <w:t>c) är redo att konsumeras utan någon ytterligare beredning, såsom tillagning, kokning eller uppvärmning,</w:t>
      </w:r>
    </w:p>
    <w:p w14:paraId="685D0E21" w14:textId="77777777" w:rsidR="00994A23" w:rsidRDefault="00224C6A">
      <w:pPr>
        <w:pStyle w:val="BodyTextNL"/>
        <w:spacing w:before="240"/>
        <w:rPr>
          <w:rFonts w:ascii="Arial" w:hAnsi="Arial" w:cs="Arial"/>
        </w:rPr>
      </w:pPr>
      <w:r>
        <w:rPr>
          <w:rFonts w:ascii="Arial" w:hAnsi="Arial"/>
        </w:rPr>
        <w:t>inklusive livsmedelsbehållare som används för snabbmat eller andra måltider som är avsedda att konsumeras direkt, utom dryckesbehållare, tallrikar och paket och omslag som innehåller livsmedel.</w:t>
      </w:r>
    </w:p>
    <w:p w14:paraId="54F3FE39" w14:textId="77777777" w:rsidR="00994A23" w:rsidRDefault="00224C6A">
      <w:pPr>
        <w:pStyle w:val="BodyTextNL"/>
        <w:spacing w:before="240"/>
        <w:rPr>
          <w:rFonts w:ascii="Arial" w:hAnsi="Arial" w:cs="Arial"/>
        </w:rPr>
      </w:pPr>
      <w:r>
        <w:rPr>
          <w:rFonts w:ascii="Arial" w:hAnsi="Arial"/>
        </w:rPr>
        <w:t>8. Dryckesbehållare av expanderad polystyren, inklusive korkar och lock.</w:t>
      </w:r>
    </w:p>
    <w:p w14:paraId="2F6CC2AD" w14:textId="77777777" w:rsidR="00994A23" w:rsidRDefault="00224C6A">
      <w:pPr>
        <w:pStyle w:val="BodyTextNL"/>
        <w:rPr>
          <w:rFonts w:ascii="Arial" w:hAnsi="Arial" w:cs="Arial"/>
        </w:rPr>
      </w:pPr>
      <w:r>
        <w:rPr>
          <w:rFonts w:ascii="Arial" w:hAnsi="Arial"/>
        </w:rPr>
        <w:t>9. Muggar av expanderad polystyren, inklusive korkar och lock.”</w:t>
      </w:r>
    </w:p>
    <w:p w14:paraId="7A7524E3" w14:textId="77777777" w:rsidR="00994A23" w:rsidRDefault="00224C6A">
      <w:pPr>
        <w:pStyle w:val="centeredARTICLE"/>
        <w:rPr>
          <w:rFonts w:ascii="Arial" w:hAnsi="Arial" w:cs="Arial"/>
        </w:rPr>
      </w:pPr>
      <w:r>
        <w:rPr>
          <w:rFonts w:ascii="Arial" w:hAnsi="Arial"/>
        </w:rPr>
        <w:t>Artikel </w:t>
      </w:r>
      <w:r>
        <w:rPr>
          <w:rFonts w:ascii="Arial" w:hAnsi="Arial"/>
          <w:u w:val="thick"/>
        </w:rPr>
        <w:t>7</w:t>
      </w:r>
      <w:r>
        <w:rPr>
          <w:rFonts w:ascii="Arial" w:hAnsi="Arial"/>
        </w:rPr>
        <w:t xml:space="preserve"> (tidigare artikel 6)</w:t>
      </w:r>
    </w:p>
    <w:p w14:paraId="7B150196" w14:textId="77777777" w:rsidR="00994A23" w:rsidRDefault="00224C6A" w:rsidP="008F5571">
      <w:pPr>
        <w:pStyle w:val="BodyTextNL"/>
        <w:keepNext/>
        <w:keepLines/>
        <w:rPr>
          <w:rFonts w:ascii="Arial" w:hAnsi="Arial" w:cs="Arial"/>
        </w:rPr>
      </w:pPr>
      <w:r>
        <w:rPr>
          <w:rFonts w:ascii="Arial" w:hAnsi="Arial"/>
        </w:rPr>
        <w:t xml:space="preserve">Artikel </w:t>
      </w:r>
      <w:r>
        <w:rPr>
          <w:rFonts w:ascii="Arial" w:hAnsi="Arial"/>
          <w:u w:val="thick"/>
        </w:rPr>
        <w:t>9quater</w:t>
      </w:r>
      <w:r>
        <w:rPr>
          <w:rFonts w:ascii="Arial" w:hAnsi="Arial"/>
        </w:rPr>
        <w:t xml:space="preserve"> ska införas i ovan nämnda kapitel IV</w:t>
      </w:r>
      <w:r>
        <w:rPr>
          <w:rStyle w:val="Italic"/>
          <w:rFonts w:ascii="Arial" w:hAnsi="Arial"/>
        </w:rPr>
        <w:t>bis</w:t>
      </w:r>
      <w:r>
        <w:rPr>
          <w:rFonts w:ascii="Arial" w:hAnsi="Arial"/>
        </w:rPr>
        <w:t>, med följande lydelse:</w:t>
      </w:r>
    </w:p>
    <w:p w14:paraId="6FEAD1B3" w14:textId="77777777" w:rsidR="00994A23" w:rsidRDefault="00224C6A" w:rsidP="008F5571">
      <w:pPr>
        <w:pStyle w:val="BodyTextNL"/>
        <w:keepNext/>
        <w:keepLines/>
        <w:rPr>
          <w:rFonts w:ascii="Arial" w:hAnsi="Arial" w:cs="Arial"/>
        </w:rPr>
      </w:pPr>
      <w:r>
        <w:rPr>
          <w:rFonts w:ascii="Arial" w:hAnsi="Arial"/>
        </w:rPr>
        <w:t>”Artikel </w:t>
      </w:r>
      <w:r>
        <w:rPr>
          <w:rFonts w:ascii="Arial" w:hAnsi="Arial"/>
          <w:u w:val="thick"/>
        </w:rPr>
        <w:t>9quater</w:t>
      </w:r>
      <w:r>
        <w:rPr>
          <w:rFonts w:ascii="Arial" w:hAnsi="Arial"/>
        </w:rPr>
        <w:t>. Det är förbjudet att på marknaden släppa ut plastbärkassar för engångsbruk som är utformade för packning och/eller bärande av varor som köpts vid försäljningsställen inom- eller utomhus, förutom</w:t>
      </w:r>
    </w:p>
    <w:p w14:paraId="1E7BA3C2" w14:textId="77777777" w:rsidR="00994A23" w:rsidRDefault="00224C6A">
      <w:pPr>
        <w:pStyle w:val="BodyTextNL"/>
        <w:rPr>
          <w:rFonts w:ascii="Arial" w:hAnsi="Arial" w:cs="Arial"/>
        </w:rPr>
      </w:pPr>
      <w:r>
        <w:rPr>
          <w:rFonts w:ascii="Arial" w:hAnsi="Arial"/>
        </w:rPr>
        <w:t>1. på flygplatser, om de är utrustade med vidhäftande högsäkerhetsfästen och/eller hållbara sömmar,</w:t>
      </w:r>
    </w:p>
    <w:p w14:paraId="08461A54" w14:textId="46343887" w:rsidR="00994A23" w:rsidRDefault="00224C6A">
      <w:pPr>
        <w:pStyle w:val="BodyTextNL"/>
        <w:rPr>
          <w:rFonts w:ascii="Arial" w:hAnsi="Arial" w:cs="Arial"/>
        </w:rPr>
      </w:pPr>
      <w:r>
        <w:rPr>
          <w:rFonts w:ascii="Arial" w:hAnsi="Arial"/>
        </w:rPr>
        <w:t>2. om de är avsedda för insamling av avfall,</w:t>
      </w:r>
    </w:p>
    <w:p w14:paraId="046CBB9F" w14:textId="77777777" w:rsidR="00994A23" w:rsidRDefault="00224C6A">
      <w:pPr>
        <w:pStyle w:val="BodyTextNL"/>
        <w:rPr>
          <w:rFonts w:ascii="Arial" w:hAnsi="Arial" w:cs="Arial"/>
        </w:rPr>
      </w:pPr>
      <w:r>
        <w:rPr>
          <w:rFonts w:ascii="Arial" w:hAnsi="Arial"/>
        </w:rPr>
        <w:t>3. om de är avsedda för medicinska ändamål,</w:t>
      </w:r>
    </w:p>
    <w:p w14:paraId="5A667197" w14:textId="77777777" w:rsidR="00994A23" w:rsidRDefault="00224C6A">
      <w:pPr>
        <w:pStyle w:val="BodyTextNL"/>
        <w:rPr>
          <w:rFonts w:ascii="Arial" w:hAnsi="Arial" w:cs="Arial"/>
        </w:rPr>
      </w:pPr>
      <w:r>
        <w:rPr>
          <w:rFonts w:ascii="Arial" w:hAnsi="Arial"/>
        </w:rPr>
        <w:t>4. om de är avsedda för packning av livsmedel som säljs i små mängder och som är fuktiga eller i flytande form eller som innehåller vätskor som kan läcka, förutsatt att bärkassen är biobaserad och lämplig för hemkompostering,</w:t>
      </w:r>
    </w:p>
    <w:p w14:paraId="27209BDA" w14:textId="77777777" w:rsidR="00994A23" w:rsidRDefault="00224C6A">
      <w:pPr>
        <w:pStyle w:val="BodyTextNL"/>
        <w:rPr>
          <w:rFonts w:ascii="Arial" w:hAnsi="Arial" w:cs="Arial"/>
        </w:rPr>
      </w:pPr>
      <w:r>
        <w:rPr>
          <w:rFonts w:ascii="Arial" w:hAnsi="Arial"/>
        </w:rPr>
        <w:lastRenderedPageBreak/>
        <w:t xml:space="preserve">5. mycket tunna som är avsedda som primär förpackning av vattenväxter och vattendjur. </w:t>
      </w:r>
    </w:p>
    <w:p w14:paraId="2907C68D" w14:textId="77777777" w:rsidR="00994A23" w:rsidRDefault="00224C6A">
      <w:pPr>
        <w:pStyle w:val="BodyTextNL"/>
        <w:spacing w:before="240"/>
        <w:rPr>
          <w:rFonts w:ascii="Arial" w:hAnsi="Arial" w:cs="Arial"/>
        </w:rPr>
      </w:pPr>
      <w:r>
        <w:rPr>
          <w:rFonts w:ascii="Arial" w:hAnsi="Arial"/>
          <w:u w:val="thick"/>
        </w:rPr>
        <w:t xml:space="preserve">Sex månader efter offentliggörandet av lagen av den … om ändring av lagen av den 21 december 1998 om produktstandarder för främjande av hållbara produktions- och konsumtionsmönster och för skydd av miljön, folkhälsan och anställda i syfte att förbjuda användningen av oxo-nedbrytbar plast och vissa andra plastprodukter för engångsbruk i </w:t>
      </w:r>
      <w:r>
        <w:rPr>
          <w:rFonts w:ascii="Arial" w:hAnsi="Arial"/>
          <w:i/>
          <w:iCs/>
          <w:u w:val="thick"/>
        </w:rPr>
        <w:t>Belgiens officiella tidning</w:t>
      </w:r>
      <w:r>
        <w:rPr>
          <w:rFonts w:ascii="Arial" w:hAnsi="Arial"/>
          <w:u w:val="thick"/>
        </w:rPr>
        <w:t xml:space="preserve"> </w:t>
      </w:r>
      <w:r>
        <w:rPr>
          <w:rFonts w:ascii="Arial" w:hAnsi="Arial"/>
        </w:rPr>
        <w:t xml:space="preserve"> ska de bärkassar som avses i punkt 1.4 bestå av minst 40 % biomaterial, och senast den 1 januari 2025 ska de bestå av 60 % biomaterial. </w:t>
      </w:r>
    </w:p>
    <w:p w14:paraId="2A58C639" w14:textId="77777777" w:rsidR="00994A23" w:rsidRDefault="00224C6A">
      <w:pPr>
        <w:pStyle w:val="BodyTextNL"/>
        <w:rPr>
          <w:rFonts w:ascii="Arial" w:hAnsi="Arial" w:cs="Arial"/>
        </w:rPr>
      </w:pPr>
      <w:r>
        <w:rPr>
          <w:rFonts w:ascii="Arial" w:hAnsi="Arial"/>
          <w:u w:val="thick"/>
        </w:rPr>
        <w:t xml:space="preserve">Kungen får endast lägga till ytterligare undantag från förbudet i punkt 1 om omständigheterna kräver det och om det inte finns några tillgängliga alternativ för plast för engångsbruk, med beaktande av de bestämmelser om proportionalitet och </w:t>
      </w:r>
      <w:r>
        <w:rPr>
          <w:rStyle w:val="ItalicUnderline"/>
          <w:rFonts w:ascii="Arial" w:hAnsi="Arial"/>
          <w:i w:val="0"/>
        </w:rPr>
        <w:t>icke-diskriminering som fastställts i Europaparlamentets och rådets direktiv 94/62/EG av den 20 december 1994 om förpackningar och förpackningsavfall.”</w:t>
      </w:r>
    </w:p>
    <w:p w14:paraId="2AB9389F" w14:textId="77777777" w:rsidR="00994A23" w:rsidRDefault="00224C6A">
      <w:pPr>
        <w:pStyle w:val="centeredARTICLE"/>
        <w:rPr>
          <w:rFonts w:ascii="Arial" w:hAnsi="Arial" w:cs="Arial"/>
        </w:rPr>
      </w:pPr>
      <w:r>
        <w:rPr>
          <w:rStyle w:val="Underline"/>
          <w:rFonts w:ascii="Arial" w:hAnsi="Arial"/>
          <w:u w:val="none"/>
        </w:rPr>
        <w:t>Artikel </w:t>
      </w:r>
      <w:r>
        <w:rPr>
          <w:rStyle w:val="Underline"/>
          <w:rFonts w:ascii="Arial" w:hAnsi="Arial"/>
        </w:rPr>
        <w:t>8</w:t>
      </w:r>
      <w:r>
        <w:rPr>
          <w:rStyle w:val="Underline"/>
          <w:rFonts w:ascii="Arial" w:hAnsi="Arial"/>
          <w:u w:val="none"/>
        </w:rPr>
        <w:t xml:space="preserve"> </w:t>
      </w:r>
      <w:r>
        <w:rPr>
          <w:rFonts w:ascii="Arial" w:hAnsi="Arial"/>
        </w:rPr>
        <w:t>(tidigare artikel 7)</w:t>
      </w:r>
    </w:p>
    <w:p w14:paraId="1EBE0348" w14:textId="77777777" w:rsidR="00994A23" w:rsidRPr="009D6DEC" w:rsidRDefault="00224C6A">
      <w:pPr>
        <w:pStyle w:val="BodyTextNL"/>
        <w:rPr>
          <w:rFonts w:ascii="Arial" w:hAnsi="Arial" w:cs="Arial"/>
          <w:spacing w:val="-6"/>
        </w:rPr>
      </w:pPr>
      <w:r w:rsidRPr="009D6DEC">
        <w:rPr>
          <w:rFonts w:ascii="Arial" w:hAnsi="Arial"/>
          <w:spacing w:val="-6"/>
        </w:rPr>
        <w:t xml:space="preserve">I artikel 17.2.2 i samma lag av den 21 december 1998 ska frasen ”i artiklarna 10 till 14” ersättas med ”i artiklarna </w:t>
      </w:r>
      <w:r w:rsidRPr="009D6DEC">
        <w:rPr>
          <w:rFonts w:ascii="Arial" w:hAnsi="Arial"/>
          <w:spacing w:val="-6"/>
          <w:u w:val="thick"/>
        </w:rPr>
        <w:t>9bis</w:t>
      </w:r>
      <w:r w:rsidRPr="009D6DEC">
        <w:rPr>
          <w:rFonts w:ascii="Arial" w:hAnsi="Arial"/>
          <w:spacing w:val="-6"/>
        </w:rPr>
        <w:t xml:space="preserve"> till 14.</w:t>
      </w:r>
    </w:p>
    <w:p w14:paraId="7A909A9F" w14:textId="77777777" w:rsidR="00994A23" w:rsidRDefault="00224C6A">
      <w:pPr>
        <w:pStyle w:val="centeredARTICLE"/>
        <w:rPr>
          <w:rFonts w:ascii="Arial" w:hAnsi="Arial" w:cs="Arial"/>
        </w:rPr>
      </w:pPr>
      <w:r>
        <w:rPr>
          <w:rStyle w:val="Underline"/>
          <w:rFonts w:ascii="Arial" w:hAnsi="Arial"/>
        </w:rPr>
        <w:t>Artikel 9</w:t>
      </w:r>
      <w:r>
        <w:rPr>
          <w:rFonts w:ascii="Arial" w:hAnsi="Arial"/>
        </w:rPr>
        <w:t xml:space="preserve"> </w:t>
      </w:r>
      <w:r>
        <w:rPr>
          <w:rFonts w:ascii="Arial" w:hAnsi="Arial"/>
          <w:i/>
        </w:rPr>
        <w:t>(ny)</w:t>
      </w:r>
    </w:p>
    <w:p w14:paraId="1888D22E" w14:textId="77777777" w:rsidR="00994A23" w:rsidRDefault="00224C6A">
      <w:pPr>
        <w:pStyle w:val="BodyTextNL"/>
        <w:rPr>
          <w:rStyle w:val="Italic"/>
          <w:rFonts w:ascii="Arial" w:hAnsi="Arial" w:cs="Arial"/>
        </w:rPr>
      </w:pPr>
      <w:r>
        <w:rPr>
          <w:rFonts w:ascii="Arial" w:hAnsi="Arial"/>
        </w:rPr>
        <w:t xml:space="preserve">Plastbärkassar som är förbjudna att släppas ut på marknaden i enlighet med artikel </w:t>
      </w:r>
      <w:r>
        <w:rPr>
          <w:rFonts w:ascii="Arial" w:hAnsi="Arial"/>
          <w:u w:val="thick"/>
        </w:rPr>
        <w:t>9quater</w:t>
      </w:r>
      <w:r>
        <w:rPr>
          <w:rFonts w:ascii="Arial" w:hAnsi="Arial"/>
        </w:rPr>
        <w:t xml:space="preserve"> i samma lag och som en detaljist redan har betalat för före datumet för ikraftträdande i enlighet med artikel </w:t>
      </w:r>
      <w:r>
        <w:rPr>
          <w:rStyle w:val="Underline"/>
          <w:rFonts w:ascii="Arial" w:hAnsi="Arial"/>
        </w:rPr>
        <w:t>10</w:t>
      </w:r>
      <w:r>
        <w:rPr>
          <w:rFonts w:ascii="Arial" w:hAnsi="Arial"/>
        </w:rPr>
        <w:t>.2 i denna lag får fortfarande delas ut i sex månader från det datumet.</w:t>
      </w:r>
      <w:r>
        <w:rPr>
          <w:rStyle w:val="Italic"/>
          <w:rFonts w:ascii="Arial" w:hAnsi="Arial"/>
        </w:rPr>
        <w:t xml:space="preserve"> </w:t>
      </w:r>
    </w:p>
    <w:p w14:paraId="53F3F179" w14:textId="77777777" w:rsidR="00994A23" w:rsidRDefault="00224C6A">
      <w:pPr>
        <w:pStyle w:val="centeredARTICLE"/>
        <w:rPr>
          <w:rStyle w:val="Underline"/>
          <w:rFonts w:ascii="Arial" w:hAnsi="Arial" w:cs="Arial"/>
        </w:rPr>
      </w:pPr>
      <w:r>
        <w:rPr>
          <w:rStyle w:val="Underline"/>
          <w:rFonts w:ascii="Arial" w:hAnsi="Arial"/>
          <w:u w:val="none"/>
        </w:rPr>
        <w:t>Artikel </w:t>
      </w:r>
      <w:r>
        <w:rPr>
          <w:rStyle w:val="Underline"/>
          <w:rFonts w:ascii="Arial" w:hAnsi="Arial"/>
        </w:rPr>
        <w:t>10</w:t>
      </w:r>
      <w:r>
        <w:rPr>
          <w:rStyle w:val="Underline"/>
          <w:rFonts w:ascii="Arial" w:hAnsi="Arial"/>
          <w:u w:val="none"/>
        </w:rPr>
        <w:t xml:space="preserve"> </w:t>
      </w:r>
      <w:r>
        <w:rPr>
          <w:rFonts w:ascii="Arial" w:hAnsi="Arial"/>
        </w:rPr>
        <w:t>(tidigare artikel 8)</w:t>
      </w:r>
    </w:p>
    <w:p w14:paraId="508382BA" w14:textId="77777777" w:rsidR="00994A23" w:rsidRDefault="00224C6A" w:rsidP="008F5571">
      <w:pPr>
        <w:pStyle w:val="BodyTextNL"/>
        <w:keepNext/>
        <w:keepLines/>
        <w:rPr>
          <w:rFonts w:ascii="Arial" w:hAnsi="Arial" w:cs="Arial"/>
        </w:rPr>
      </w:pPr>
      <w:r>
        <w:rPr>
          <w:rFonts w:ascii="Arial" w:hAnsi="Arial"/>
        </w:rPr>
        <w:t>Denna lag träder i kraft den 3 juli 2021.</w:t>
      </w:r>
    </w:p>
    <w:p w14:paraId="603AF641" w14:textId="77777777" w:rsidR="00994A23" w:rsidRDefault="00224C6A">
      <w:pPr>
        <w:pStyle w:val="BodyTextNL"/>
        <w:rPr>
          <w:rFonts w:ascii="Arial" w:hAnsi="Arial" w:cs="Arial"/>
        </w:rPr>
      </w:pPr>
      <w:r>
        <w:rPr>
          <w:rFonts w:ascii="Arial" w:hAnsi="Arial"/>
        </w:rPr>
        <w:t>Kungen får utfärda en ikraftträdandedag före det datum som anges i punkt 1.</w:t>
      </w:r>
    </w:p>
    <w:p w14:paraId="51060FE7" w14:textId="77777777" w:rsidR="00994A23" w:rsidRDefault="00224C6A">
      <w:pPr>
        <w:pStyle w:val="BodyTextNL"/>
      </w:pPr>
      <w:r>
        <w:rPr>
          <w:rFonts w:ascii="Arial" w:hAnsi="Arial"/>
        </w:rPr>
        <w:t xml:space="preserve">I strid mot vad som föreskrivs i punkterna 1 och 2 träder </w:t>
      </w:r>
      <w:r>
        <w:rPr>
          <w:rFonts w:ascii="Arial" w:hAnsi="Arial"/>
          <w:u w:val="thick"/>
        </w:rPr>
        <w:t>artiklarna 3, 4, 7 och 8</w:t>
      </w:r>
      <w:r>
        <w:rPr>
          <w:rFonts w:ascii="Arial" w:hAnsi="Arial"/>
        </w:rPr>
        <w:t xml:space="preserve"> i kraft sex månader efter att denna lag har offentliggjorts i </w:t>
      </w:r>
      <w:r>
        <w:rPr>
          <w:rFonts w:ascii="Arial" w:hAnsi="Arial"/>
          <w:i/>
          <w:iCs/>
        </w:rPr>
        <w:t xml:space="preserve">Belgiens officiella </w:t>
      </w:r>
      <w:r>
        <w:rPr>
          <w:rFonts w:ascii="Arial" w:hAnsi="Arial"/>
          <w:i/>
          <w:iCs/>
          <w:u w:val="thick"/>
        </w:rPr>
        <w:t>tidning</w:t>
      </w:r>
      <w:r>
        <w:rPr>
          <w:rFonts w:ascii="Arial" w:hAnsi="Arial"/>
        </w:rPr>
        <w:t xml:space="preserve">. </w:t>
      </w:r>
    </w:p>
    <w:sectPr w:rsidR="00994A2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6A"/>
    <w:rsid w:val="00224C6A"/>
    <w:rsid w:val="00272AB1"/>
    <w:rsid w:val="008F5571"/>
    <w:rsid w:val="00994A23"/>
    <w:rsid w:val="009D6DEC"/>
    <w:rsid w:val="00B611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CEC5B"/>
  <w14:defaultImageDpi w14:val="0"/>
  <w15:docId w15:val="{C6B2BA8E-28E1-4DE1-8A66-0220D7F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Helvetica LT Std" w:hAnsi="Helvetica LT Std" w:cs="Helvetica LT Std"/>
      <w:color w:val="000000"/>
      <w:sz w:val="24"/>
      <w:szCs w:val="24"/>
    </w:rPr>
  </w:style>
  <w:style w:type="paragraph" w:customStyle="1" w:styleId="BodyTextNL">
    <w:name w:val="BodyText_NL"/>
    <w:basedOn w:val="NoParagraphStyle"/>
    <w:uiPriority w:val="99"/>
    <w:pPr>
      <w:spacing w:after="240"/>
      <w:ind w:firstLine="227"/>
      <w:jc w:val="both"/>
    </w:pPr>
    <w:rPr>
      <w:sz w:val="20"/>
      <w:szCs w:val="20"/>
    </w:rPr>
  </w:style>
  <w:style w:type="paragraph" w:customStyle="1" w:styleId="centeredARTICLE">
    <w:name w:val="centered ARTICLE"/>
    <w:basedOn w:val="BodyTextNL"/>
    <w:next w:val="NoParagraphStyle"/>
    <w:uiPriority w:val="99"/>
    <w:pPr>
      <w:keepNext/>
      <w:keepLines/>
      <w:suppressAutoHyphens/>
      <w:spacing w:before="240"/>
      <w:ind w:firstLine="0"/>
      <w:jc w:val="center"/>
    </w:pPr>
  </w:style>
  <w:style w:type="character" w:customStyle="1" w:styleId="Underline">
    <w:name w:val="_Underline"/>
    <w:uiPriority w:val="99"/>
    <w:rPr>
      <w:u w:val="thick"/>
    </w:rPr>
  </w:style>
  <w:style w:type="character" w:customStyle="1" w:styleId="Italic">
    <w:name w:val="_Italic"/>
    <w:uiPriority w:val="99"/>
    <w:rPr>
      <w:i/>
      <w:iCs/>
    </w:rPr>
  </w:style>
  <w:style w:type="character" w:customStyle="1" w:styleId="ItalicUnderline">
    <w:name w:val="_Italic_Underline"/>
    <w:basedOn w:val="Italic"/>
    <w:uiPriority w:val="99"/>
    <w:rPr>
      <w:i/>
      <w:iCs/>
      <w:u w:val="thick"/>
    </w:rPr>
  </w:style>
  <w:style w:type="character" w:customStyle="1" w:styleId="Sup">
    <w:name w:val="_Sup"/>
    <w:uiPriority w:val="99"/>
    <w:rPr>
      <w:vertAlign w:val="superscript"/>
    </w:rPr>
  </w:style>
  <w:style w:type="character" w:customStyle="1" w:styleId="Bold">
    <w:name w:val="_Bold"/>
    <w:uiPriority w:val="99"/>
    <w:rPr>
      <w:b/>
      <w:bCs/>
    </w:rPr>
  </w:style>
  <w:style w:type="character" w:customStyle="1" w:styleId="BoldUnderline">
    <w:name w:val="_Bold_Underline"/>
    <w:basedOn w:val="Bold"/>
    <w:uiPriority w:val="99"/>
    <w:rPr>
      <w:b/>
      <w:bCs/>
      <w:u w:val="thick"/>
    </w:rPr>
  </w:style>
  <w:style w:type="character" w:customStyle="1" w:styleId="Caps">
    <w:name w:val="_Caps"/>
    <w:uiPriority w:val="99"/>
    <w:rPr>
      <w:caps/>
    </w:rPr>
  </w:style>
  <w:style w:type="character" w:customStyle="1" w:styleId="BoldCaps">
    <w:name w:val="_Bold_Caps"/>
    <w:basedOn w:val="Bold"/>
    <w:uiPriority w:val="99"/>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Diana STOICA</cp:lastModifiedBy>
  <cp:revision>3</cp:revision>
  <dcterms:created xsi:type="dcterms:W3CDTF">2020-09-04T09:56:00Z</dcterms:created>
  <dcterms:modified xsi:type="dcterms:W3CDTF">2020-09-11T13:54:00Z</dcterms:modified>
</cp:coreProperties>
</file>