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koniec" w:tgtFrame="_self" w:history="1">
              <w:r w:rsidR="00062534">
                <w:rPr>
                  <w:rFonts w:ascii="Times New Roman" w:hAnsi="Times New Roman"/>
                  <w:color w:val="0000FF"/>
                  <w:sz w:val="24"/>
                  <w:u w:val="single"/>
                </w:rPr>
                <w:t>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Uverejnené: 11. 1. 2023</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FEDERÁLNA VEREJNÁ SLUŽBA PRE ZDRAVIE, BEZPEČNOSŤ POTRAVINOVÉHO REŤAZCA A ŽIVOTNÉ PROSTREDIE</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NOVEMBRA 2022 - Kráľovský dekrét, ktorým sa mení kráľovský dekrét z 28. októbra 2016 o výrobe a uvádzaní elektronických cigariet na trh</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SPRÁVA PRE KRÁĽA</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Vaše Veličenstvo,</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týmto návrhom kráľovského dekrétu sa mení kráľovský dekrét z 28. októbra 2016 o výrobe a uvádzaní elektronických cigariet na trh, ktorým sa čiastočne transponuje smernica 2014/40/EÚ.</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Plánované zmeny sa týkajú najmä vymedzenia pojmov, oznamovania, zloženia a technických noriem, označovania a predaja na diaľku. Okrem toho budú teraz regulované aj plniace fľaštičky bez obsahu nikotínu.</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Pokiaľ ide o pojem „podobný výrobok“, stanovisko Štátnej rady č. 72.095/1/V sa nedodržiava. Štátna rada totiž vo svojom stanovisku uvádza, že plniace fľaštičky bez obsahu nikotínu nemožno považovať za podobné výrobky, ale musia sa považovať za bežné výrobky.</w:t>
      </w:r>
      <w:r>
        <w:rPr>
          <w:rFonts w:ascii="Times New Roman" w:hAnsi="Times New Roman"/>
          <w:color w:val="000000"/>
          <w:sz w:val="27"/>
        </w:rPr>
        <w:br/>
        <w:t>To, či sa nikotín nachádza vo výrobku alebo nie, však nie je jediným kritériom, ktoré treba zohľadniť pri určovaní, či sa výrobok považuje za podobný výrobok alebo nie.</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Ústavný súd vo svojom rozsudku zo 16. decembra 2021(1) uvádza: „ Pojem „podobné výrobky“ vo vymedzení pojmu „tabakové výrobky“ má za cieľ uplatňovať zákaz reklamy evolučným spôsobom na výrobky, ktoré síce môžu mať odlišné vlastnosti (napr. z hľadiska zložiek), ale od používania ktorých sa musí odrádzať a v súvislosti s ktorými sa musí obmedziť podnecovanie k užívaniu, pretože môžu mať za následok zdravotné riziká a sociálne dôsledky podobné tým, ktoré majú tabakové výrobky.</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Podľa vymedzenia pojmu sú „podobné výrobky“ výrobkami, ktoré neobsahujú tabak, ale pripomínajú tabakové výrobky. Táto podobnosť sa musí týkať spôsobu užívania podobného výrobku alebo účinku, ktorý sa zamýšľa prostredníctvom neho.“</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Odvolací súd v Gente vo svojom rozsudku z 29. júna 2022 tiež rozhodol takto: „Per definitie zijn ‘soortgelijke producten’, zoals bedoeld en opgenomen in deze beide wetten, producten die geen tabak bevatten, maar die wel op tabaksproducten lijken. In dit kader lijkt een e-sigaret op een sigaret. Die gelijkenis heeft betrekking op de wijze waarop het soortgelijk product wordt gebruikt of op het effect dat met het soortgelijk product wordt beoogd. 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Elektronické cigarety, či už plnené tekutinami s nikotínom alebo bez nikotínu, sú podobné tabakovým výrobkom spôsobom, akým sa konzumujú (inhalácia) a ich zamýšľaným účinkom.</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Treba tiež poznamenať, že Štátna rada vo svojom stanovisku č. 65.468/3 z 20. marca 2019 k návrhu kráľovského dekrétu, ktorým sa mení kráľovský dekrét z 5. februára 2016 o výrobe a uvádzaní tabakových výrobkov na trh, nespochybňuje skutočnosť, že bylinné fajčiarske výrobky sú podobné výrobky; a to aj napriek tomu, že tieto výrobky tiež neobsahujú nikotín. To jasne dokazuje, že prítomnosť nikotínu nie je jediným kritériom, ktoré treba zohľadniť pri určovaní podobnosti výrobkov.</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Okrem toho sa na podobné výrobky vzťahuje zákaz predaja maloletým osobám a zákaz fajčenia. V prípade, že by sa tekutiny pre elektronické cigarety bez nikotínu nepovažovali za podobné výrobky, by sa narušilo uplatňovanie zákazu predaja tabakových výrobkov maloletým osobám, keďže maloleté osoby by si mohli kúpiť tekutiny pre elektronické cigarety bez nikotínu (ale nie samotnú elektronickú cigaretu).</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Podobnosti medzi výrobkami s nikotínom a bez nikotínu sú také veľké, že WHO tiež poznamenáva, že je prakticky nemožné rozlíšiť tieto dva výrobky. Okrem toho sa COP (konferencia zmluvných strán) vo svojich rozhodnutiach správa k týmto výrobkom rovnakým spôsobom (ENDS a ENNDS).(2)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Pojem uvedenie na trh, ktorý je uvedený v článku 2 tohto dekrétu, si vyžaduje ďalšie vysvetlenie. Tento pojem sa týka len zámeru sprístupniť výrobky spotrebiteľom v Belgicku a nie skutočného sprístupnenia výrobkov spotrebiteľom (t. j. keď sú k dispozícii na predaj). Túto skutočnosť potvrdila Európska komisia v e-maile adresovanom Federálnej verejnej službe pre zdravie zo 14. augusta 2019. Komisia tento postoj opätovne potvrdila na zasadnutí 15. októbra 2019. Komisia vo svojej správe zo zasadnutia uvádza: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Prítomnosť zdravotných varovaní na výrobkoch v troch národných jazykoch, ako je stanovené v článku 4 tohto dekrétu, postačuje na to, aby sa usúdilo, že výrobok sa uvádza na belgický trh, bez ohľadu na to, kde sa skladuje v logistickom reťazci.</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Niektoré zmeny si vyžadujú ďalšie vysvetlenie.</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Pokiaľ ide o vymedzenie pojmu „dovozca v Belgicku“, je to potrebné na to, aby Belgicko splnilo vykonávacie povinnosti stanovené v smernici 2014/40/EÚ, a najmä v jej článku 20 ods. 2. To si vyžaduje mať možnosť vykonať donucovacie </w:t>
      </w:r>
      <w:r>
        <w:rPr>
          <w:rFonts w:ascii="Times New Roman" w:hAnsi="Times New Roman"/>
          <w:color w:val="000000"/>
          <w:sz w:val="27"/>
        </w:rPr>
        <w:lastRenderedPageBreak/>
        <w:t>opatrenia (pokuty, zaistenie a pod.) so zodpovednou spoločnosťou v prípade nedodržania právnych predpisov. Vymedzenie pojmu dovozca stanovené v smernici 2014/40/EÚ neumožňuje inšpekčnej službe zodpovednej za monitorovanie konať proti dovozcom v Európskej únii. Je preto potrebné definovať belgického dovozcu, ktorý bude zodpovedný za dovoz na belgické územie, aby belgické orgány mohli v prípade porušenia konať proti tomuto belgickému dovozcovi. Okrem toho nie všetky členské štáty majú monitorovaciu službu na spracovanie akýchkoľvek žiadostí belgických orgánov o sankcie.</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Pojem „dovozca“ sa mení tak, aby zodpovedal vymedzeniu pojmu uvedenému v smernici 2014/40/EÚ.</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 súvislosti s oznámením sa vykonalo viacero zmien. Nové vymedzenia pojmov umožňujú, aby bol za tento postup zodpovedný aj „dovozca v Belgicku“. V praxi môže údaje, ktoré sú predmetom oznámenia, predložiť výrobca alebo dovozca v EÚ, aj keď ani jeden z týchto podnikov nemá sídlo v Belgicku. Zodpovedný za to je však dovozca v Belgicku, ktorý preto musí zabezpečiť, aby sa tak stalo, alebo to urobil sám pred uvedením výrobku na belgický trh. To znamená, že akékoľvek sankcie za porušenie možno pripísať podniku, ktorého sídlo sa nachádza v Belgicku.</w:t>
      </w:r>
      <w:r>
        <w:rPr>
          <w:rFonts w:ascii="Times New Roman" w:hAnsi="Times New Roman"/>
          <w:color w:val="000000"/>
          <w:sz w:val="27"/>
        </w:rPr>
        <w:br/>
        <w:t>Dokumentácia k oznámeniu, musí byť doplnená aj označením jednotkových balení uvedených na trh a letákom uvedeným v článku 5 ods. 9. Posilnia sa tým nástroje, ktoré má inšpekčná služba k dispozícii, a orgánom sa umožní lepší prehľad o kvalite informácií obsiahnutých v letáku.</w:t>
      </w:r>
      <w:r>
        <w:rPr>
          <w:rFonts w:ascii="Times New Roman" w:hAnsi="Times New Roman"/>
          <w:color w:val="000000"/>
          <w:sz w:val="27"/>
        </w:rPr>
        <w:br/>
        <w:t>Akékoľvek zmeny výrobku musia podliehať zodpovedajúcim zmenám v jeho dokumentácii k oznámeniu, predloženej službe tak, aby súbory zodpovedali výrobkom umiestneným na trh. Všetky zmeny v dokumentácii sa považujú za podstatné zmeny. Jedinými výnimkami sú zmeny požadované službou, zmeny v kontaktných údajoch a doplnenie údajov o objeme predaja z predchádzajúceho roka.</w:t>
      </w:r>
      <w:r>
        <w:rPr>
          <w:rFonts w:ascii="Times New Roman" w:hAnsi="Times New Roman"/>
          <w:color w:val="000000"/>
          <w:sz w:val="27"/>
        </w:rPr>
        <w:br/>
        <w:t>Zmenou dekrétu sa potvrdzuje, že služba uverejňuje na svojom webovom sídle zoznam výrobkov, ktorých dokumentáciak oznámeniu, je úplná (v „pozitívnom zozname“) a že výrobky, ktoré nie sú uvedené v tomto zozname, nemôžu byť uvedené na trh. Majú sa považovať za škodlivé a podliehajú trestným sankciám stanoveným v tomto dekréte.</w:t>
      </w:r>
      <w:r>
        <w:rPr>
          <w:rFonts w:ascii="Times New Roman" w:hAnsi="Times New Roman"/>
          <w:color w:val="000000"/>
          <w:sz w:val="27"/>
        </w:rPr>
        <w:br/>
        <w:t>Aby sa výrobok mohol objaviť na pozitívnom zozname, oznamovateľ musí uviesť údaje tak, ako to požaduje služba. Je to dôležité pre porovnateľnosť údajov medzi rôznymi dokumentáciami. V prípade nedodržania týchto pokynov a nevykonania požadovaných opráv sa výrobky neobjavia na pozitívnom zozname. To isté platí aj v prípade nezaplatenia poplatku.</w:t>
      </w:r>
      <w:r>
        <w:rPr>
          <w:rFonts w:ascii="Times New Roman" w:hAnsi="Times New Roman"/>
          <w:color w:val="000000"/>
          <w:sz w:val="27"/>
        </w:rPr>
        <w:br/>
        <w:t>V neposlednom rade sa vykonávajú zmeny aj v poplatkoch. V závislosti od súvisiacej administratívnej záťaže sa zavádzajú tri rôzne poplatky.</w:t>
      </w:r>
      <w:r>
        <w:rPr>
          <w:rFonts w:ascii="Times New Roman" w:hAnsi="Times New Roman"/>
          <w:color w:val="000000"/>
          <w:sz w:val="27"/>
        </w:rPr>
        <w:br/>
        <w:t>Na registráciu nového výrobku sa vzťahuje poplatok vo výške 200 EUR.</w:t>
      </w:r>
      <w:r>
        <w:rPr>
          <w:rFonts w:ascii="Times New Roman" w:hAnsi="Times New Roman"/>
          <w:color w:val="000000"/>
          <w:sz w:val="27"/>
        </w:rPr>
        <w:br/>
        <w:t>Za zmeny existujúcich registrácií výrobkov sa účtuje poplatok vo výške 100 EUR.</w:t>
      </w:r>
      <w:r>
        <w:rPr>
          <w:rFonts w:ascii="Times New Roman" w:hAnsi="Times New Roman"/>
          <w:color w:val="000000"/>
          <w:sz w:val="27"/>
        </w:rPr>
        <w:br/>
        <w:t xml:space="preserve">Každý registrovaný výrobok podlieha ročnému poplatku vo výške 50 EUR na pokrytie nákladov na spracovanie údajov, ktoré sa majú predkladať každý rok. </w:t>
      </w:r>
      <w:r>
        <w:rPr>
          <w:rFonts w:ascii="Times New Roman" w:hAnsi="Times New Roman"/>
          <w:color w:val="000000"/>
          <w:sz w:val="27"/>
        </w:rPr>
        <w:lastRenderedPageBreak/>
        <w:t>Okrem toho sa teraz stanovuje, že oznamovateľ musí poskytnúť tieto ročné údaje pred 1. marcom nasledujúceho roka.</w:t>
      </w:r>
      <w:r>
        <w:rPr>
          <w:rFonts w:ascii="Times New Roman" w:hAnsi="Times New Roman"/>
          <w:color w:val="000000"/>
          <w:sz w:val="27"/>
        </w:rPr>
        <w:br/>
        <w:t>Faktúra zaslaná službou musí byť uhradená do 30 dní.</w:t>
      </w:r>
      <w:r>
        <w:rPr>
          <w:rFonts w:ascii="Times New Roman" w:hAnsi="Times New Roman"/>
          <w:color w:val="000000"/>
          <w:sz w:val="27"/>
        </w:rPr>
        <w:br/>
        <w:t>Okrem toho sa uvádza, že je zakázané uvádzať na trh elektronické cigarety s atraktívnymi vlastnosťami, ktoré nie sú užitočné na prevádzku zariadenia. To znamená, že elektronické cigarety nemôžu mať žiadnu inú funkciu ako tvorbu pary, ktorá sa má vdýchnuť. Na internete a sociálnych sieťach sú dostupné videá zariadení, ktoré používajú LED lampu na zmenu farby pary. Niektorí sa napríklad snažia vytvoriť s parou rôzne tvary. Elektronické cigarety sa na tento účel nesmú používať. Na to sa vzťahujú najmä odporúčania SHC v stanovisku 9265 z októbra 2015, v ktorom sa uvádza, že „elektronické cigarety (...) vybavené zariadeniami (...) (svetlá, sfarbenie dymu atď.) musia byť regulované, kontrolované a zakázané.“ Elektronická cigareta je a zostáva výrobkom, ktorý sa nesmie prezentovať atraktívnym spôsobom.</w:t>
      </w:r>
      <w:r>
        <w:rPr>
          <w:rFonts w:ascii="Times New Roman" w:hAnsi="Times New Roman"/>
          <w:color w:val="000000"/>
          <w:sz w:val="27"/>
        </w:rPr>
        <w:br/>
        <w:t>Minister má možnosť zostaviť zoznam zakázaných prídavných látok alebo zostaviť zoznam osobitne povolených prídavných látok alebo dokonca kombináciu oboch zoznamov. Minister má tiež možnosť definovať normy a metódy analýzy, ktoré majú výrobcovia a dovozcovia používať na overenie vykonávania ustanovení článku 4 o zložení a emisiách. Vďaka tomu sa umožní lepšia porovnateľnosť výsledkov analýzy, a tým aj lepšia kontrola obsahu tekutín.</w:t>
      </w:r>
      <w:r>
        <w:rPr>
          <w:rFonts w:ascii="Times New Roman" w:hAnsi="Times New Roman"/>
          <w:color w:val="000000"/>
          <w:sz w:val="27"/>
        </w:rPr>
        <w:br/>
        <w:t>Pokiaľ ide o označovanie, článok 5 kráľovského dekrétu sa mení s cieľom objasniť, že leták a zoznam musia byť napísané aspoň vo francúzštine, v holandčine a nemčine. Cieľom je zabezpečiť, aby každý belgický spotrebiteľ mohol porozumieť obsahu letáka a správne používať výrobok. Takisto sa stanovuje, že značka a podznačka uvedené na jednotkovom balení a vonkajšom obale musia byť totožné s tými, ktoré sú uvedené v oznamovacom systéme. Táto konzistentnosť je dôležitá na to, aby orgány mohli vykonávať kontrolu výrobkov.</w:t>
      </w:r>
      <w:r>
        <w:rPr>
          <w:rFonts w:ascii="Times New Roman" w:hAnsi="Times New Roman"/>
          <w:color w:val="000000"/>
          <w:sz w:val="27"/>
        </w:rPr>
        <w:br/>
        <w:t>Spomenutie alebo naznačenie chuti, vône, akejkoľvek arómy sa môže uskutočniť iba jedným slovom a určeným písmom a veľkosťou, aby bol výrobok menej atraktívny.</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Okrem toho sa v súlade s ods. 10 tohto článku 5 príchuť alebo príchute uvedú v povinnom zozname zložiek. Tento zoznam zložiek môže niekedy pozostávať z niekoľkých desiatok prídavných látok, čo niekedy veľmi sťažuje prísne vykonávanie článku 5 ods. 10 vzhľadom na malú veľkosť fľaštičiek s tekutinou. V tomto prípade musí výrobca uviesť aspoň: arómu charakterizovanú neutrálnym (nepropagačným) spôsobom uvedením hlavnej príchute (príchutí), ktoré ju tvoria, všetky zložky nad 0,1 % a všetky alergény bez ohľadu na ich koncentráciu.</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Minister má možnosť stanoviť dodatočné podmienky týkajúce sa obsahu a prezentácie povinných informácií z hľadiska označovania. To znamená napríklad možnosť požiadať o osobitné požiadavky týkajúce sa obsahu letáka uvedeného v článku 5 ods. 9. Zákaz predaja na diaľku je potvrdený a rozšírený prostredníctvom zákazu nákupu na diaľku. Toto ustanovenie poskytuje tomuto článku väčšiu konzistentnosť. Takisto sa uvádza, že predaj na diaľku do tretích krajín, ktoré ho </w:t>
      </w:r>
      <w:r>
        <w:rPr>
          <w:rFonts w:ascii="Times New Roman" w:hAnsi="Times New Roman"/>
          <w:color w:val="000000"/>
          <w:sz w:val="27"/>
        </w:rPr>
        <w:lastRenderedPageBreak/>
        <w:t xml:space="preserve">povoľujú, je povolený za predpokladu, že sú dodržané osobitné ustanovenia stanovené týmito tretími krajinami.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Napokon sa stanovujú pravidlá pre plniace fľaštičky bez nikotínu. Okrem pravidiel nariadenia CLP neboli v skutočnosti pre tieto výrobky stanovené žiadne pravidlá, hoci ich je na trhu veľa a sú čoraz úspešnejšie. Trh sa tiež prispôsobil nedostatkom právnych predpisov, keďže spotrebitelia si teraz môžu vyrobiť vlastnú zmes po zakúpení plniacej fľaštičky s tekutinou bez nikotínu a nikotínového „boostra“. Pokiaľ ide o zloženie, uplatňovanie ustanovení uplatniteľných na tekutiny pre elektronické cigarety s nikotínom na všetky tekutiny pre elektronické cigarety tiež umožní jednoznačne zakázať všetky tekutiny pre elektronické cigarety obsahujúce CBD, a tak sa vymaniť zo súčasnej neistoty. V súčasnosti sa tekutiny pre elektronické cigarety bez nikotínu s CBD považujú za lieky, ak je hladina CBD vyššia ako 0,4 %, ale toto ustanovenie sa prakticky neuplatňuje. Na tieto výrobky bez nikotínu je potrebné dohliadať, pretože sú tiež škodlivé pre zdravie.</w:t>
      </w:r>
      <w:r>
        <w:rPr>
          <w:rFonts w:ascii="Times New Roman" w:hAnsi="Times New Roman"/>
          <w:color w:val="000000"/>
          <w:sz w:val="27"/>
        </w:rPr>
        <w:br/>
        <w:t>Najvyššia rada pre zdravie v Belgicku tiež odporučila určité pravidlá vo svojom stanovisku z roku 2015. Uvádza sa v ňom: „ Najvyššia rada pre zdravie odporúča, aby požiadavky na kvalitu elektronických cigariet s obsahom nikotínu boli rovnaké ako požiadavky na elektronické cigarety bez nikotínu (okrem nikotínu). Tento názor opakuje aj vo svojom stanovisku z roku 2022: „ Najvyššia rada pre zdravie zastáva názor, že normy pre tekutiny pre elektronické cigarety obsahujúce nikotín sa vzťahujú aj na tekutiny pre elektronické cigarety a zložky bez nikotínu. Okrem nikotínu sú zložky v týchto tekutinách pre elektronické cigarety identické. Nie je teda potrebné ich regulovať iným spôsobom. Pokiaľ ide o aspekty oznamovania, predaja na diaľku, označovania atď., v prípade nikotínu by sa mali uplatňovať alebo harmonizovať rovnaké regulačné zásady. Je preto potrebné prispôsobiť súčasné predpisy zahrnutím plniacich fľaštičiek bez nikotínu (tekutín pre elektronické cigarety).</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Aj keď neobsahujú nikotín, tekutiny pre elektronické cigarety bez nikotínu môžu predstavovať zdravotné riziká, ako sa uvádza v článku „Electronic cigarettes and health outcomes: systematic review of global evidence“ (4):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Okrem toho sa v tomto článku uvádza, že riziká elektronických cigariet sa netýkajú len nikotínu: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w:t>
      </w:r>
      <w:r>
        <w:rPr>
          <w:rFonts w:ascii="Times New Roman" w:hAnsi="Times New Roman"/>
          <w:color w:val="000000"/>
          <w:sz w:val="27"/>
        </w:rPr>
        <w:lastRenderedPageBreak/>
        <w:t>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Okrem tekutín obsahujúcich nikotín existujú aj ďalšie chemické zložky. Výpary obsahujú množstvo chemických zložiek a nečistôt v množstvách, ktoré môžu byť škodlivé pre zdravie. Patria medzi ne propylénglykol, glycerol, aldehydy a kovy. Koncentrácie výparov glycerolu a propylénglykolu vo výparoch z elektronických cigariet bez nikotínu sú rovnaké ako koncentrácie elektronických cigariet obsahujúcich nikotín. Hlavné účinky týchto dvoch látok ovplyvňujú poškodenie tkanív dýchacích ciest a účinky propylénglykolu na lymfocyty (typ bielych krviniek). Aldehydy sa vytvárajú pri tvorbe tekutín a kovy sa uvoľňujú z vaporizéra. Inhalovanie výparov z elektronickej cigarety (vaping) môže tiež viesť k búšeniu srdca. Preto je dôležité zabrániť mladým ľuďom používať elektronické vapingové výrobky, a to aj v prípade absencie nikotínu. Z výsledkov holandskej štúdie tiež vyplynulo, že používanie polyolov pri používaní elektronických cigariet predstavuje v prípade silných fajčiarov elektronických cigariet vysoké riziko poškodenia dýchacích ciest; toto riziko však nie je možné vylúčiť ani v prípade miernych a stredne silných fajčiarov elektronických cigariet. U silných fajčiarov elektronických cigariet nemožno vylúčiť systémové účinky. Dochádza aj k expozícii nitrozamínami NNK a NAT špecifickým pre tabak. V prípade silných fajčiarov elektronických cigariet to vedie k riziku vzniku nádorov v dýchacích cestách.</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Okrem prítomnosti karcinogénov v tekutinách pre elektronické cigarety vyvolávajú obavy aj častice prítomné vo výparoch. Častice môžu byť základom pre rozvoj rakoviny pľúc a správa SCHEER naznačuje, že výpary z elektronických cigariet obsahujú veľké množstvo častíc.</w:t>
      </w:r>
      <w:r>
        <w:rPr>
          <w:rFonts w:ascii="Times New Roman" w:hAnsi="Times New Roman"/>
          <w:color w:val="000000"/>
          <w:sz w:val="27"/>
        </w:rPr>
        <w:br/>
        <w:t>V správe toxikologického centra z roku 2021 sa uvádza, že „v súvislosti s chronickou expozíciou existuje čoraz viac vedeckých dôkazov o tom, že používatelia elektronických cigariet sú vystavení zmesi dráždivých, toxických a karcinogénnych zlúčenín. Dlhodobé riziká elektronických cigariet je naďalej potrebné preskúmať, ale v mnohých správach sa už spomína expozícia formaldehydu, akroleínu, acetátu vitamínu E, prchavým organickým zlúčeninám, ťažkým kovom, ultrajemným časticiam atď. Podobne aj aromatické látky pridávané do elektronických cigariet by mohli byť zdrojom pľúcnych ochorení. Napríklad diacetyl (2,3-butándión) je aromatická látka, ktorá pri vdychovaní spôsobuje pľúcne ochorenie v angličtine nazývané „popkornové pľúca“. Ochorenie je charakterizované obštrukčnou chorobou pľúc a obliterujúcou bronchiolitídou.“(6)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Je pravda, že existuje len málo literatúry, ktorá dokazuje zdravotné účinky tekutín pre elektronické cigarety bez nikotínu. Na základe zásady predbežnej opatrnosti je však potrebné prijať právne predpisy o nich. Iné členské štáty už prijali právne predpisy týkajúce sa týchto výrobkov; je to tak v prípade Holandska(7), Maďarska(8), Českej republiky(9), Fínska (10), Lotyšska(11), Litvy(12), Nemecka(13), Luxemburska a Dánska.</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Okrem toho sa na 7. konferencii zmluvných strán Rámcového dohovoru Svetovej zdravotníckej organizácie o kontrole tabaku prijalo rozhodnutie o elektronických inhalátoroch, bez ohľadu na to, či obsahujú nikotín alebo nie, a vyzvalo sa, aby „strany, ktoré ešte nezakázali dovoz, predaj a distribúciu týchto výrobkov, zvážili zákaz alebo reguláciu takýchto výrobkov“.(14)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Keďže tekutiny pre elektronické cigarety bez nikotínu sa tiež považujú za podobné výrobky, nedochádza k porušeniu zásady rovnosti a nediskriminácie, keďže rovnaké kategórie výrobkov sú legislatívne upravené rovnakým spôsobom.</w:t>
      </w:r>
      <w:r>
        <w:rPr>
          <w:rFonts w:ascii="Times New Roman" w:hAnsi="Times New Roman"/>
          <w:color w:val="000000"/>
          <w:sz w:val="27"/>
        </w:rPr>
        <w:br/>
        <w:t>Preto sa predpokladá, že na tieto výrobky sa tiež vzťahujú pravidlá oznamovania, určité pravidlá týkajúce sa zloženia a označovania a ustanovenia o predaji na diaľku. Uvádza sa aj osobitné zdravotné varovanie. Kombinácia týchto jednotlivých ustanovení znamená zákaz uvádzania tekutín bez obsahu nikotínu na trh prostredníctvom systému, ktorý spotrebiteľom umožňuje vytvoriť si vlastnú individualizovanú zmes (typu „juice bar“ alebo „mixologickú“ službu). Tak to už bolo v prípade tekutín obsahujúcich nikotín.</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Vďaka týmto rôznym pravidlám sa umožní:</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spoznať trh (pozri oznámenie);</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mať bezpečnejšie tekutiny pre elektronické cigarety (pozri zloženie);</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zabrániť tomu, aby deti mohli ľahko otvoriť fľaštičky s tekutinami pre elektronické cigarety (pozri zloženie);</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upozorniť spotrebiteľa, že výrobok sa neodporúča pre nefajčiarov (pozri označenie);</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zabrániť tomu, aby tieto výrobky boli atraktívne (najmä pre maloleté osoby) (pozri zloženie a označovanie);</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zabrániť tomu, aby boli tieto výrobky ľahko dostupné (pozri predaj na diaľku). Poznámky podľa jednotlivých článkov</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Článok 1. Cieľom tohto článku je doplniť a zmeniť určité vymedzenia pojmov. Objasňuje sa vymedzenie pojmu „elektronická cigareta“.</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Dopĺňa sa vymedzenie pojmu „plniaca fľaštička bez nikotínu“.</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Mení sa vymedzenie pojmu dovozca a dopĺňa sa vymedzenie pojmu dovozca v Belgicku s cieľom umožniť belgickým orgánom sankcionovať dovozcu v Belgicku v prípade porušenia dekrétu.</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Dopĺňajú sa vymedzenia pojmov „cezhraničný predaj na diaľku“, „zdravotné varovanie“, „aróma“ a „maloobchodná predajňa“. Ide o vymedzenia pojmov uvedené v smernici, ktoré v kráľovskom dekréte chýbali.</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Článok 2.</w:t>
      </w:r>
      <w:r>
        <w:rPr>
          <w:rFonts w:ascii="Times New Roman" w:hAnsi="Times New Roman"/>
          <w:color w:val="000000"/>
          <w:sz w:val="27"/>
        </w:rPr>
        <w:br/>
        <w:t>Cieľom tohto článku je vykonať viacero zlepšení v postupe oznamovania týkajúceho sa elektronických cigariet:</w:t>
      </w:r>
      <w:r>
        <w:rPr>
          <w:rFonts w:ascii="Times New Roman" w:hAnsi="Times New Roman"/>
          <w:color w:val="000000"/>
          <w:sz w:val="27"/>
        </w:rPr>
        <w:br/>
        <w:t xml:space="preserve">- konečnú zodpovednosť za postup oznamovania nesie dovozca v Belgicku, ak výrobca alebo dovozca nemá sídlo v Belgicku;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označenie jednotkových balení sa musí predložiť službe v dokumentácii k oznámeniu;</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informácie týkajúce sa výrobku, ktorého dokumentácia k oznámeniu je v poriadku, sa uverejnia na webovom sídle služby. Výrobky, ktoré sa nenachádzajú na tomto webovom sídle, nemôžu byť uvedené na trh;</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faktúra zaslaná službou na zaplatenie poplatku musí byť uhradená do 30 dní;</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Upravuje sa systém poplatkov: Za registráciu nových výrobkov sa platí poplatok vo výške 200 EUR, za úpravu existujúcej registrácie výrobkov sa platí poplatok vo výške 100 EUR a na pokrytie nákladov na spracovanie údajov, ktoré sa majú každoročne poskytovať, sa platí ročný poplatok vo výške 50 EUR. Tieto poplatky musia byť uhradené pred 1. marcom nasledujúceho roka.</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Článok 3. Článok 4 sa nahrádza s cieľom:</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zakázať atraktívne vlastnosti, ktoré nie sú užitočné na prevádzku zariadenia;</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opraviť chybu pri transpozícii (doplnenie bodu 5 do § 4);</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umožniť ministrovi vypracovať zoznam zakázaných prídavných látok a/alebo zoznam povolených prídavných látok v elektronických cigaretách a plniacich fľaštičkách;</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uviesť, že bezpečnostné zariadenia odolávajúce deťom musia byť v súlade s normou ISO 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Článok 4. Článok 5 dekrétu bol prepracovaný s cieľom odlíšiť ustanovenia, ktoré sa vzťahujú na zdravotné varovanie, od ustanovení, ktoré sa vzťahujú na znenie tohto varovania.</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Okrem toho sa v ňom jasne uvádza, že leták a zoznam musia byť k dispozícii aspoň v troch národných jazykoch.</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Následne sa doplnilo, že jednotkové balenia, ako aj všetky vonkajšie obaly musia obsahovať identifikačné číslo výrobku zaregistrované v systéme oznamovania.</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Okrem toho sa uvádza, že plniace fľaštičky musia mať dátum exspirácie, ktorý nemožno prekročiť.</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Nakoniec sa objasnilo, že značka a podznačka na obale výrobkov musia byť rovnaké ako značky a podznačky uvedené v systéme oznamovania.</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Článok 5. Článok 6 dekrétu sa mení tak, aby bol zakázaný predaj elektronických cigariet a plniacich fľaštičiek na diaľku. Dopĺňa sa odsek 2 s cieľom povoliť predaj na diaľku do tretích krajín, ktoré ho povoľujú, v súlade s osobitnými ustanoveniami týchto tretích krajín.</w:t>
      </w:r>
      <w:r>
        <w:rPr>
          <w:rFonts w:ascii="Times New Roman" w:hAnsi="Times New Roman"/>
          <w:color w:val="000000"/>
          <w:sz w:val="27"/>
        </w:rPr>
        <w:br/>
        <w:t>Článok 6. Cieľom článku 6 je vytvoriť nový článok 6/1 s cieľom prijať ustanovenia týkajúce sa plniacich fľaštičiek bez nikotínu.</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 tomto článku sa stanovuje, že na plniace fľaštičky bez nikotínu sa uplatňujú pravidlá oznamovania, určité pravidlá týkajúce sa zloženia a označovania a ustanovenie o predaji na diaľku.</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Osobitné zdravotné varovanie pre tieto výrobky je stanovené aj v odseku 3 tohto článku.</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Článok 7. Článok 7 odkazuje na nadobudnutie účinnosti dekrétu.</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Článok 8. Článok 8 sa zaoberá vykonávaním kráľovského dekrétu.</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Mám tú česť byť,</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Vaše Veličenstvo,</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najúctivejším a najvernejším</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služobníkom Vášho Veličenstva,</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Minister zdravotníctva,</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Ústavný súd, 16. decembra 2021, rozsudok č.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report on the global tobacco epidemic 2021: addressing new and emerging products. Geneva: World Health Organization;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Toxicovigilancia, Toxikologické centrum pre nebezpečné zmesi, záverečná správa, marec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Non-small-cell lung cancer promotion by air pollutants.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(18) SCHEER. Opinion on electronic cigarettes, 2021, p.30;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NOVEMBRA 2022 - Kráľovský dekrét, ktorým sa mení kráľovský dekrét z 28. októbra 2016 o výrobe a uvádzaní elektronických cigariet na trh</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FILIP, kráľ Belgičanov,</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Na vedomie všetkým, ktorých sa to týka,</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so zreteľom na zákon z 24. januára 1977 o ochrane zdravia spotrebiteľov, pokiaľ ide o potraviny a iné výrobky, článok 6 § 1 písm. a), zmenený zákonom z 22. marca 1989, článok 10 ods. 1, nahradený zákonom z 22. marca 1989, článok 10 ods. 1, nahradený zákonom z 9. februára 1994;</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so zreteľom na kráľovský dekrét , ktorým sa mení kráľovský dekrét z 28. októbra 2016 o výrobe a uvádzaní elektronických cigariet na trh;</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so zreteľom na oznámenie Európskej komisii zo 6. júla 2021 podľa článku 5 ods. 1 smernice Európskeho parlamentu a Rady (EÚ) 2015/1535 z 9. septembra 2015, ktorou sa stanovuje postup pri poskytovaní informácií v oblasti technických predpisov a pravidiel vzťahujúcich sa na služby informačnej spoločnosti;</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so zreteľom na stanovisko finančného inšpektora vydané 17. januára 2022;</w:t>
      </w:r>
      <w:r>
        <w:rPr>
          <w:rFonts w:ascii="Times New Roman" w:hAnsi="Times New Roman"/>
          <w:color w:val="000000"/>
          <w:sz w:val="27"/>
        </w:rPr>
        <w:br/>
        <w:t>so zreteľom na súhlas štátneho tajomníka pre rozpočet vydaný 28. júna 2022;</w:t>
      </w:r>
      <w:r>
        <w:rPr>
          <w:rFonts w:ascii="Times New Roman" w:hAnsi="Times New Roman"/>
          <w:color w:val="000000"/>
          <w:sz w:val="27"/>
        </w:rPr>
        <w:br/>
        <w:t>so zreteľom na stanovisko Štátnej rady č. 72.095/1/V, vydané 16. septembra 2022, podľa článku 84 § 1 ods. 1 bodu 2 zákonov o Štátnej rade zosúladených 12. januára 1973;</w:t>
      </w:r>
      <w:r>
        <w:rPr>
          <w:rFonts w:ascii="Times New Roman" w:hAnsi="Times New Roman"/>
          <w:color w:val="000000"/>
          <w:sz w:val="27"/>
        </w:rPr>
        <w:br/>
        <w:t>na návrh ministra zdravotníctva</w:t>
      </w:r>
      <w:r>
        <w:rPr>
          <w:rFonts w:ascii="Times New Roman" w:hAnsi="Times New Roman"/>
          <w:color w:val="000000"/>
          <w:sz w:val="27"/>
        </w:rPr>
        <w:br/>
        <w:t>sme rozhodli a týmto vydávame tento dekrét:</w:t>
      </w:r>
      <w:r>
        <w:rPr>
          <w:rFonts w:ascii="Times New Roman" w:hAnsi="Times New Roman"/>
          <w:color w:val="000000"/>
          <w:sz w:val="27"/>
        </w:rPr>
        <w:br/>
        <w:t>Článok 1 V článku 2 kráľovského dekrétu z 28. októbra 2016 o výrobe a uvádzaní elektronických cigariet na trh sa vykonávajú tieto zmeny: a) v bode 1 sa medzi slová „výparov obsahujúcich“ a slovo „nikotín“ vkladajú slová „alebo neobsahujúcich“;</w:t>
      </w:r>
      <w:r>
        <w:rPr>
          <w:rFonts w:ascii="Times New Roman" w:hAnsi="Times New Roman"/>
          <w:color w:val="000000"/>
          <w:sz w:val="27"/>
        </w:rPr>
        <w:br/>
        <w:t>b) vkladá sa nasledujúci bod 2 ods. 1, ktorý znie:</w:t>
      </w:r>
      <w:r>
        <w:rPr>
          <w:rFonts w:ascii="Times New Roman" w:hAnsi="Times New Roman"/>
          <w:color w:val="000000"/>
          <w:sz w:val="27"/>
        </w:rPr>
        <w:br/>
        <w:t>„2/1 Plniaca fľaštička bez obsahu nikotínu: nádobka obsahujúca tekutinu, ktorá neobsahuje nikotín, ktorú možno použiť na opätovné naplnenie elektronickej cigarety;“;</w:t>
      </w:r>
      <w:r>
        <w:rPr>
          <w:rFonts w:ascii="Times New Roman" w:hAnsi="Times New Roman"/>
          <w:color w:val="000000"/>
          <w:sz w:val="27"/>
        </w:rPr>
        <w:br/>
        <w:t>c) vkladá sa nasledujúci bod 10 ods. 1, ktorý znie:</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Cezhraničný predaj na diaľku: predaj spotrebiteľom na diaľku, pri ktorom sa spotrebiteľ v čase objednávky výrobku z maloobchodnej predajne nachádza v inom členskom štáte, ako je členský štát alebo tretia krajina, kde má uvedená maloobchodná predajňa sídlo; usudzuje sa, že maloobchodná predajňa má sídlo v členskom štáte:</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v prípade fyzickej osoby: ak má miesto svojho podnikania v uvedenom členskom štáte;</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b) v ostatných prípadoch: ak má maloobchodná predajňa svoje registrované sídlo, ústredie alebo miesto podnikania vrátane pobočky, zastúpenia alebo akejkoľvek </w:t>
      </w:r>
      <w:r>
        <w:rPr>
          <w:rFonts w:ascii="Times New Roman" w:hAnsi="Times New Roman"/>
          <w:color w:val="000000"/>
          <w:sz w:val="27"/>
        </w:rPr>
        <w:lastRenderedPageBreak/>
        <w:t>inej prevádzkarne v uvedenom členskom štáte;“;</w:t>
      </w:r>
      <w:r>
        <w:rPr>
          <w:rFonts w:ascii="Times New Roman" w:hAnsi="Times New Roman"/>
          <w:color w:val="000000"/>
          <w:sz w:val="27"/>
        </w:rPr>
        <w:br/>
        <w:t>d) bod 13 sa nahrádza takto:</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dovozca: vlastník elektronických cigariet, plniacich fľaštičiek a plniacich fľaštičiek bez obsahu nikotínu alebo osoba, ktorá má právo zaobchádzať s elektronickými cigaretami, plniacimi fľaštičkami a plniacimi fľaštičkami bez obsahu nikotínu dovezenými na územie Únie;“;</w:t>
      </w:r>
      <w:r>
        <w:rPr>
          <w:rFonts w:ascii="Times New Roman" w:hAnsi="Times New Roman"/>
          <w:color w:val="000000"/>
          <w:sz w:val="27"/>
        </w:rPr>
        <w:br/>
        <w:t>e) vkladá sa nasledujúci bod 13 ods. 1, ktorý znie:</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dovozca do Belgicka: vlastník elektronických cigariet, plniacich fľaštičiek a plniacich fľaštičiek bez obsahu nikotínu alebo osoba, ktorá má právo zaobchádzať s elektronickými cigaretami, plniacimi fľaštičkami a plniacimi fľaštičkami bez obsahu nikotínu dovezenými na územie Belgicka;“;</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článok 2 sa dopĺňa bodmi 18, 19 a 20, ktoré majú toto znenie:</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zdravotné varovanie: varovanie týkajúce sa nepriaznivých účinkov výrobku na ľudské zdravie alebo iných nežiaducich dôsledkov jeho spotreby;</w:t>
      </w:r>
      <w:r>
        <w:rPr>
          <w:rFonts w:ascii="Times New Roman" w:hAnsi="Times New Roman"/>
          <w:color w:val="000000"/>
          <w:sz w:val="27"/>
        </w:rPr>
        <w:br/>
        <w:t>19) aróma: prídavná látka, ktorá dodáva vôňu a/alebo chuť,</w:t>
      </w:r>
      <w:r>
        <w:rPr>
          <w:rFonts w:ascii="Times New Roman" w:hAnsi="Times New Roman"/>
          <w:color w:val="000000"/>
          <w:sz w:val="27"/>
        </w:rPr>
        <w:br/>
        <w:t>20) maloobchodná predajňa: každá predajňa, kde sa elektronické cigarety, plniace fľaštičky a plniace fľaštičky bez obsahu nikotínu uvádzajú na trh, a to aj fyzickou osobou.“.</w:t>
      </w:r>
      <w:r>
        <w:rPr>
          <w:rFonts w:ascii="Times New Roman" w:hAnsi="Times New Roman"/>
          <w:color w:val="000000"/>
          <w:sz w:val="27"/>
        </w:rPr>
        <w:br/>
        <w:t xml:space="preserve">Článok 2 Článok 3 toho istého dekrétu, zmeneného kráľovským dekrétom zo 17. mája 2017, sa nahrádza takto: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Článok 3. Oznámenie</w:t>
      </w:r>
      <w:r>
        <w:rPr>
          <w:rFonts w:ascii="Times New Roman" w:hAnsi="Times New Roman"/>
          <w:color w:val="000000"/>
          <w:sz w:val="27"/>
        </w:rPr>
        <w:br/>
        <w:t>§ 1 Uvádzanie elektronických cigariet a plniacich fľaštičiek na trh podlieha oznámeniu službe. Výrobca alebo dovozca alebo dovozca do Belgicka, ak prvé dva subjekty nemajú registrované sídlo v Belgicku a neoznámili výrobok, predložia službe oznámenie o akýchkoľvek elektronických cigaretách a plniacich fľaštičkách, ktoré plánujú uviesť na trh.</w:t>
      </w:r>
      <w:r>
        <w:rPr>
          <w:rFonts w:ascii="Times New Roman" w:hAnsi="Times New Roman"/>
          <w:color w:val="000000"/>
          <w:sz w:val="27"/>
        </w:rPr>
        <w:br/>
        <w:t>§ 2 Oznámenie sa predloží elektronicky šesť mesiacov pred zamýšľaným uvedením na trh.</w:t>
      </w:r>
      <w:r>
        <w:rPr>
          <w:rFonts w:ascii="Times New Roman" w:hAnsi="Times New Roman"/>
          <w:color w:val="000000"/>
          <w:sz w:val="27"/>
        </w:rPr>
        <w:br/>
        <w:t>§ 3 V závislosti od toho, či je výrobok elektronickou cigaretou, alebo plniacou fľaštičkou, oznámenie obsahuje tieto informácie:</w:t>
      </w:r>
      <w:r>
        <w:rPr>
          <w:rFonts w:ascii="Times New Roman" w:hAnsi="Times New Roman"/>
          <w:color w:val="000000"/>
          <w:sz w:val="27"/>
        </w:rPr>
        <w:br/>
        <w:t>1) názov a kontaktné údaje výrobcu, dovozcu a dovozcu do Belgicka;</w:t>
      </w:r>
      <w:r>
        <w:rPr>
          <w:rFonts w:ascii="Times New Roman" w:hAnsi="Times New Roman"/>
          <w:color w:val="000000"/>
          <w:sz w:val="27"/>
        </w:rPr>
        <w:br/>
        <w:t>2) zoznam všetkých zložiek obsiahnutých vo výrobku a emisií vznikajúcich v dôsledku používania výrobku, a to podľa obchodnej značky a typu, vrátane ich množstiev;</w:t>
      </w:r>
      <w:r>
        <w:rPr>
          <w:rFonts w:ascii="Times New Roman" w:hAnsi="Times New Roman"/>
          <w:color w:val="000000"/>
          <w:sz w:val="27"/>
        </w:rPr>
        <w:br/>
        <w:t>3) toxikologické údaje týkajúce sa týchto zložiek výrobku a emisií aj v zohriatom stave najmä vzhľadom na ich účinky na zdravie spotrebiteľov pri inhalácii a berúc do úvahy okrem iného akýkoľvek návykový účinok;</w:t>
      </w:r>
      <w:r>
        <w:rPr>
          <w:rFonts w:ascii="Times New Roman" w:hAnsi="Times New Roman"/>
          <w:color w:val="000000"/>
          <w:sz w:val="27"/>
        </w:rPr>
        <w:br/>
        <w:t>4) informácie o dávkach nikotínu a jeho vstrebávaní pri konzumácii za obvyklých alebo odôvodnene predvídateľných podmienok;</w:t>
      </w:r>
      <w:r>
        <w:rPr>
          <w:rFonts w:ascii="Times New Roman" w:hAnsi="Times New Roman"/>
          <w:color w:val="000000"/>
          <w:sz w:val="27"/>
        </w:rPr>
        <w:br/>
        <w:t>5) opis komponentov výrobku, v uplatniteľnom prípade vrátane otváracieho a plniaceho mechanizmu elektronickej cigarety alebo plniacich fľaštičiek;</w:t>
      </w:r>
      <w:r>
        <w:rPr>
          <w:rFonts w:ascii="Times New Roman" w:hAnsi="Times New Roman"/>
          <w:color w:val="000000"/>
          <w:sz w:val="27"/>
        </w:rPr>
        <w:br/>
        <w:t>6) opis výrobného procesu vrátane toho, či výrobný proces zahŕňa sériovú výrobu a vyhlásenie, že v súvislosti s výrobným procesom je zabezpečený súlad s požiadavkami uvedenými v tomto článku;</w:t>
      </w:r>
      <w:r>
        <w:rPr>
          <w:rFonts w:ascii="Times New Roman" w:hAnsi="Times New Roman"/>
          <w:color w:val="000000"/>
          <w:sz w:val="27"/>
        </w:rPr>
        <w:br/>
      </w:r>
      <w:r>
        <w:rPr>
          <w:rFonts w:ascii="Times New Roman" w:hAnsi="Times New Roman"/>
          <w:color w:val="000000"/>
          <w:sz w:val="27"/>
        </w:rPr>
        <w:lastRenderedPageBreak/>
        <w:t>7) vyhlásenie, že výrobca, dovozca a dovozca do Belgicka nesú plnú zodpovednosť za kvalitu a bezpečnosť výrobku pri jeho uvedení na trh a používaní za obvyklých a odôvodnene predvídateľných podmienok;</w:t>
      </w:r>
      <w:r>
        <w:rPr>
          <w:rFonts w:ascii="Times New Roman" w:hAnsi="Times New Roman"/>
          <w:color w:val="000000"/>
          <w:sz w:val="27"/>
        </w:rPr>
        <w:br/>
        <w:t>8) označovanie jednotkových balení a akéhokoľvek vonkajšieho obalu a obsahu letáku, ako sa uvádza v článku 5 paragrafe 9 tohto dekrétu.</w:t>
      </w:r>
      <w:r>
        <w:rPr>
          <w:rFonts w:ascii="Times New Roman" w:hAnsi="Times New Roman"/>
          <w:color w:val="000000"/>
          <w:sz w:val="27"/>
        </w:rPr>
        <w:br/>
        <w:t>§ 4 Ak služba dospeje k záveru, že poskytnuté informácie sú neúplné, má právo požadovať doplnenie príslušných informácií.</w:t>
      </w:r>
      <w:r>
        <w:rPr>
          <w:rFonts w:ascii="Times New Roman" w:hAnsi="Times New Roman"/>
          <w:color w:val="000000"/>
          <w:sz w:val="27"/>
        </w:rPr>
        <w:br/>
        <w:t>§ 5 Informácie o výrobku poskytnuté v súlade s paragrafom 3 tohto článku sa sprístupnia na webovom sídle služby, ak služba považuje tieto informácie za úplné a faktúra uvedená v paragrafe 7 tohto článku bola zaplatená. Výrobky, ktoré sa nenachádzajú v zozname overených výrobkov uverejnených na webovom sídle služby, nemôžu byť uvedené na trh.</w:t>
      </w:r>
      <w:r>
        <w:rPr>
          <w:rFonts w:ascii="Times New Roman" w:hAnsi="Times New Roman"/>
          <w:color w:val="000000"/>
          <w:sz w:val="27"/>
        </w:rPr>
        <w:br/>
        <w:t>Pri uvedení informácií sa musia označiť informácie, ktoré predstavujú obchodné tajomstvo, alebo iné dôverné informácie. Tieto tvrdenia musia byť odôvodnené na požiadanie.</w:t>
      </w:r>
      <w:r>
        <w:rPr>
          <w:rFonts w:ascii="Times New Roman" w:hAnsi="Times New Roman"/>
          <w:color w:val="000000"/>
          <w:sz w:val="27"/>
        </w:rPr>
        <w:br/>
        <w:t>§ 6 Za dôverné informácie ani za obchodné tajomstvo sa nepovažujú nasledujúce informácie:</w:t>
      </w:r>
      <w:r>
        <w:rPr>
          <w:rFonts w:ascii="Times New Roman" w:hAnsi="Times New Roman"/>
          <w:color w:val="000000"/>
          <w:sz w:val="27"/>
        </w:rPr>
        <w:br/>
        <w:t>1) zložky použité v množstvách vyšších ako 0,1 % konečného zloženia tekutiny;</w:t>
      </w:r>
      <w:r>
        <w:rPr>
          <w:rFonts w:ascii="Times New Roman" w:hAnsi="Times New Roman"/>
          <w:color w:val="000000"/>
          <w:sz w:val="27"/>
        </w:rPr>
        <w:br/>
        <w:t>2) štúdie a údaje zasielané v súlade s týmto článkom, najmä pokiaľ ide o toxicitu alebo návykovosť výrobkov. Ak sú tieto štúdie spojené s konkrétnymi ochrannými známkami, vypustia sa výslovné a implicitné odkazy na ochrannú známku a sprístupní sa revidovaná verzia. Každá oznamujúca osoba musí odovzdať službe úplné štúdie a údaje, ako aj revidovanú verziu.</w:t>
      </w:r>
      <w:r>
        <w:rPr>
          <w:rFonts w:ascii="Times New Roman" w:hAnsi="Times New Roman"/>
          <w:color w:val="000000"/>
          <w:sz w:val="27"/>
        </w:rPr>
        <w:br/>
        <w:t>§ 7 Každá osoba, ktorá službe predkladá oznámenie podľa paragrafov 1 až 4, zaplatí do rozpočtového fondu pre suroviny a výrobky poplatok vo výške 200 EUR za výrobok.</w:t>
      </w:r>
      <w:r>
        <w:rPr>
          <w:rFonts w:ascii="Times New Roman" w:hAnsi="Times New Roman"/>
          <w:color w:val="000000"/>
          <w:sz w:val="27"/>
        </w:rPr>
        <w:br/>
        <w:t>Tento poplatok musí byť zaplatený do 30 dní od zaslania faktúry.</w:t>
      </w:r>
      <w:r>
        <w:rPr>
          <w:rFonts w:ascii="Times New Roman" w:hAnsi="Times New Roman"/>
          <w:color w:val="000000"/>
          <w:sz w:val="27"/>
        </w:rPr>
        <w:br/>
        <w:t>Tento poplatok je splatný hneď po zadaní údajov do oznamovacieho systému stanoveného ministrom podľa článku 3 § 13 a je nenávratný.</w:t>
      </w:r>
      <w:r>
        <w:rPr>
          <w:rFonts w:ascii="Times New Roman" w:hAnsi="Times New Roman"/>
          <w:color w:val="000000"/>
          <w:sz w:val="27"/>
        </w:rPr>
        <w:br/>
        <w:t>§ 8 Výrobca alebo dovozca alebo dovozca do Belgicka, ak prvé dva subjekty nemajú registrované sídlo v Belgicku a neoznámili výrobok, predložia nové relevantné informácie pre každú úpravu výrobku, ktorá vedie k zmene údajov zaslaných v súlade s paragrafmi 1 až 4. Tieto zmeny sa považujú za podstatné zmeny s výnimkou zmien požadovaných službou, zmien v kontaktných informáciách a zadania údajov o objeme predaja za predchádzajúci rok, ako sa stanovuje v paragrafe 10 tohto článku.</w:t>
      </w:r>
      <w:r>
        <w:rPr>
          <w:rFonts w:ascii="Times New Roman" w:hAnsi="Times New Roman"/>
          <w:color w:val="000000"/>
          <w:sz w:val="27"/>
        </w:rPr>
        <w:br/>
        <w:t>§ 9 Každá osoba, ktorá predloží službe oznámenie o podstatnej zmene podľa paragrafu 8, zaplatí do rozpočtového fondu pre suroviny a výrobky poplatok vo výške 100 EUR za výrobok. Tento poplatok musí byť zaplatený do 30 dní od zaslania faktúry.</w:t>
      </w:r>
      <w:r>
        <w:rPr>
          <w:rFonts w:ascii="Times New Roman" w:hAnsi="Times New Roman"/>
          <w:color w:val="000000"/>
          <w:sz w:val="27"/>
        </w:rPr>
        <w:br/>
        <w:t>Tento poplatok je splatný hneď po zmene údajov v oznamovacom systéme stanovenom ministrom podľa článku 3 § 13 a je nenávratný.</w:t>
      </w:r>
      <w:r>
        <w:rPr>
          <w:rFonts w:ascii="Times New Roman" w:hAnsi="Times New Roman"/>
          <w:color w:val="000000"/>
          <w:sz w:val="27"/>
        </w:rPr>
        <w:br/>
        <w:t xml:space="preserve">§ 10 Výrobca alebo dovozca alebo dovozca do Belgicka, ak prvé dva subjekty nemajú registrované sídlo v Belgicku a neoznámili výrobok, každoročne predložia </w:t>
      </w:r>
      <w:r>
        <w:rPr>
          <w:rFonts w:ascii="Times New Roman" w:hAnsi="Times New Roman"/>
          <w:color w:val="000000"/>
          <w:sz w:val="27"/>
        </w:rPr>
        <w:lastRenderedPageBreak/>
        <w:t>službe najneskôr do prvého marca:</w:t>
      </w:r>
      <w:r>
        <w:rPr>
          <w:rFonts w:ascii="Times New Roman" w:hAnsi="Times New Roman"/>
          <w:color w:val="000000"/>
          <w:sz w:val="27"/>
        </w:rPr>
        <w:br/>
        <w:t>1) komplexné údaje o objeme predaja za predchádzajúci rok podľa obchodnej značky a typu výrobku;</w:t>
      </w:r>
      <w:r>
        <w:rPr>
          <w:rFonts w:ascii="Times New Roman" w:hAnsi="Times New Roman"/>
          <w:color w:val="000000"/>
          <w:sz w:val="27"/>
        </w:rPr>
        <w:br/>
        <w:t>2) informácie o preferenciách rôznych skupín spotrebiteľov vrátane mladých ľudí, nefajčiarov a hlavných typov súčasných používateľov;</w:t>
      </w:r>
      <w:r>
        <w:rPr>
          <w:rFonts w:ascii="Times New Roman" w:hAnsi="Times New Roman"/>
          <w:color w:val="000000"/>
          <w:sz w:val="27"/>
        </w:rPr>
        <w:br/>
        <w:t>3) informácie o spôsobe predaja výrobkov;</w:t>
      </w:r>
      <w:r>
        <w:rPr>
          <w:rFonts w:ascii="Times New Roman" w:hAnsi="Times New Roman"/>
          <w:color w:val="000000"/>
          <w:sz w:val="27"/>
        </w:rPr>
        <w:br/>
        <w:t>4) prehľadné súhrny akýchkoľvek trhových prieskumov vykonaných v súvislosti s uvedenými skupinami vrátane ich prekladu do angličtiny.</w:t>
      </w:r>
      <w:r>
        <w:rPr>
          <w:rFonts w:ascii="Times New Roman" w:hAnsi="Times New Roman"/>
          <w:color w:val="000000"/>
          <w:sz w:val="27"/>
        </w:rPr>
        <w:br/>
        <w:t>§ 11 Každá osoba, ktorá každoročne predkladá službe údaje podľa paragrafu 10, zaplatí do rozpočtového fondu pre suroviny a výrobky poplatok vo výške 50 EUR za výrobok.</w:t>
      </w:r>
      <w:r>
        <w:rPr>
          <w:rFonts w:ascii="Times New Roman" w:hAnsi="Times New Roman"/>
          <w:color w:val="000000"/>
          <w:sz w:val="27"/>
        </w:rPr>
        <w:br/>
        <w:t>Tento poplatok musí byť zaplatený do 30 dní od zaslania faktúry.</w:t>
      </w:r>
      <w:r>
        <w:rPr>
          <w:rFonts w:ascii="Times New Roman" w:hAnsi="Times New Roman"/>
          <w:color w:val="000000"/>
          <w:sz w:val="27"/>
        </w:rPr>
        <w:br/>
        <w:t>Tento poplatok je splatný hneď po zadaní údajov do oznamovacieho systému stanoveného ministrom podľa článku 3 § 13 a je nenávratný.</w:t>
      </w:r>
      <w:r>
        <w:rPr>
          <w:rFonts w:ascii="Times New Roman" w:hAnsi="Times New Roman"/>
          <w:color w:val="000000"/>
          <w:sz w:val="27"/>
        </w:rPr>
        <w:br/>
        <w:t>§ 12 Výrobca alebo dovozca alebo dovozca do Belgicka, ak prvé dva subjekty nemajú sídlo v Belgicku, vytvorí a udržiava systém na zber informácií o všetkých nepriaznivých účinkoch týchto výrobkov na ľudské zdravie, v súvislosti s ktorými existuje podozrenie, že existujú.</w:t>
      </w:r>
      <w:r>
        <w:rPr>
          <w:rFonts w:ascii="Times New Roman" w:hAnsi="Times New Roman"/>
          <w:color w:val="000000"/>
          <w:sz w:val="27"/>
        </w:rPr>
        <w:br/>
        <w:t>Ak sa ktorýkoľvek z týchto hospodárskych subjektov domnieva alebo ak má dôvod domnievať sa, že elektronické cigarety alebo plniace fľaštičky, ktoré má v držbe a ktoré majú byť uvedené na trh alebo sa uvádzajú na trh, nie sú bezpečné ani dobrej kvality, alebo inak nie sú v súlade s týmto dekrétom, uvedený hospodársky subjekt bezodkladne prijme nápravné opatrenia potrebné na to, aby bol tento dotknutý výrobok uvedený do súladu s týmto dekrétom alebo stiahnutý, alebo vrátený. V takých prípadoch sa od hospodárskeho subjektu tiež vyžaduje, aby bezodkladne informoval službu a poskytol podrobné informácie najmä o riziku pre ľudské zdravie a bezpečnosť, ďalej o všetkých prijatých nápravných opatreniach a o ich výsledkoch.</w:t>
      </w:r>
      <w:r>
        <w:rPr>
          <w:rFonts w:ascii="Times New Roman" w:hAnsi="Times New Roman"/>
          <w:color w:val="000000"/>
          <w:sz w:val="27"/>
        </w:rPr>
        <w:br/>
        <w:t>Služba môže od hospodárskych subjektov vyžadovať aj doplňujúce informácie napríklad o aspektoch bezpečnosti a kvality alebo o akýchkoľvek nepriaznivých účinkoch elektronických cigariet a plniacich fľaštičiek.</w:t>
      </w:r>
      <w:r>
        <w:rPr>
          <w:rFonts w:ascii="Times New Roman" w:hAnsi="Times New Roman"/>
          <w:color w:val="000000"/>
          <w:sz w:val="27"/>
        </w:rPr>
        <w:br/>
        <w:t>§ 13 Vzor, ktorý sa uplatňuje na predkladanie a sprístupňovanie informácií uvedených v tomto článku, a spôsob prenosu informácií požadovaných v tomto článku môže určiť minister.</w:t>
      </w:r>
      <w:r>
        <w:rPr>
          <w:rFonts w:ascii="Times New Roman" w:hAnsi="Times New Roman"/>
          <w:color w:val="000000"/>
          <w:sz w:val="27"/>
        </w:rPr>
        <w:br/>
        <w:t xml:space="preserve">Článok 3 Článok 4 toho istého dekrétu sa nahrádza takto: </w:t>
      </w:r>
      <w:r>
        <w:rPr>
          <w:rFonts w:ascii="Times New Roman" w:hAnsi="Times New Roman"/>
          <w:color w:val="000000"/>
          <w:sz w:val="27"/>
        </w:rPr>
        <w:br/>
        <w:t>„ Článok 4. Zloženie a technické normy</w:t>
      </w:r>
      <w:r>
        <w:rPr>
          <w:rFonts w:ascii="Times New Roman" w:hAnsi="Times New Roman"/>
          <w:color w:val="000000"/>
          <w:sz w:val="27"/>
        </w:rPr>
        <w:br/>
        <w:t>§ 1 Tekutina obsahujúca nikotín sa uvádza na trh len:</w:t>
      </w:r>
      <w:r>
        <w:rPr>
          <w:rFonts w:ascii="Times New Roman" w:hAnsi="Times New Roman"/>
          <w:color w:val="000000"/>
          <w:sz w:val="27"/>
        </w:rPr>
        <w:br/>
        <w:t>1) v osobitných plniacich fľaštičkách s maximálnym objemom 10 mililitrov;</w:t>
      </w:r>
      <w:r>
        <w:rPr>
          <w:rFonts w:ascii="Times New Roman" w:hAnsi="Times New Roman"/>
          <w:color w:val="000000"/>
          <w:sz w:val="27"/>
        </w:rPr>
        <w:br/>
        <w:t>2) v jednorazových elektronických cigaretách;</w:t>
      </w:r>
      <w:r>
        <w:rPr>
          <w:rFonts w:ascii="Times New Roman" w:hAnsi="Times New Roman"/>
          <w:color w:val="000000"/>
          <w:sz w:val="27"/>
        </w:rPr>
        <w:br/>
        <w:t>3) v jednorazových zásobníkoch.</w:t>
      </w:r>
      <w:r>
        <w:rPr>
          <w:rFonts w:ascii="Times New Roman" w:hAnsi="Times New Roman"/>
          <w:color w:val="000000"/>
          <w:sz w:val="27"/>
        </w:rPr>
        <w:br/>
        <w:t>Uvedené zásobníky alebo nádržky nesmú prekračovať objem 2 mililitre.</w:t>
      </w:r>
      <w:r>
        <w:rPr>
          <w:rFonts w:ascii="Times New Roman" w:hAnsi="Times New Roman"/>
          <w:color w:val="000000"/>
          <w:sz w:val="27"/>
        </w:rPr>
        <w:br/>
        <w:t>§ 2 Je zakázané uvádzať na trh elektronické cigarety, ktoré majú atraktívne vlastnosti, ktoré nie sú užitočné na prevádzku zariadenia.</w:t>
      </w:r>
      <w:r>
        <w:rPr>
          <w:rFonts w:ascii="Times New Roman" w:hAnsi="Times New Roman"/>
          <w:color w:val="000000"/>
          <w:sz w:val="27"/>
        </w:rPr>
        <w:br/>
        <w:t xml:space="preserve">§ 3 Tekutina obsahujúca nikotín nesmie obsahovať viac ako 20 miligramov </w:t>
      </w:r>
      <w:r>
        <w:rPr>
          <w:rFonts w:ascii="Times New Roman" w:hAnsi="Times New Roman"/>
          <w:color w:val="000000"/>
          <w:sz w:val="27"/>
        </w:rPr>
        <w:lastRenderedPageBreak/>
        <w:t>nikotínu na mililiter.</w:t>
      </w:r>
      <w:r>
        <w:rPr>
          <w:rFonts w:ascii="Times New Roman" w:hAnsi="Times New Roman"/>
          <w:color w:val="000000"/>
          <w:sz w:val="27"/>
        </w:rPr>
        <w:br/>
        <w:t>§ 4 Tekutina obsahujúca nikotín nesmie obsahovať tieto prídavné látky:</w:t>
      </w:r>
      <w:r>
        <w:rPr>
          <w:rFonts w:ascii="Times New Roman" w:hAnsi="Times New Roman"/>
          <w:color w:val="000000"/>
          <w:sz w:val="27"/>
        </w:rPr>
        <w:br/>
        <w:t>1) vitamíny alebo iné prídavné látky, ktoré vytvárajú dojem, že tabakový výrobok je prospešný pre zdravie alebo predstavuje znížené zdravotné riziká;</w:t>
      </w:r>
      <w:r>
        <w:rPr>
          <w:rFonts w:ascii="Times New Roman" w:hAnsi="Times New Roman"/>
          <w:color w:val="000000"/>
          <w:sz w:val="27"/>
        </w:rPr>
        <w:br/>
        <w:t>2) kofeín alebo taurín, alebo iné prídavné látky a stimulujúce zložky, ktoré sa spájajú s energiou a vitalitou;</w:t>
      </w:r>
      <w:r>
        <w:rPr>
          <w:rFonts w:ascii="Times New Roman" w:hAnsi="Times New Roman"/>
          <w:color w:val="000000"/>
          <w:sz w:val="27"/>
        </w:rPr>
        <w:br/>
        <w:t>3) prídavné látky, ktorých vlastnosti spôsobujú sfarbenie emisií;</w:t>
      </w:r>
      <w:r>
        <w:rPr>
          <w:rFonts w:ascii="Times New Roman" w:hAnsi="Times New Roman"/>
          <w:color w:val="000000"/>
          <w:sz w:val="27"/>
        </w:rPr>
        <w:br/>
        <w:t>4) prídavné látky, ktoré majú KMR vlastnosti v nezhorenej podobe;</w:t>
      </w:r>
      <w:r>
        <w:rPr>
          <w:rFonts w:ascii="Times New Roman" w:hAnsi="Times New Roman"/>
          <w:color w:val="000000"/>
          <w:sz w:val="27"/>
        </w:rPr>
        <w:br/>
        <w:t>5) prídavné látky, ktoré uľahčujú inhaláciu alebo absorpciu nikotínu.</w:t>
      </w:r>
      <w:r>
        <w:rPr>
          <w:rFonts w:ascii="Times New Roman" w:hAnsi="Times New Roman"/>
          <w:color w:val="000000"/>
          <w:sz w:val="27"/>
        </w:rPr>
        <w:br/>
        <w:t>Minister vypracuje zoznam ďalších zakázaných prídavných látok a/alebo zoznam povolených prídavných látok.</w:t>
      </w:r>
      <w:r>
        <w:rPr>
          <w:rFonts w:ascii="Times New Roman" w:hAnsi="Times New Roman"/>
          <w:color w:val="000000"/>
          <w:sz w:val="27"/>
        </w:rPr>
        <w:br/>
        <w:t>§ 5 Pri výrobe tekutiny obsahujúcej nikotín sa musia používať iba zložky vysokej čistoty. Iné látky než zložky uvedené v článku 3 § 3 bode 2 smú byť v tekutine obsahujúcej nikotín prítomné len v stopových množstvách, ak sa výskytu takýchto stopových množstiev nedá počas výroby technicky zabrániť.</w:t>
      </w:r>
      <w:r>
        <w:rPr>
          <w:rFonts w:ascii="Times New Roman" w:hAnsi="Times New Roman"/>
          <w:color w:val="000000"/>
          <w:sz w:val="27"/>
        </w:rPr>
        <w:br/>
        <w:t>§ 6 V tekutine obsahujúcej nikotín sa okrem nikotínu môžu používať iba zložky, ktoré v zohriatom či nezohriatom stave nepredstavujú riziko pre ľudské zdravie.</w:t>
      </w:r>
      <w:r>
        <w:rPr>
          <w:rFonts w:ascii="Times New Roman" w:hAnsi="Times New Roman"/>
          <w:color w:val="000000"/>
          <w:sz w:val="27"/>
        </w:rPr>
        <w:br/>
        <w:t>§ 7 Elektronické cigarety musia uvoľňovať dávky nikotínu na rovnomerných úrovniach za obvyklých podmienok.</w:t>
      </w:r>
      <w:r>
        <w:rPr>
          <w:rFonts w:ascii="Times New Roman" w:hAnsi="Times New Roman"/>
          <w:color w:val="000000"/>
          <w:sz w:val="27"/>
        </w:rPr>
        <w:br/>
        <w:t>§ 8 Elektronické cigarety a plniace fľaštičky musia byť odolné voči manipulácii deťmi a voči neoprávnenej manipulácii; musia byť chránené proti rozbitiu a úniku náplne a mať mechanizmus zabezpečujúci opätovné plnenie bez úniku náplne. Musia byť v súlade s normou ISO 8317. Minister stanoví technické normy pre mechanizmus opätovného plnenia.</w:t>
      </w:r>
      <w:r>
        <w:rPr>
          <w:rFonts w:ascii="Times New Roman" w:hAnsi="Times New Roman"/>
          <w:color w:val="000000"/>
          <w:sz w:val="27"/>
        </w:rPr>
        <w:br/>
        <w:t xml:space="preserve">§ 9 Minister stanoví normy a metódy analýzy, ktoré sa majú používať na overenie vykonávania ustanovení o zložení a emisiách v tomto článku. </w:t>
      </w:r>
      <w:r>
        <w:rPr>
          <w:rFonts w:ascii="Times New Roman" w:hAnsi="Times New Roman"/>
          <w:color w:val="000000"/>
          <w:sz w:val="27"/>
        </w:rPr>
        <w:br/>
        <w:t>Článok 4 Článok 5 toho istého dekrétu sa nahrádza takto:</w:t>
      </w:r>
      <w:r>
        <w:rPr>
          <w:rFonts w:ascii="Times New Roman" w:hAnsi="Times New Roman"/>
          <w:color w:val="000000"/>
          <w:sz w:val="27"/>
        </w:rPr>
        <w:br/>
        <w:t>„ Článok 5. Označovanie</w:t>
      </w:r>
      <w:r>
        <w:rPr>
          <w:rFonts w:ascii="Times New Roman" w:hAnsi="Times New Roman"/>
          <w:color w:val="000000"/>
          <w:sz w:val="27"/>
        </w:rPr>
        <w:br/>
        <w:t>§ 1 Na každom jednotkovom balení elektronických cigariet alebo plniacich fľaštičiek a každom vonkajšom obale sa musia uvádzať zdravotné varovania stanovené v tomto článku v holandskom, francúzskom a nemeckom jazyku. Každý jazyk sa vytlačí na nový riadok.</w:t>
      </w:r>
      <w:r>
        <w:rPr>
          <w:rFonts w:ascii="Times New Roman" w:hAnsi="Times New Roman"/>
          <w:color w:val="000000"/>
          <w:sz w:val="27"/>
        </w:rPr>
        <w:br/>
        <w:t xml:space="preserve">§ 2 Zdravotné varovania musia pokrývať celý povrch jednotkového balenia alebo vonkajšieho obalu, ktorý je pre ne vyhradený, a nesmú sa komentovať, parafrázovať, ani sa na ne nemožno žiadnym spôsobom odvolávať. </w:t>
      </w:r>
      <w:r>
        <w:rPr>
          <w:rFonts w:ascii="Times New Roman" w:hAnsi="Times New Roman"/>
          <w:color w:val="000000"/>
          <w:sz w:val="27"/>
        </w:rPr>
        <w:br/>
        <w:t>§ 3 Zdravotné varovania na jednotkových baleniach a každom vonkajšom obale výrobkov musia byť neodstrániteľne vytlačené, nezmazateľné a plne viditeľné. Nesmú byť čiastočne alebo úplne zakryté alebo prerušené kontrolnými známkami, cenovými etiketami, bezpečnostnými prvkami, obalmi, puzdrami, škatuľkami alebo inými prostriedkami.</w:t>
      </w:r>
      <w:r>
        <w:rPr>
          <w:rFonts w:ascii="Times New Roman" w:hAnsi="Times New Roman"/>
          <w:color w:val="000000"/>
          <w:sz w:val="27"/>
        </w:rPr>
        <w:br/>
        <w:t>§ 4 Zdravotné varovania musia zostať neporušené otvorením jednotkového balenia.</w:t>
      </w:r>
      <w:r>
        <w:rPr>
          <w:rFonts w:ascii="Times New Roman" w:hAnsi="Times New Roman"/>
          <w:color w:val="000000"/>
          <w:sz w:val="27"/>
        </w:rPr>
        <w:br/>
        <w:t>§ 5 Zdravotné varovania sa ohraničujú čiernym okrajom s hrúbkou 1 mm vnútri plochy povrchu vyhradenej na tieto varovania.</w:t>
      </w:r>
      <w:r>
        <w:rPr>
          <w:rFonts w:ascii="Times New Roman" w:hAnsi="Times New Roman"/>
          <w:color w:val="000000"/>
          <w:sz w:val="27"/>
        </w:rPr>
        <w:br/>
      </w:r>
      <w:r>
        <w:rPr>
          <w:rFonts w:ascii="Times New Roman" w:hAnsi="Times New Roman"/>
          <w:color w:val="000000"/>
          <w:sz w:val="27"/>
        </w:rPr>
        <w:lastRenderedPageBreak/>
        <w:t>§ 6 Na každom jednotkovom balení a vonkajšom obale elektronických cigariet alebo plniacich fľaštičiek sa musí uvádzať toto zdravotné varovanie:</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utilisation par les non-fumeurs n’est pas recommandée. [Tento výrobok obsahuje nikotín, ktorý je vysoko návykovou látkou. Neodporúča sa, aby ho používali nefajčiari.]</w:t>
      </w:r>
      <w:r>
        <w:rPr>
          <w:rFonts w:ascii="Times New Roman" w:hAnsi="Times New Roman"/>
          <w:color w:val="000000"/>
          <w:sz w:val="27"/>
        </w:rPr>
        <w:br/>
        <w:t>Dit product bevat de zeer verslavende stof nicotine. Het gebruik ervan wordt afgeraden voor niet-rokers.</w:t>
      </w:r>
      <w:r>
        <w:rPr>
          <w:rFonts w:ascii="Times New Roman" w:hAnsi="Times New Roman"/>
          <w:color w:val="000000"/>
          <w:sz w:val="27"/>
        </w:rPr>
        <w:br/>
        <w:t>Dieses Produkt enthält Nikotin : einen Stoff, der sehr stark abhängig macht. Es wird nicht für den Gebrauch durch Nichtraucher empfohlen.“.</w:t>
      </w:r>
      <w:r>
        <w:rPr>
          <w:rFonts w:ascii="Times New Roman" w:hAnsi="Times New Roman"/>
          <w:color w:val="000000"/>
          <w:sz w:val="27"/>
        </w:rPr>
        <w:br/>
        <w:t>§ 7 Zdravotné varovanie:</w:t>
      </w:r>
      <w:r>
        <w:rPr>
          <w:rFonts w:ascii="Times New Roman" w:hAnsi="Times New Roman"/>
          <w:color w:val="000000"/>
          <w:sz w:val="27"/>
        </w:rPr>
        <w:br/>
        <w:t>1) sa musí nachádzať na dvoch najväčších povrchoch jednotkového balenia a každého vonkajšieho obalu.</w:t>
      </w:r>
      <w:r>
        <w:rPr>
          <w:rFonts w:ascii="Times New Roman" w:hAnsi="Times New Roman"/>
          <w:color w:val="000000"/>
          <w:sz w:val="27"/>
        </w:rPr>
        <w:br/>
        <w:t>Na rovnobežnostenných jednotkových baleniach so štyrmi podobne veľkými povrchmi sa varovanie musí nachádzať na dvoch protiľahlých povrchoch, z ktorých jeden je hlavným zobrazovacím povrchom obchodnej značky.</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musí pokrývať 35 % zodpovedajúceho povrchu jednotkového balenia a každého vonkajšieho obalu;</w:t>
      </w:r>
      <w:r>
        <w:rPr>
          <w:rFonts w:ascii="Times New Roman" w:hAnsi="Times New Roman"/>
          <w:color w:val="000000"/>
          <w:sz w:val="27"/>
        </w:rPr>
        <w:br/>
        <w:t>3) musí byť umiestnené v spodnej časti zodpovedajúceho povrchu jednotkového balenia a každého vonkajšieho obalu a na rovnobežnostenných jednotkových baleniach a každom vonkajšom obale musí byť rovnobežné s bočným okrajom jednotkového balenia alebo vonkajšieho obalu.</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8 Text zdravotných varovaní musí byť:</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uvedený rovnobežne s hlavným textom na povrchu vyhradenom na tieto varovania;</w:t>
      </w:r>
      <w:r>
        <w:rPr>
          <w:rFonts w:ascii="Times New Roman" w:hAnsi="Times New Roman"/>
          <w:color w:val="000000"/>
          <w:sz w:val="27"/>
        </w:rPr>
        <w:br/>
        <w:t>2) vytlačený čiernym tučným písmom typu Helvetica na bielom podklade s takou veľkosťou znakov, aby príslušný text zaberal čo najväčšiu časť plochy vyhradenej pre tieto zdravotné varovania bez toho, aby to ovplyvnilo jeho čitateľnosť; a</w:t>
      </w:r>
      <w:r>
        <w:rPr>
          <w:rFonts w:ascii="Times New Roman" w:hAnsi="Times New Roman"/>
          <w:color w:val="000000"/>
          <w:sz w:val="27"/>
        </w:rPr>
        <w:br/>
        <w:t>3) umiestnený v strede plochy pre ne vyhradenej.</w:t>
      </w:r>
      <w:r>
        <w:rPr>
          <w:rFonts w:ascii="Times New Roman" w:hAnsi="Times New Roman"/>
          <w:color w:val="000000"/>
          <w:sz w:val="27"/>
        </w:rPr>
        <w:br/>
        <w:t>§ 9 Jednotkové balenia elektronických cigariet a plniacich fľaštičiek musia obsahovať leták aspoň v holandskom, francúzskom a nemeckom jazyku s informáciami o:</w:t>
      </w:r>
      <w:r>
        <w:rPr>
          <w:rFonts w:ascii="Times New Roman" w:hAnsi="Times New Roman"/>
          <w:color w:val="000000"/>
          <w:sz w:val="27"/>
        </w:rPr>
        <w:br/>
        <w:t>1) používaní a skladovaní výrobku vrátane upozornenia, že sa neodporúča, aby výrobok používali mladí ľudia a nefajčiari;</w:t>
      </w:r>
      <w:r>
        <w:rPr>
          <w:rFonts w:ascii="Times New Roman" w:hAnsi="Times New Roman"/>
          <w:color w:val="000000"/>
          <w:sz w:val="27"/>
        </w:rPr>
        <w:br/>
        <w:t>2) kontraindikáciách;</w:t>
      </w:r>
      <w:r>
        <w:rPr>
          <w:rFonts w:ascii="Times New Roman" w:hAnsi="Times New Roman"/>
          <w:color w:val="000000"/>
          <w:sz w:val="27"/>
        </w:rPr>
        <w:br/>
        <w:t>3) varovaniach pre konkrétne rizikové skupiny;</w:t>
      </w:r>
      <w:r>
        <w:rPr>
          <w:rFonts w:ascii="Times New Roman" w:hAnsi="Times New Roman"/>
          <w:color w:val="000000"/>
          <w:sz w:val="27"/>
        </w:rPr>
        <w:br/>
        <w:t>4) možných nepriaznivých účinkoch;</w:t>
      </w:r>
      <w:r>
        <w:rPr>
          <w:rFonts w:ascii="Times New Roman" w:hAnsi="Times New Roman"/>
          <w:color w:val="000000"/>
          <w:sz w:val="27"/>
        </w:rPr>
        <w:br/>
        <w:t>5) návykovosti a toxicite;</w:t>
      </w:r>
      <w:r>
        <w:rPr>
          <w:rFonts w:ascii="Times New Roman" w:hAnsi="Times New Roman"/>
          <w:color w:val="000000"/>
          <w:sz w:val="27"/>
        </w:rPr>
        <w:br/>
        <w:t>6) kontaktných údajoch výrobcu a dovozcu alebo dovozcu do Belgicka, ako aj právnickej alebo fyzickej osoby v Európskej únii;</w:t>
      </w:r>
      <w:r>
        <w:rPr>
          <w:rFonts w:ascii="Times New Roman" w:hAnsi="Times New Roman"/>
          <w:color w:val="000000"/>
          <w:sz w:val="27"/>
        </w:rPr>
        <w:br/>
        <w:t>7) čísle toxikologického centra.</w:t>
      </w:r>
      <w:r>
        <w:rPr>
          <w:rFonts w:ascii="Times New Roman" w:hAnsi="Times New Roman"/>
          <w:color w:val="000000"/>
          <w:sz w:val="27"/>
        </w:rPr>
        <w:br/>
        <w:t>§ 10 Jednotkové balenia a všetky vonkajšie obaly elektronických cigariet a plniacich fľaštičiek musia obsahovať zoznam aspoň v holandskom, francúzskom a nemeckom jazyku s týmito informáciami:</w:t>
      </w:r>
      <w:r>
        <w:rPr>
          <w:rFonts w:ascii="Times New Roman" w:hAnsi="Times New Roman"/>
          <w:color w:val="000000"/>
          <w:sz w:val="27"/>
        </w:rPr>
        <w:br/>
        <w:t xml:space="preserve">1) všetky zložky, vrátane aróm a alergénov, nachádzajúce sa vo výrobku v </w:t>
      </w:r>
      <w:r>
        <w:rPr>
          <w:rFonts w:ascii="Times New Roman" w:hAnsi="Times New Roman"/>
          <w:color w:val="000000"/>
          <w:sz w:val="27"/>
        </w:rPr>
        <w:lastRenderedPageBreak/>
        <w:t>zostupnom poradí podľa hmotnosti;</w:t>
      </w:r>
      <w:r>
        <w:rPr>
          <w:rFonts w:ascii="Times New Roman" w:hAnsi="Times New Roman"/>
          <w:color w:val="000000"/>
          <w:sz w:val="27"/>
        </w:rPr>
        <w:br/>
        <w:t>2) obsah nikotínu vo výrobku a príjem nikotínu v jednej dávke;</w:t>
      </w:r>
      <w:r>
        <w:rPr>
          <w:rFonts w:ascii="Times New Roman" w:hAnsi="Times New Roman"/>
          <w:color w:val="000000"/>
          <w:sz w:val="27"/>
        </w:rPr>
        <w:br/>
        <w:t>3) číslo šarže, ktorému predchádza slovo „šarža“;</w:t>
      </w:r>
      <w:r>
        <w:rPr>
          <w:rFonts w:ascii="Times New Roman" w:hAnsi="Times New Roman"/>
          <w:color w:val="000000"/>
          <w:sz w:val="27"/>
        </w:rPr>
        <w:br/>
        <w:t>4) odporúčanie, aby sa výrobok uchovával mimo dosahu detí vo forme textu alebo loga;</w:t>
      </w:r>
      <w:r>
        <w:rPr>
          <w:rFonts w:ascii="Times New Roman" w:hAnsi="Times New Roman"/>
          <w:color w:val="000000"/>
          <w:sz w:val="27"/>
        </w:rPr>
        <w:br/>
        <w:t>5) identifikačné číslo výrobku vydané oznamovacím systémom stanoveným ministrom podľa článku 3 § 13.</w:t>
      </w:r>
      <w:r>
        <w:rPr>
          <w:rFonts w:ascii="Times New Roman" w:hAnsi="Times New Roman"/>
          <w:color w:val="000000"/>
          <w:sz w:val="27"/>
        </w:rPr>
        <w:br/>
        <w:t>§ 11 Plniace fľaštičky majú dátum exspirácie. Plniace fľaštičky, v prípade ktorých uplynul dátum exspirácie, sa už nesmú uvádzať na trh.</w:t>
      </w:r>
      <w:r>
        <w:rPr>
          <w:rFonts w:ascii="Times New Roman" w:hAnsi="Times New Roman"/>
          <w:color w:val="000000"/>
          <w:sz w:val="27"/>
        </w:rPr>
        <w:br/>
        <w:t>§ 12 Bez toho, aby bol dotknutý paragraf 10, jednotkové balenia a žiadny vonkajší obal elektronických cigariet a plniacich fľaštičiek nesmú obsahovať:</w:t>
      </w:r>
      <w:r>
        <w:rPr>
          <w:rFonts w:ascii="Times New Roman" w:hAnsi="Times New Roman"/>
          <w:color w:val="000000"/>
          <w:sz w:val="27"/>
        </w:rPr>
        <w:br/>
        <w:t>1) akýkoľvek náznak, že daná elektronická cigareta alebo plniaca fľaštička je menej škodlivá ako iné, alebo že jej účelom je znížiť účinky niektorých škodlivých zložiek dymu, alebo má vitalizačné, energizujúce, liečiace, omladzujúce, prírodné, organické vlastnosti alebo iné pozitívne účinky na zdravie alebo životný štýl;</w:t>
      </w:r>
      <w:r>
        <w:rPr>
          <w:rFonts w:ascii="Times New Roman" w:hAnsi="Times New Roman"/>
          <w:color w:val="000000"/>
          <w:sz w:val="27"/>
        </w:rPr>
        <w:br/>
        <w:t>2) akúkoľvek podobnosť s potravinovými alebo kozmetickými výrobkami;</w:t>
      </w:r>
      <w:r>
        <w:rPr>
          <w:rFonts w:ascii="Times New Roman" w:hAnsi="Times New Roman"/>
          <w:color w:val="000000"/>
          <w:sz w:val="27"/>
        </w:rPr>
        <w:br/>
        <w:t>3) akýkoľvek náznak, že daná elektronická cigareta alebo plniaca fľaštička má zlepšenú biologickú odbúrateľnosť alebo iné environmentálne prínosy.</w:t>
      </w:r>
      <w:r>
        <w:rPr>
          <w:rFonts w:ascii="Times New Roman" w:hAnsi="Times New Roman"/>
          <w:color w:val="000000"/>
          <w:sz w:val="27"/>
        </w:rPr>
        <w:br/>
        <w:t>§ 13 Náznak chuti, vône, akejkoľvek arómy môže byť vyjadrený iba jedným slovom váženým, normálnym, bežným abecedným písmom Helvetica, čiernej alebo bielej farby a s veľkosťou písma maximálne 10.</w:t>
      </w:r>
      <w:r>
        <w:rPr>
          <w:rFonts w:ascii="Times New Roman" w:hAnsi="Times New Roman"/>
          <w:color w:val="000000"/>
          <w:sz w:val="27"/>
        </w:rPr>
        <w:br/>
        <w:t>§ 14 Jednotkové balenia a žiadny vonkajší obal nesmú naznačovať žiadne ekonomické výhody tým, že by obsahovali tlačené poukážky, ponúkali zľavy, výrobky zadarmo, dva výrobky za cenu jedného alebo iné podobné ponuky.</w:t>
      </w:r>
      <w:r>
        <w:rPr>
          <w:rFonts w:ascii="Times New Roman" w:hAnsi="Times New Roman"/>
          <w:color w:val="000000"/>
          <w:sz w:val="27"/>
        </w:rPr>
        <w:br/>
        <w:t>§ 15 Prvky alebo charakteristické znaky, ktoré sú zakázané podľa paragrafov 13 a 14, môžu okrem iného zahŕňať texty, symboly, názvy, obchodné značky, názorné alebo iné symboly.</w:t>
      </w:r>
      <w:r>
        <w:rPr>
          <w:rFonts w:ascii="Times New Roman" w:hAnsi="Times New Roman"/>
          <w:color w:val="000000"/>
          <w:sz w:val="27"/>
        </w:rPr>
        <w:br/>
        <w:t>§ 16 Značka a podznačka uvedené na jednotkovom balení a vonkajšom obale musia byť totožné s tými, ktoré sú uvedené v oznamovacom systéme stanovenom ministrom podľa článku 3 § 13.</w:t>
      </w:r>
      <w:r>
        <w:rPr>
          <w:rFonts w:ascii="Times New Roman" w:hAnsi="Times New Roman"/>
          <w:color w:val="000000"/>
          <w:sz w:val="27"/>
        </w:rPr>
        <w:br/>
        <w:t>§ 17 Minister môže stanoviť dodatočné podmienky týkajúce sa obsahu a prezentácie informácií uvedených v tomto článku s výnimkou paragrafu 13.“</w:t>
      </w:r>
      <w:r>
        <w:rPr>
          <w:rFonts w:ascii="Times New Roman" w:hAnsi="Times New Roman"/>
          <w:color w:val="000000"/>
          <w:sz w:val="27"/>
        </w:rPr>
        <w:br/>
        <w:t xml:space="preserve">Článok 5 Článok 6 toho istého dekrétu sa nahrádza takto: </w:t>
      </w:r>
      <w:r>
        <w:rPr>
          <w:rFonts w:ascii="Times New Roman" w:hAnsi="Times New Roman"/>
          <w:color w:val="000000"/>
          <w:sz w:val="27"/>
        </w:rPr>
        <w:br/>
        <w:t>„Článok 6 Predaj elektronických cigariet na diaľku  § 1 Predaj na diaľku spotrebiteľom a nákup elektronických cigariet a plniacich fľaštičiek spotrebiteľmi na diaľku sú zakázané.</w:t>
      </w:r>
      <w:r>
        <w:rPr>
          <w:rFonts w:ascii="Times New Roman" w:hAnsi="Times New Roman"/>
          <w:color w:val="000000"/>
          <w:sz w:val="27"/>
        </w:rPr>
        <w:br/>
        <w:t>§ 2 Odchylne od paragrafu 1 je cezhraničný predaj na diaľku povolený, ak to povoľujú právne predpisy členského štátu určenia.“</w:t>
      </w:r>
      <w:r>
        <w:rPr>
          <w:rFonts w:ascii="Times New Roman" w:hAnsi="Times New Roman"/>
          <w:color w:val="000000"/>
          <w:sz w:val="27"/>
        </w:rPr>
        <w:br/>
        <w:t xml:space="preserve">Článok 6  Do toho istého dekrétu sa vkladá článok 6 ods. 1, ktorý má toto znenie: </w:t>
      </w:r>
      <w:r>
        <w:rPr>
          <w:rFonts w:ascii="Times New Roman" w:hAnsi="Times New Roman"/>
          <w:color w:val="000000"/>
          <w:sz w:val="27"/>
        </w:rPr>
        <w:br/>
        <w:t>„Článok 6/1.  Plniace fľaštičky bez nikotínu</w:t>
      </w:r>
      <w:r>
        <w:rPr>
          <w:rFonts w:ascii="Times New Roman" w:hAnsi="Times New Roman"/>
          <w:color w:val="000000"/>
          <w:sz w:val="27"/>
        </w:rPr>
        <w:br/>
        <w:t>§ 1 Ustanovenia týkajúce sa oznamovania v článku 3 sa uplatňujú na plniace fľaštičky bez obsahu nikotínu.</w:t>
      </w:r>
      <w:r>
        <w:rPr>
          <w:rFonts w:ascii="Times New Roman" w:hAnsi="Times New Roman"/>
          <w:color w:val="000000"/>
          <w:sz w:val="27"/>
        </w:rPr>
        <w:br/>
        <w:t>§ 2 Ustanovenia článku 4 týkajúce sa zloženia a technických noriem sa uplatňujú na plniace fľaštičky bez obsahu nikotínu s výnimkou paragrafov 1, 3 a 7.</w:t>
      </w:r>
      <w:r>
        <w:rPr>
          <w:rFonts w:ascii="Times New Roman" w:hAnsi="Times New Roman"/>
          <w:color w:val="000000"/>
          <w:sz w:val="27"/>
        </w:rPr>
        <w:br/>
      </w:r>
      <w:r>
        <w:rPr>
          <w:rFonts w:ascii="Times New Roman" w:hAnsi="Times New Roman"/>
          <w:color w:val="000000"/>
          <w:sz w:val="27"/>
        </w:rPr>
        <w:lastRenderedPageBreak/>
        <w:t>§ 3 Ustanovenia článku 5 s výnimkou paragrafu 6 sa uplatňujú na plniace fľaštičky bez obsahu nikotínu.</w:t>
      </w:r>
      <w:r>
        <w:rPr>
          <w:rFonts w:ascii="Times New Roman" w:hAnsi="Times New Roman"/>
          <w:color w:val="000000"/>
          <w:sz w:val="27"/>
        </w:rPr>
        <w:br/>
        <w:t>Zdravotné varovanie pre tento typ výrobku znie takto:</w:t>
      </w:r>
      <w:r>
        <w:rPr>
          <w:rFonts w:ascii="Times New Roman" w:hAnsi="Times New Roman"/>
          <w:color w:val="000000"/>
          <w:sz w:val="27"/>
        </w:rPr>
        <w:br/>
        <w:t>„Ce produit nuit à votre santé. Son utilisation par les non-fumeurs n’est pas recommandée. [Tento výrobok poškodzuje vaše zdravie. Neodporúča sa, aby ho používali nefajčiari.]</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 4 Článok 6 o predaji na diaľku sa vzťahuje na plniace fľaštičky bez obsahu nikotínu.“</w:t>
      </w:r>
      <w:r>
        <w:rPr>
          <w:rFonts w:ascii="Times New Roman" w:hAnsi="Times New Roman"/>
          <w:color w:val="000000"/>
          <w:sz w:val="27"/>
        </w:rPr>
        <w:br/>
        <w:t>Článok 7. Tento dekrét nadobúda účinnosť šesť mesiacov po jeho uverejnení v belgickom úradnom vestníku (</w:t>
      </w:r>
      <w:r>
        <w:rPr>
          <w:rFonts w:ascii="Times New Roman" w:hAnsi="Times New Roman"/>
          <w:i/>
          <w:color w:val="000000"/>
          <w:sz w:val="27"/>
        </w:rPr>
        <w:t>Moniteur belge</w:t>
      </w:r>
      <w:r>
        <w:rPr>
          <w:rFonts w:ascii="Times New Roman" w:hAnsi="Times New Roman"/>
          <w:color w:val="000000"/>
          <w:sz w:val="27"/>
        </w:rPr>
        <w:t>), s výnimkou maloobchodných predajní, pre ktoré tento dekrét nadobúda účinnosť dvanásť mesiacov po jeho uverejnení v belgickom úradnom vestníku.</w:t>
      </w:r>
      <w:r>
        <w:rPr>
          <w:rFonts w:ascii="Times New Roman" w:hAnsi="Times New Roman"/>
          <w:color w:val="000000"/>
          <w:sz w:val="27"/>
        </w:rPr>
        <w:br/>
        <w:t>Článok 8. Za vykonávanie tohto dekrétu zodpovedá minister zdravotníctva.</w:t>
      </w:r>
      <w:r>
        <w:rPr>
          <w:rFonts w:ascii="Times New Roman" w:hAnsi="Times New Roman"/>
          <w:color w:val="000000"/>
          <w:sz w:val="27"/>
        </w:rPr>
        <w:br/>
        <w:t>Vydané v Bruseli 7. novembra 2022.</w:t>
      </w:r>
      <w:r>
        <w:rPr>
          <w:rFonts w:ascii="Times New Roman" w:hAnsi="Times New Roman"/>
          <w:color w:val="000000"/>
          <w:sz w:val="27"/>
        </w:rPr>
        <w:br/>
        <w:t>FILIP</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Za kráľa:</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Minister zdravotníctva,</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hore"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Uverejnené: 11. 1. 2023</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7C0B24"/>
    <w:rsid w:val="00982AD8"/>
    <w:rsid w:val="00CA458C"/>
    <w:rsid w:val="00CD028E"/>
    <w:rsid w:val="00CF4675"/>
    <w:rsid w:val="00DC5858"/>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6680</Words>
  <Characters>40353</Characters>
  <Application>Microsoft Office Word</Application>
  <DocSecurity>0</DocSecurity>
  <Lines>747</Lines>
  <Paragraphs>134</Paragraphs>
  <ScaleCrop>false</ScaleCrop>
  <Company/>
  <LinksUpToDate>false</LinksUpToDate>
  <CharactersWithSpaces>46899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2023-02-22T09:52:00Z</dcterms:created>
  <dcterms:modified xsi:type="dcterms:W3CDTF">2023-02-22T09:52:00Z</dcterms:modified>
</cp:coreProperties>
</file>