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TÖRVÉNYTERVEZET</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az </w:t>
      </w:r>
      <w:r>
        <w:rPr>
          <w:sz w:val="28"/>
          <w:b/>
          <w:rFonts w:ascii="Times New Roman" w:hAnsi="Times New Roman"/>
        </w:rPr>
        <w:t xml:space="preserve">internet-hozzáférést</w:t>
      </w:r>
      <w:r>
        <w:rPr>
          <w:sz w:val="28"/>
          <w:i/>
          <w:rFonts w:ascii="Times New Roman" w:hAnsi="Times New Roman"/>
        </w:rPr>
        <w:t xml:space="preserve"> </w:t>
      </w:r>
      <w:r>
        <w:rPr>
          <w:sz w:val="28"/>
          <w:b/>
          <w:rFonts w:ascii="Times New Roman" w:hAnsi="Times New Roman"/>
        </w:rPr>
        <w:t xml:space="preserve">biztosító eszközök </w:t>
      </w:r>
      <w:r>
        <w:rPr>
          <w:sz w:val="28"/>
          <w:i/>
          <w:rFonts w:ascii="Times New Roman" w:hAnsi="Times New Roman"/>
        </w:rPr>
        <w:t xml:space="preserve">feletti </w:t>
      </w:r>
      <w:r>
        <w:rPr>
          <w:sz w:val="28"/>
          <w:b/>
          <w:rFonts w:ascii="Times New Roman" w:hAnsi="Times New Roman"/>
        </w:rPr>
        <w:t xml:space="preserve">szülői ellenőrzés</w:t>
      </w:r>
      <w:r>
        <w:rPr>
          <w:sz w:val="28"/>
          <w:i/>
          <w:rFonts w:ascii="Times New Roman" w:hAnsi="Times New Roman"/>
        </w:rPr>
        <w:t xml:space="preserve"> </w:t>
      </w:r>
      <w:r>
        <w:rPr>
          <w:sz w:val="28"/>
          <w:b/>
          <w:rFonts w:ascii="Times New Roman" w:hAnsi="Times New Roman"/>
        </w:rPr>
        <w:t xml:space="preserve">megerősítésére</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1. cikk</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A postai és elektronikus hírközlési törvénykönyv II. könyve I. címének II. fejezetében az 5. szakasz az L. 34-9-3. cikkel a következőképpen egészül ki:</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L. 34-9-3. cikk</w:t>
      </w:r>
      <w:r>
        <w:rPr>
          <w:sz w:val="28"/>
          <w:rFonts w:ascii="Times New Roman" w:hAnsi="Times New Roman"/>
        </w:rPr>
        <w:t xml:space="preserve"> </w:t>
      </w:r>
      <w:r>
        <w:rPr>
          <w:sz w:val="28"/>
          <w:rFonts w:ascii="Times New Roman" w:hAnsi="Times New Roman"/>
        </w:rPr>
        <w:t xml:space="preserve">– I. – A kiskorúak fizikai, értelmi, illetve erkölcsi fejlődését vélhetően károsító szolgáltatásokhoz és tartalmakhoz való hozzáférést biztosító online nyilvános hírközlési szolgáltatások használatára szánt végberendezéseket fel kell szerelni egy olyan, könnyen hozzáférhető és érthető rendszerrel, amely lehetővé teszi a felhasználók számára, hogy a kiskorúaknak az említett szolgáltatásokhoz és tartalmakhoz való hozzáférését korlátozzák vagy ellenőrizzék.</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Az I. szakasz első albekezdésében előírt rendszer aktiválását a berendezés első üzembe helyezésekor fel kell ajánlani a felhasználónak.</w:t>
      </w:r>
      <w:r>
        <w:rPr>
          <w:sz w:val="28"/>
          <w:rFonts w:ascii="Times New Roman" w:hAnsi="Times New Roman"/>
        </w:rPr>
        <w:t xml:space="preserve"> </w:t>
      </w:r>
      <w:r>
        <w:rPr>
          <w:sz w:val="28"/>
          <w:rFonts w:ascii="Times New Roman" w:hAnsi="Times New Roman"/>
        </w:rPr>
        <w:t xml:space="preserve">A rendszer aktiválása során a kiskorúakról gyűjtött vagy velük kapcsolatban generált személyes adatok nem használhatók fel kereskedelmi célokra, például közvetlen üzletszerzésre, profilalkotásra és magatartásorientált reklámozásra, még azt követően sem, hogy az érintettek nagykorúvá váltak.</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 végberendezések forgalomba hozatalakor a gyártóknak gondoskodniuk kell arról, hogy az adott berendezésre feltelepített operációs rendszerekbe már be legyen építve az első albekezdésben előírt rendszer.</w:t>
      </w:r>
      <w:r>
        <w:rPr>
          <w:sz w:val="28"/>
          <w:rFonts w:ascii="Times New Roman" w:hAnsi="Times New Roman"/>
        </w:rPr>
        <w:t xml:space="preserve"> </w:t>
      </w:r>
      <w:r>
        <w:rPr>
          <w:sz w:val="28"/>
          <w:rFonts w:ascii="Times New Roman" w:hAnsi="Times New Roman"/>
        </w:rPr>
        <w:t xml:space="preserve">A rendszer aktiválását, használatát és adott esetben eltávolítását a felhasználó számára többletköltség nélkül kell lehetővé tenni.</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Adott esetben az operációs rendszer szolgáltatója garantálja és igazolja a gyártó felé (annak erre irányuló kérése esetén), hogy a végberendezésre telepítendő operációs rendszerbe már be van építve az első albekezdésben előírt rendszer.</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 gyártók az importőrök, a forgalmazók és teljesítési szolgáltatók számára garantálják, hogy a forgalomba hozott végberendezésekbe már be van építve az első albekezdésben előírt rendszer.</w:t>
      </w:r>
      <w:r>
        <w:rPr>
          <w:sz w:val="28"/>
          <w:rFonts w:ascii="Times New Roman" w:hAnsi="Times New Roman"/>
        </w:rPr>
        <w:t xml:space="preserve"> </w:t>
      </w:r>
      <w:r>
        <w:rPr>
          <w:sz w:val="28"/>
          <w:rFonts w:ascii="Times New Roman" w:hAnsi="Times New Roman"/>
        </w:rPr>
        <w:t xml:space="preserve">Az I. szakasz negyedik albekezdésében említett esetben a gyártó e személyeknek továbbítja az operációs rendszer szolgáltatójának tanúsítványát.</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Az importőröknek, a forgalmazóknak és a teljesítési szolgáltatóknak ellenőrizniük kell, hogy a végberendezést a gyártó vagy adott esetben az operációs rendszer szolgáltatója tanúsította-e az ezen I. szakasz ötödik albekezdésében meghatározott feltételek szerint.</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Az I. szakasz első albekezdésében előírt rendszer követelménye nem vonatkozik az operációs rendszer nélkül forgalomba hozott berendezésekre.</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Az I. szakasz harmadik és ötödik albekezdésében megállapított kötelezettségeket adott esetben a gyártó meghatalmazott képviselőjére is alkalmazni kell.</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Azok a személyek, akik az I. szakasz első albekezdésében említett végberendezéseket hoznak forgalomba – amennyiben azok a kereskedelmi törvénykönyv L. 321-1. cikkének harmadik bekezdése szerint használt berendezések – kötelesek gondoskodni arról, hogy ezen berendezésekbe már be legyen építve az I. szakasz első albekezdésében előírt rendszer.</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Az Államtanácsnak a Nemzeti Informatikai és Szabadságügyi Bizottság véleményét követően kiadott rendelete az alábbiakat határozza meg:</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Az I. szakasz végrehajtási módjai, beleértve az említett I. szakasz első albekezdésében előírt rendszer minimumfunkcióit és műszaki jellemzőit, valamint a gyártó által a rendszer használatának megkönnyítésére használt eszközöket;</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w:t>
      </w:r>
      <w:r>
        <w:rPr>
          <w:sz w:val="28"/>
          <w:i/>
          <w:rFonts w:ascii="Times New Roman" w:hAnsi="Times New Roman"/>
        </w:rPr>
        <w:t xml:space="preserve">a) </w:t>
      </w:r>
      <w:r>
        <w:rPr>
          <w:sz w:val="28"/>
          <w:rFonts w:ascii="Times New Roman" w:hAnsi="Times New Roman"/>
        </w:rPr>
        <w:t xml:space="preserve">Annak módja, ahogyan a gyártó és adott esetben az operációs rendszer szolgáltatója igazolja, hogy a végberendezésre feltelepített operációs rendszerekbe már be van építve az első albekezdésben előírt rendszer;</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Azok a feltételek, amelyek mellett az illetékes hatóság korlátozhatja vagy megtilthatja az első albekezdésben említett, kockázatot jelentő vagy nem megfelelő végberendezések forgalomba hozatalát, valamint azok a feltételek, amelyek mellett az illetékes hatóság visszahívhatja vagy visszavonhatja azokat;</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Annak módja, ahogyan a gyártók hozzájárulnak az online nyilvános hírközlési szolgáltatások kiskorúak általi használatával összefüggő kockázatokról, a gyermekek képernyőknek való korai kitettségéről és az ilyen kockázatok megelőzésének eszközeiről rendelkezésre álló információk terjesztéséhez.”</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A postai és elektronikus hírközlési törvénykönyv L. 34-9-3. cikke I. szakaszának utolsó bekezdése az államtanácsi rendeletnek az L. 34-9-3. cikkben előírt közzétételét követően először forgalomba hozott végberendezésekre vonatkozik.</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Az államtanácsi rendelet meghatározza azokat a feltételeket, amelyek mellett a fent említett L. 34-9-3. cikk I. szakaszának utolsó bekezdésében említett személyek kötelesek az államtanácsi rendeletnek az L. 34-9-3. cikkben előírt kihirdetését megelőzően először forgalomba hozott berendezések tekintetében tájékoztatni a felhasználót azokról a már meglévő rendszerekről, amelyekkel korlátozni vagy ellenőrizni tudja a kiskorúaknak a kiskorúak fizikai, értelmi, illetve erkölcsi fejlődését esetlegesen károsító szolgáltatásokhoz és tartalmakhoz való hozzáférését.</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3</w:t>
      </w:r>
      <w:r>
        <w:rPr>
          <w:b/>
          <w:sz w:val="28"/>
          <w:i/>
          <w:rFonts w:ascii="Times New Roman" w:hAnsi="Times New Roman"/>
        </w:rPr>
        <w:t xml:space="preserve">(a)</w:t>
      </w:r>
      <w:r>
        <w:rPr>
          <w:b/>
          <w:sz w:val="28"/>
          <w:rFonts w:ascii="Times New Roman" w:hAnsi="Times New Roman"/>
        </w:rPr>
        <w:t xml:space="preserve"> cikk</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E törvény hatálybalépésének dátuma rendelet útján kerül meghatározásra, amely dátum legfeljebb három hónappal lehet későbbi annál, mint amikor a kormány kézhez kapta az Európai Bizottság azt lehetővé tevő válaszát, hogy a bejelentett jogszabályi rendelkezéseket az uniós joggal összhangban lévőnek tekintse.</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