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99" w:rsidRDefault="00930B99" w:rsidP="00A358E1">
      <w:pPr>
        <w:spacing w:line="276" w:lineRule="auto"/>
        <w:ind w:right="30"/>
        <w:jc w:val="center"/>
        <w:rPr>
          <w:sz w:val="56"/>
          <w:szCs w:val="20"/>
        </w:rPr>
      </w:pPr>
      <w:r>
        <w:rPr>
          <w:rFonts w:ascii="Courier New" w:hAnsi="Courier New"/>
          <w:sz w:val="20"/>
        </w:rPr>
        <w:t>1. ------IND- 2019 0472 SK-- FR- ------ 20200804 --- --- FINAL</w:t>
      </w:r>
    </w:p>
    <w:p w:rsidR="009A7616" w:rsidRPr="004363D5" w:rsidRDefault="00F72AF9" w:rsidP="00A358E1">
      <w:pPr>
        <w:spacing w:line="276" w:lineRule="auto"/>
        <w:ind w:right="30"/>
        <w:jc w:val="center"/>
        <w:rPr>
          <w:sz w:val="56"/>
          <w:szCs w:val="20"/>
        </w:rPr>
      </w:pPr>
      <w:r>
        <w:rPr>
          <w:sz w:val="56"/>
        </w:rPr>
        <w:t xml:space="preserve">RECUEIL </w:t>
      </w:r>
      <w:r>
        <w:rPr>
          <w:noProof/>
          <w:lang w:eastAsia="fr-FR" w:bidi="ar-SA"/>
        </w:rPr>
        <w:drawing>
          <wp:inline distT="0" distB="0" distL="0" distR="0">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59968" cy="435152"/>
                    </a:xfrm>
                    <a:prstGeom prst="rect">
                      <a:avLst/>
                    </a:prstGeom>
                  </pic:spPr>
                </pic:pic>
              </a:graphicData>
            </a:graphic>
          </wp:inline>
        </w:drawing>
      </w:r>
      <w:r>
        <w:rPr>
          <w:sz w:val="56"/>
        </w:rPr>
        <w:t xml:space="preserve"> DES LOIS</w:t>
      </w:r>
    </w:p>
    <w:p w:rsidR="009A7616" w:rsidRPr="004363D5" w:rsidRDefault="00F72AF9" w:rsidP="00A358E1">
      <w:pPr>
        <w:spacing w:line="276" w:lineRule="auto"/>
        <w:ind w:right="30"/>
        <w:jc w:val="center"/>
        <w:rPr>
          <w:sz w:val="40"/>
          <w:szCs w:val="20"/>
        </w:rPr>
      </w:pPr>
      <w:r>
        <w:rPr>
          <w:sz w:val="40"/>
        </w:rPr>
        <w:t>DE LA RÉPUBLIQUE SLOVAQUE</w:t>
      </w:r>
    </w:p>
    <w:p w:rsidR="009A7616" w:rsidRPr="004363D5" w:rsidRDefault="00F72AF9" w:rsidP="00A358E1">
      <w:pPr>
        <w:spacing w:line="276" w:lineRule="auto"/>
        <w:ind w:right="30"/>
        <w:jc w:val="center"/>
        <w:rPr>
          <w:sz w:val="36"/>
          <w:szCs w:val="20"/>
        </w:rPr>
      </w:pPr>
      <w:r>
        <w:rPr>
          <w:sz w:val="36"/>
        </w:rPr>
        <w:t>Année 2020</w:t>
      </w:r>
    </w:p>
    <w:p w:rsidR="00FF785C" w:rsidRPr="004363D5" w:rsidRDefault="0090020F" w:rsidP="00A358E1">
      <w:pPr>
        <w:pBdr>
          <w:top w:val="single" w:sz="4" w:space="1" w:color="auto"/>
        </w:pBdr>
        <w:tabs>
          <w:tab w:val="right" w:pos="9000"/>
        </w:tabs>
        <w:spacing w:line="276" w:lineRule="auto"/>
        <w:ind w:right="30"/>
        <w:jc w:val="both"/>
        <w:rPr>
          <w:sz w:val="20"/>
          <w:szCs w:val="20"/>
        </w:rPr>
      </w:pPr>
      <w:r>
        <w:rPr>
          <w:sz w:val="20"/>
        </w:rPr>
        <w:t>Publication: 24.1.</w:t>
      </w:r>
      <w:r w:rsidR="00F72AF9">
        <w:rPr>
          <w:sz w:val="20"/>
        </w:rPr>
        <w:t>2020</w:t>
      </w:r>
      <w:r w:rsidR="00F72AF9">
        <w:rPr>
          <w:sz w:val="20"/>
        </w:rPr>
        <w:tab/>
        <w:t xml:space="preserve">Version publiée dans le Journal officiel de la République slovaque </w:t>
      </w:r>
    </w:p>
    <w:p w:rsidR="00A6117D" w:rsidRPr="004363D5" w:rsidRDefault="00A6117D" w:rsidP="00A358E1">
      <w:pPr>
        <w:pBdr>
          <w:top w:val="single" w:sz="4" w:space="1" w:color="auto"/>
        </w:pBdr>
        <w:tabs>
          <w:tab w:val="left" w:pos="3680"/>
        </w:tabs>
        <w:spacing w:line="276" w:lineRule="auto"/>
        <w:ind w:right="30"/>
        <w:jc w:val="center"/>
        <w:rPr>
          <w:sz w:val="20"/>
          <w:szCs w:val="20"/>
        </w:rPr>
      </w:pPr>
    </w:p>
    <w:p w:rsidR="009A7616" w:rsidRPr="004363D5" w:rsidRDefault="00F72AF9" w:rsidP="00A358E1">
      <w:pPr>
        <w:pBdr>
          <w:top w:val="single" w:sz="4" w:space="1" w:color="auto"/>
        </w:pBdr>
        <w:tabs>
          <w:tab w:val="left" w:pos="3680"/>
        </w:tabs>
        <w:spacing w:line="276" w:lineRule="auto"/>
        <w:ind w:right="30"/>
        <w:jc w:val="center"/>
        <w:rPr>
          <w:sz w:val="20"/>
          <w:szCs w:val="20"/>
        </w:rPr>
      </w:pPr>
      <w:r>
        <w:rPr>
          <w:sz w:val="20"/>
        </w:rPr>
        <w:t>Le contenu du document est juridiquement contraignant.</w:t>
      </w:r>
    </w:p>
    <w:p w:rsidR="00FF785C" w:rsidRPr="004363D5" w:rsidRDefault="00FF785C" w:rsidP="00A358E1">
      <w:pPr>
        <w:pStyle w:val="Titre1"/>
        <w:spacing w:before="0" w:line="276" w:lineRule="auto"/>
        <w:ind w:left="0" w:right="30"/>
        <w:jc w:val="center"/>
        <w:rPr>
          <w:rFonts w:ascii="Times New Roman" w:hAnsi="Times New Roman" w:cs="Times New Roman"/>
          <w:b/>
        </w:rPr>
      </w:pPr>
    </w:p>
    <w:p w:rsidR="009A7616" w:rsidRPr="004363D5" w:rsidRDefault="00F72AF9" w:rsidP="00A358E1">
      <w:pPr>
        <w:pStyle w:val="Titre1"/>
        <w:spacing w:before="0" w:line="276" w:lineRule="auto"/>
        <w:ind w:left="0" w:right="30"/>
        <w:jc w:val="center"/>
        <w:rPr>
          <w:rFonts w:ascii="Times New Roman" w:hAnsi="Times New Roman" w:cs="Times New Roman"/>
          <w:b/>
        </w:rPr>
      </w:pPr>
      <w:r>
        <w:rPr>
          <w:rFonts w:ascii="Times New Roman" w:hAnsi="Times New Roman"/>
          <w:b/>
        </w:rPr>
        <w:t>17</w:t>
      </w:r>
    </w:p>
    <w:p w:rsidR="009A7616" w:rsidRPr="004363D5" w:rsidRDefault="00F72AF9" w:rsidP="00A358E1">
      <w:pPr>
        <w:spacing w:line="276" w:lineRule="auto"/>
        <w:ind w:right="30"/>
        <w:jc w:val="center"/>
        <w:rPr>
          <w:b/>
          <w:sz w:val="20"/>
          <w:szCs w:val="20"/>
        </w:rPr>
      </w:pPr>
      <w:r>
        <w:rPr>
          <w:b/>
          <w:sz w:val="20"/>
        </w:rPr>
        <w:t xml:space="preserve">A R </w:t>
      </w:r>
      <w:proofErr w:type="spellStart"/>
      <w:r>
        <w:rPr>
          <w:b/>
          <w:sz w:val="20"/>
        </w:rPr>
        <w:t>R</w:t>
      </w:r>
      <w:proofErr w:type="spellEnd"/>
      <w:r>
        <w:rPr>
          <w:b/>
          <w:sz w:val="20"/>
        </w:rPr>
        <w:t xml:space="preserve"> Ê T É</w:t>
      </w:r>
    </w:p>
    <w:p w:rsidR="009A7616" w:rsidRPr="004363D5" w:rsidRDefault="00F72AF9" w:rsidP="00A358E1">
      <w:pPr>
        <w:spacing w:line="276" w:lineRule="auto"/>
        <w:ind w:right="30"/>
        <w:jc w:val="center"/>
        <w:rPr>
          <w:b/>
          <w:sz w:val="20"/>
          <w:szCs w:val="20"/>
        </w:rPr>
      </w:pPr>
      <w:proofErr w:type="gramStart"/>
      <w:r>
        <w:rPr>
          <w:b/>
          <w:sz w:val="20"/>
        </w:rPr>
        <w:t>du</w:t>
      </w:r>
      <w:proofErr w:type="gramEnd"/>
      <w:r>
        <w:rPr>
          <w:b/>
          <w:sz w:val="20"/>
        </w:rPr>
        <w:t xml:space="preserve"> ministère des transports et de la construction de la République slovaque</w:t>
      </w:r>
    </w:p>
    <w:p w:rsidR="009A7616" w:rsidRPr="004363D5" w:rsidRDefault="00F72AF9" w:rsidP="00A358E1">
      <w:pPr>
        <w:spacing w:line="276" w:lineRule="auto"/>
        <w:ind w:right="30"/>
        <w:jc w:val="center"/>
        <w:rPr>
          <w:sz w:val="20"/>
          <w:szCs w:val="20"/>
        </w:rPr>
      </w:pPr>
      <w:proofErr w:type="gramStart"/>
      <w:r>
        <w:rPr>
          <w:sz w:val="20"/>
        </w:rPr>
        <w:t>du</w:t>
      </w:r>
      <w:proofErr w:type="gramEnd"/>
      <w:r>
        <w:rPr>
          <w:sz w:val="20"/>
        </w:rPr>
        <w:t xml:space="preserve"> 14 janvier 2020</w:t>
      </w:r>
    </w:p>
    <w:p w:rsidR="009A7616" w:rsidRPr="004363D5" w:rsidRDefault="00F72AF9" w:rsidP="00A358E1">
      <w:pPr>
        <w:spacing w:line="276" w:lineRule="auto"/>
        <w:ind w:right="30"/>
        <w:jc w:val="center"/>
        <w:rPr>
          <w:b/>
          <w:sz w:val="20"/>
          <w:szCs w:val="20"/>
        </w:rPr>
      </w:pPr>
      <w:r>
        <w:rPr>
          <w:b/>
          <w:sz w:val="20"/>
        </w:rPr>
        <w:t>portant modification et complément de l</w:t>
      </w:r>
      <w:r w:rsidR="0090020F">
        <w:rPr>
          <w:b/>
          <w:sz w:val="20"/>
        </w:rPr>
        <w:t>’</w:t>
      </w:r>
      <w:r>
        <w:rPr>
          <w:b/>
          <w:sz w:val="20"/>
        </w:rPr>
        <w:t>arrêté du ministère des transports, de la construction et du développement régional de la République slovaque nº 162/2013 du recueil des lois établissant la liste des groupes de produits de construction et des systèmes d</w:t>
      </w:r>
      <w:r w:rsidR="0090020F">
        <w:rPr>
          <w:b/>
          <w:sz w:val="20"/>
        </w:rPr>
        <w:t>’</w:t>
      </w:r>
      <w:r>
        <w:rPr>
          <w:b/>
          <w:sz w:val="20"/>
        </w:rPr>
        <w:t>évaluation des performances, tel que modifié par l</w:t>
      </w:r>
      <w:r w:rsidR="0090020F">
        <w:rPr>
          <w:b/>
          <w:sz w:val="20"/>
        </w:rPr>
        <w:t>’</w:t>
      </w:r>
      <w:r>
        <w:rPr>
          <w:b/>
          <w:sz w:val="20"/>
        </w:rPr>
        <w:t>arrêté nº 177/2016 du recueil des lois.</w:t>
      </w: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F72AF9" w:rsidP="00A358E1">
      <w:pPr>
        <w:spacing w:line="276" w:lineRule="auto"/>
        <w:ind w:right="30" w:firstLine="270"/>
        <w:rPr>
          <w:sz w:val="20"/>
          <w:szCs w:val="20"/>
        </w:rPr>
      </w:pPr>
      <w:r>
        <w:rPr>
          <w:sz w:val="20"/>
        </w:rPr>
        <w:t>Conformément à l</w:t>
      </w:r>
      <w:r w:rsidR="0090020F">
        <w:rPr>
          <w:sz w:val="20"/>
        </w:rPr>
        <w:t>’</w:t>
      </w:r>
      <w:r>
        <w:rPr>
          <w:sz w:val="20"/>
        </w:rPr>
        <w:t>article 13, paragraphe 2, de la loi nº 133/2013 du recueil des lois relative aux produits de construction et portant modification et complément de certaines lois, le ministère des transports et de la construction de la République slovaque arrête ce qui suit:</w:t>
      </w:r>
    </w:p>
    <w:p w:rsidR="00FF785C" w:rsidRPr="004363D5" w:rsidRDefault="00FF785C" w:rsidP="00A358E1">
      <w:pPr>
        <w:spacing w:line="276" w:lineRule="auto"/>
        <w:ind w:right="30"/>
        <w:jc w:val="center"/>
        <w:rPr>
          <w:b/>
          <w:sz w:val="20"/>
          <w:szCs w:val="20"/>
        </w:rPr>
      </w:pPr>
    </w:p>
    <w:p w:rsidR="009A7616" w:rsidRPr="004363D5" w:rsidRDefault="00F72AF9" w:rsidP="00A358E1">
      <w:pPr>
        <w:spacing w:line="276" w:lineRule="auto"/>
        <w:ind w:right="30"/>
        <w:jc w:val="center"/>
        <w:rPr>
          <w:b/>
          <w:sz w:val="20"/>
          <w:szCs w:val="20"/>
        </w:rPr>
      </w:pPr>
      <w:r>
        <w:rPr>
          <w:b/>
          <w:sz w:val="20"/>
        </w:rPr>
        <w:t>Article premier</w:t>
      </w:r>
    </w:p>
    <w:p w:rsidR="00FF785C" w:rsidRPr="004363D5" w:rsidRDefault="00FF785C" w:rsidP="00A358E1">
      <w:pPr>
        <w:spacing w:line="276" w:lineRule="auto"/>
        <w:ind w:right="30"/>
        <w:jc w:val="center"/>
        <w:rPr>
          <w:b/>
          <w:sz w:val="20"/>
          <w:szCs w:val="20"/>
        </w:rPr>
      </w:pPr>
    </w:p>
    <w:p w:rsidR="009A7616" w:rsidRPr="004363D5" w:rsidRDefault="00F72AF9" w:rsidP="00A358E1">
      <w:pPr>
        <w:spacing w:line="276" w:lineRule="auto"/>
        <w:ind w:right="30" w:firstLine="270"/>
        <w:jc w:val="both"/>
        <w:rPr>
          <w:sz w:val="20"/>
          <w:szCs w:val="20"/>
        </w:rPr>
      </w:pPr>
      <w:r>
        <w:rPr>
          <w:sz w:val="20"/>
        </w:rPr>
        <w:t>L</w:t>
      </w:r>
      <w:r w:rsidR="0090020F">
        <w:rPr>
          <w:sz w:val="20"/>
        </w:rPr>
        <w:t>’</w:t>
      </w:r>
      <w:r>
        <w:rPr>
          <w:sz w:val="20"/>
        </w:rPr>
        <w:t>arrêté du ministère des transports, de la construction et du développement régional de la République slovaque nº 162/2013 du recueil des lois établissant la liste des groupes de produits de construction et des systèmes d</w:t>
      </w:r>
      <w:r w:rsidR="0090020F">
        <w:rPr>
          <w:sz w:val="20"/>
        </w:rPr>
        <w:t>’</w:t>
      </w:r>
      <w:r>
        <w:rPr>
          <w:sz w:val="20"/>
        </w:rPr>
        <w:t>évaluation des performances, tel que modifié par l</w:t>
      </w:r>
      <w:r w:rsidR="0090020F">
        <w:rPr>
          <w:sz w:val="20"/>
        </w:rPr>
        <w:t>’</w:t>
      </w:r>
      <w:r>
        <w:rPr>
          <w:sz w:val="20"/>
        </w:rPr>
        <w:t>arrêté nº 177/2016 du recueil des lois est modifié comme suit:</w:t>
      </w:r>
    </w:p>
    <w:p w:rsidR="009A7616" w:rsidRPr="004363D5" w:rsidRDefault="00F72AF9" w:rsidP="00A358E1">
      <w:pPr>
        <w:pStyle w:val="Paragraphedeliste"/>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Après l</w:t>
      </w:r>
      <w:r w:rsidR="0090020F">
        <w:rPr>
          <w:rFonts w:ascii="Times New Roman" w:hAnsi="Times New Roman"/>
          <w:sz w:val="20"/>
        </w:rPr>
        <w:t>’</w:t>
      </w:r>
      <w:r>
        <w:rPr>
          <w:rFonts w:ascii="Times New Roman" w:hAnsi="Times New Roman"/>
          <w:sz w:val="20"/>
        </w:rPr>
        <w:t>article 7a, un nouvel article 7b est inséré, rédigé comme suit:</w:t>
      </w:r>
    </w:p>
    <w:p w:rsidR="009A7616" w:rsidRPr="004363D5" w:rsidRDefault="009A7616" w:rsidP="00A358E1">
      <w:pPr>
        <w:pStyle w:val="Corpsdetexte"/>
        <w:spacing w:line="276" w:lineRule="auto"/>
        <w:ind w:right="30"/>
        <w:rPr>
          <w:sz w:val="20"/>
          <w:szCs w:val="20"/>
        </w:rPr>
      </w:pPr>
    </w:p>
    <w:p w:rsidR="009A7616" w:rsidRPr="004363D5" w:rsidRDefault="00F72AF9" w:rsidP="00A358E1">
      <w:pPr>
        <w:spacing w:line="276" w:lineRule="auto"/>
        <w:ind w:right="30"/>
        <w:jc w:val="center"/>
        <w:rPr>
          <w:b/>
          <w:sz w:val="20"/>
          <w:szCs w:val="20"/>
        </w:rPr>
      </w:pPr>
      <w:r>
        <w:rPr>
          <w:b/>
          <w:sz w:val="20"/>
        </w:rPr>
        <w:t>«Article 7b</w:t>
      </w:r>
    </w:p>
    <w:p w:rsidR="009A7616" w:rsidRPr="004363D5" w:rsidRDefault="00F72AF9" w:rsidP="00A358E1">
      <w:pPr>
        <w:spacing w:line="276" w:lineRule="auto"/>
        <w:ind w:right="30"/>
        <w:jc w:val="center"/>
        <w:rPr>
          <w:b/>
          <w:sz w:val="20"/>
          <w:szCs w:val="20"/>
        </w:rPr>
      </w:pPr>
      <w:r>
        <w:rPr>
          <w:b/>
          <w:sz w:val="20"/>
        </w:rPr>
        <w:t>Dispositions transitoires concernant les modifications entrant en vigueur à compter du 1</w:t>
      </w:r>
      <w:r>
        <w:rPr>
          <w:b/>
          <w:sz w:val="20"/>
          <w:vertAlign w:val="superscript"/>
        </w:rPr>
        <w:t>er</w:t>
      </w:r>
      <w:r>
        <w:rPr>
          <w:b/>
          <w:sz w:val="20"/>
        </w:rPr>
        <w:t xml:space="preserve"> mars 2020</w:t>
      </w:r>
    </w:p>
    <w:p w:rsidR="00FC2E47" w:rsidRPr="004363D5" w:rsidRDefault="00FC2E47" w:rsidP="00A358E1">
      <w:pPr>
        <w:spacing w:line="276" w:lineRule="auto"/>
        <w:ind w:right="30"/>
        <w:jc w:val="center"/>
        <w:rPr>
          <w:b/>
          <w:sz w:val="20"/>
          <w:szCs w:val="20"/>
        </w:rPr>
      </w:pPr>
    </w:p>
    <w:p w:rsidR="009A7616" w:rsidRPr="004363D5" w:rsidRDefault="00F72AF9" w:rsidP="00A358E1">
      <w:pPr>
        <w:pStyle w:val="Paragraphedeliste"/>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Une évaluation des performances des produits de construction qui a commencé et qui ne s</w:t>
      </w:r>
      <w:r w:rsidR="0090020F">
        <w:rPr>
          <w:rFonts w:ascii="Times New Roman" w:hAnsi="Times New Roman"/>
          <w:sz w:val="20"/>
        </w:rPr>
        <w:t>’</w:t>
      </w:r>
      <w:r>
        <w:rPr>
          <w:rFonts w:ascii="Times New Roman" w:hAnsi="Times New Roman"/>
          <w:sz w:val="20"/>
        </w:rPr>
        <w:t>est pas terminée le 29 février 2020 est poursuivie conformément à la réglementation en vigueur jusqu</w:t>
      </w:r>
      <w:r w:rsidR="0090020F">
        <w:rPr>
          <w:rFonts w:ascii="Times New Roman" w:hAnsi="Times New Roman"/>
          <w:sz w:val="20"/>
        </w:rPr>
        <w:t>’</w:t>
      </w:r>
      <w:r>
        <w:rPr>
          <w:rFonts w:ascii="Times New Roman" w:hAnsi="Times New Roman"/>
          <w:sz w:val="20"/>
        </w:rPr>
        <w:t>au 31 août 2020.</w:t>
      </w:r>
    </w:p>
    <w:p w:rsidR="00FC2E47" w:rsidRPr="004363D5" w:rsidRDefault="00FC2E47" w:rsidP="00A358E1">
      <w:pPr>
        <w:pStyle w:val="Paragraphedeliste"/>
        <w:tabs>
          <w:tab w:val="left" w:pos="900"/>
        </w:tabs>
        <w:spacing w:before="0" w:line="276" w:lineRule="auto"/>
        <w:ind w:left="540" w:right="29" w:firstLine="0"/>
        <w:rPr>
          <w:rFonts w:ascii="Times New Roman" w:hAnsi="Times New Roman" w:cs="Times New Roman"/>
          <w:sz w:val="20"/>
          <w:szCs w:val="20"/>
        </w:rPr>
      </w:pPr>
    </w:p>
    <w:p w:rsidR="009A7616" w:rsidRPr="004363D5" w:rsidRDefault="00F72AF9" w:rsidP="00A358E1">
      <w:pPr>
        <w:pStyle w:val="Paragraphedeliste"/>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L</w:t>
      </w:r>
      <w:r w:rsidR="0090020F">
        <w:rPr>
          <w:rFonts w:ascii="Times New Roman" w:hAnsi="Times New Roman"/>
          <w:sz w:val="20"/>
        </w:rPr>
        <w:t>’</w:t>
      </w:r>
      <w:r>
        <w:rPr>
          <w:rFonts w:ascii="Times New Roman" w:hAnsi="Times New Roman"/>
          <w:sz w:val="20"/>
        </w:rPr>
        <w:t>évaluation des performances des produits de construction des groupes nº 0409, 0410, 0511, 0517, 0522, 0523, 0524, 0525, 0702, 0716, 1005, 1201, 1607, 1901, 2205, 2206, 3101, 3311, 3314, 3805, 4106, 4601, 4611, 4614 est réalisée selon les modalités en vigueur jusqu</w:t>
      </w:r>
      <w:r w:rsidR="0090020F">
        <w:rPr>
          <w:rFonts w:ascii="Times New Roman" w:hAnsi="Times New Roman"/>
          <w:sz w:val="20"/>
        </w:rPr>
        <w:t>’</w:t>
      </w:r>
      <w:r>
        <w:rPr>
          <w:rFonts w:ascii="Times New Roman" w:hAnsi="Times New Roman"/>
          <w:sz w:val="20"/>
        </w:rPr>
        <w:t>au 31 août 2020.»</w:t>
      </w:r>
    </w:p>
    <w:p w:rsidR="009A7616" w:rsidRPr="004363D5" w:rsidRDefault="00F72AF9" w:rsidP="00A358E1">
      <w:pPr>
        <w:pStyle w:val="Paragraphedeliste"/>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L</w:t>
      </w:r>
      <w:r w:rsidR="0090020F">
        <w:rPr>
          <w:rFonts w:ascii="Times New Roman" w:hAnsi="Times New Roman"/>
          <w:sz w:val="20"/>
        </w:rPr>
        <w:t>’</w:t>
      </w:r>
      <w:r>
        <w:rPr>
          <w:rFonts w:ascii="Times New Roman" w:hAnsi="Times New Roman"/>
          <w:sz w:val="20"/>
        </w:rPr>
        <w:t>annexe nº 1 est rédigée comme suit:</w:t>
      </w:r>
    </w:p>
    <w:p w:rsidR="009A7616" w:rsidRPr="004363D5" w:rsidRDefault="00F72AF9" w:rsidP="00A358E1">
      <w:pPr>
        <w:pageBreakBefore/>
        <w:spacing w:line="276" w:lineRule="auto"/>
        <w:ind w:right="29"/>
        <w:jc w:val="right"/>
        <w:rPr>
          <w:b/>
          <w:sz w:val="20"/>
          <w:szCs w:val="20"/>
        </w:rPr>
      </w:pPr>
      <w:r>
        <w:rPr>
          <w:sz w:val="20"/>
        </w:rPr>
        <w:lastRenderedPageBreak/>
        <w:t>«</w:t>
      </w:r>
      <w:r>
        <w:rPr>
          <w:b/>
          <w:sz w:val="20"/>
        </w:rPr>
        <w:t>Annexe nº 1</w:t>
      </w:r>
    </w:p>
    <w:p w:rsidR="009A7616" w:rsidRPr="004363D5" w:rsidRDefault="00F72AF9" w:rsidP="00A358E1">
      <w:pPr>
        <w:spacing w:line="276" w:lineRule="auto"/>
        <w:ind w:right="30"/>
        <w:jc w:val="right"/>
        <w:rPr>
          <w:b/>
          <w:sz w:val="20"/>
          <w:szCs w:val="20"/>
        </w:rPr>
      </w:pPr>
      <w:proofErr w:type="gramStart"/>
      <w:r>
        <w:rPr>
          <w:b/>
          <w:sz w:val="20"/>
        </w:rPr>
        <w:t>de</w:t>
      </w:r>
      <w:proofErr w:type="gramEnd"/>
      <w:r>
        <w:rPr>
          <w:b/>
          <w:sz w:val="20"/>
        </w:rPr>
        <w:t xml:space="preserve"> l</w:t>
      </w:r>
      <w:r w:rsidR="0090020F">
        <w:rPr>
          <w:b/>
          <w:sz w:val="20"/>
        </w:rPr>
        <w:t>’</w:t>
      </w:r>
      <w:r>
        <w:rPr>
          <w:b/>
          <w:sz w:val="20"/>
        </w:rPr>
        <w:t>arrêté nº 162/2013 du recueil des lois</w:t>
      </w:r>
    </w:p>
    <w:p w:rsidR="009A7616" w:rsidRPr="004363D5" w:rsidRDefault="009A7616" w:rsidP="00A358E1">
      <w:pPr>
        <w:pStyle w:val="Corpsdetexte"/>
        <w:spacing w:line="276" w:lineRule="auto"/>
        <w:ind w:right="30"/>
        <w:rPr>
          <w:b/>
          <w:sz w:val="20"/>
          <w:szCs w:val="20"/>
        </w:rPr>
      </w:pPr>
    </w:p>
    <w:p w:rsidR="009A7616" w:rsidRPr="004363D5" w:rsidRDefault="00F72AF9" w:rsidP="00A358E1">
      <w:pPr>
        <w:spacing w:line="276" w:lineRule="auto"/>
        <w:ind w:right="30"/>
        <w:jc w:val="center"/>
        <w:rPr>
          <w:b/>
          <w:sz w:val="20"/>
          <w:szCs w:val="20"/>
        </w:rPr>
      </w:pPr>
      <w:r>
        <w:rPr>
          <w:b/>
          <w:sz w:val="20"/>
        </w:rPr>
        <w:t>GROUPES DE PRODUITS DE CONSTRUCTION AVEC SYSTÈMES D</w:t>
      </w:r>
      <w:r w:rsidR="0090020F">
        <w:rPr>
          <w:b/>
          <w:sz w:val="20"/>
        </w:rPr>
        <w:t>’</w:t>
      </w:r>
      <w:r>
        <w:rPr>
          <w:b/>
          <w:sz w:val="20"/>
        </w:rPr>
        <w:t>ÉVALUATION DES PERFORMANCES DÉFINIS</w:t>
      </w:r>
    </w:p>
    <w:p w:rsidR="009A7616" w:rsidRPr="004363D5" w:rsidRDefault="009A7616" w:rsidP="00A358E1">
      <w:pPr>
        <w:pStyle w:val="Corpsdetexte"/>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4363D5" w:rsidTr="00F90EC5">
        <w:trPr>
          <w:jc w:val="center"/>
        </w:trPr>
        <w:tc>
          <w:tcPr>
            <w:tcW w:w="8185" w:type="dxa"/>
            <w:gridSpan w:val="4"/>
          </w:tcPr>
          <w:p w:rsidR="009A7616" w:rsidRPr="004363D5" w:rsidRDefault="00F72AF9" w:rsidP="00A358E1">
            <w:pPr>
              <w:pStyle w:val="TableParagraph"/>
              <w:spacing w:before="0" w:line="276" w:lineRule="auto"/>
              <w:ind w:left="0" w:right="30"/>
              <w:jc w:val="center"/>
              <w:rPr>
                <w:b/>
                <w:sz w:val="20"/>
                <w:szCs w:val="20"/>
              </w:rPr>
            </w:pPr>
            <w:r>
              <w:rPr>
                <w:b/>
                <w:sz w:val="20"/>
              </w:rPr>
              <w:t>Domaine d</w:t>
            </w:r>
            <w:r w:rsidR="0090020F">
              <w:rPr>
                <w:b/>
                <w:sz w:val="20"/>
              </w:rPr>
              <w:t>’</w:t>
            </w:r>
            <w:r>
              <w:rPr>
                <w:b/>
                <w:sz w:val="20"/>
              </w:rPr>
              <w:t>utilisation des produits</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Numéro</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Dénomination du groupe de produits</w:t>
            </w:r>
          </w:p>
        </w:tc>
        <w:tc>
          <w:tcPr>
            <w:tcW w:w="1674" w:type="dxa"/>
          </w:tcPr>
          <w:p w:rsidR="009A7616" w:rsidRPr="004363D5" w:rsidRDefault="00F72AF9" w:rsidP="00A358E1">
            <w:pPr>
              <w:pStyle w:val="TableParagraph"/>
              <w:spacing w:before="0" w:line="276" w:lineRule="auto"/>
              <w:ind w:left="0" w:right="30"/>
              <w:rPr>
                <w:sz w:val="20"/>
                <w:szCs w:val="20"/>
              </w:rPr>
            </w:pPr>
            <w:r>
              <w:rPr>
                <w:sz w:val="20"/>
              </w:rPr>
              <w:t>Classification des groupes</w:t>
            </w:r>
          </w:p>
        </w:tc>
        <w:tc>
          <w:tcPr>
            <w:tcW w:w="597" w:type="dxa"/>
          </w:tcPr>
          <w:p w:rsidR="009A7616" w:rsidRPr="004363D5" w:rsidRDefault="00F72AF9" w:rsidP="00A358E1">
            <w:pPr>
              <w:pStyle w:val="TableParagraph"/>
              <w:spacing w:before="0" w:line="276" w:lineRule="auto"/>
              <w:ind w:left="0" w:right="30"/>
              <w:rPr>
                <w:sz w:val="20"/>
                <w:szCs w:val="20"/>
              </w:rPr>
            </w:pPr>
            <w:proofErr w:type="spellStart"/>
            <w:r>
              <w:rPr>
                <w:sz w:val="20"/>
              </w:rPr>
              <w:t>SEP</w:t>
            </w:r>
            <w:r>
              <w:rPr>
                <w:sz w:val="20"/>
                <w:vertAlign w:val="superscript"/>
              </w:rPr>
              <w:t>a</w:t>
            </w:r>
            <w:proofErr w:type="spellEnd"/>
            <w:r>
              <w:rPr>
                <w:sz w:val="20"/>
              </w:rPr>
              <w:t>)</w:t>
            </w:r>
          </w:p>
        </w:tc>
      </w:tr>
      <w:tr w:rsidR="009A7616" w:rsidRPr="004363D5" w:rsidTr="00F90EC5">
        <w:trPr>
          <w:jc w:val="center"/>
        </w:trPr>
        <w:tc>
          <w:tcPr>
            <w:tcW w:w="8185" w:type="dxa"/>
            <w:gridSpan w:val="4"/>
          </w:tcPr>
          <w:p w:rsidR="009A7616" w:rsidRPr="004363D5" w:rsidRDefault="00F72AF9" w:rsidP="00A358E1">
            <w:pPr>
              <w:pStyle w:val="TableParagraph"/>
              <w:spacing w:before="0" w:line="276" w:lineRule="auto"/>
              <w:ind w:left="0" w:right="30"/>
              <w:rPr>
                <w:b/>
                <w:sz w:val="20"/>
                <w:szCs w:val="20"/>
              </w:rPr>
            </w:pPr>
            <w:r>
              <w:rPr>
                <w:b/>
                <w:sz w:val="20"/>
              </w:rPr>
              <w:t>Produits destinés à l</w:t>
            </w:r>
            <w:r w:rsidR="0090020F">
              <w:rPr>
                <w:b/>
                <w:sz w:val="20"/>
              </w:rPr>
              <w:t>’</w:t>
            </w:r>
            <w:r>
              <w:rPr>
                <w:b/>
                <w:sz w:val="20"/>
              </w:rPr>
              <w:t>adaptation des sous-sols des bâtiments, des structures souterraines et aux structures de fondation</w:t>
            </w:r>
          </w:p>
        </w:tc>
      </w:tr>
      <w:tr w:rsidR="009A7616" w:rsidRPr="004363D5" w:rsidTr="008E04D0">
        <w:trPr>
          <w:jc w:val="center"/>
        </w:trPr>
        <w:tc>
          <w:tcPr>
            <w:tcW w:w="478" w:type="dxa"/>
            <w:vMerge w:val="restart"/>
          </w:tcPr>
          <w:p w:rsidR="009A7616" w:rsidRPr="004363D5" w:rsidRDefault="00F72AF9" w:rsidP="00A358E1">
            <w:pPr>
              <w:pStyle w:val="TableParagraph"/>
              <w:spacing w:before="0" w:line="276" w:lineRule="auto"/>
              <w:ind w:left="0" w:right="30"/>
              <w:rPr>
                <w:sz w:val="20"/>
                <w:szCs w:val="20"/>
              </w:rPr>
            </w:pPr>
            <w:r>
              <w:rPr>
                <w:sz w:val="20"/>
              </w:rPr>
              <w:t>0101</w:t>
            </w:r>
          </w:p>
        </w:tc>
        <w:tc>
          <w:tcPr>
            <w:tcW w:w="5436" w:type="dxa"/>
            <w:vMerge w:val="restart"/>
          </w:tcPr>
          <w:p w:rsidR="009A7616" w:rsidRPr="004363D5" w:rsidRDefault="00F72AF9" w:rsidP="00A358E1">
            <w:pPr>
              <w:pStyle w:val="TableParagraph"/>
              <w:spacing w:before="0" w:line="276" w:lineRule="auto"/>
              <w:ind w:left="0" w:right="30"/>
              <w:rPr>
                <w:sz w:val="20"/>
                <w:szCs w:val="20"/>
              </w:rPr>
            </w:pPr>
            <w:proofErr w:type="spellStart"/>
            <w:r>
              <w:rPr>
                <w:sz w:val="20"/>
              </w:rPr>
              <w:t>Géosystémique</w:t>
            </w:r>
            <w:proofErr w:type="spellEnd"/>
            <w:r>
              <w:rPr>
                <w:sz w:val="20"/>
              </w:rPr>
              <w:t xml:space="preserve"> (membranes et textiles), </w:t>
            </w:r>
            <w:proofErr w:type="spellStart"/>
            <w:r>
              <w:rPr>
                <w:sz w:val="20"/>
              </w:rPr>
              <w:t>géocomposites</w:t>
            </w:r>
            <w:proofErr w:type="spellEnd"/>
            <w:r>
              <w:rPr>
                <w:sz w:val="20"/>
              </w:rPr>
              <w:t xml:space="preserve">, </w:t>
            </w:r>
            <w:proofErr w:type="spellStart"/>
            <w:r>
              <w:rPr>
                <w:sz w:val="20"/>
              </w:rPr>
              <w:t>géogrilles</w:t>
            </w:r>
            <w:proofErr w:type="spellEnd"/>
            <w:r>
              <w:rPr>
                <w:sz w:val="20"/>
              </w:rPr>
              <w:t xml:space="preserve">, </w:t>
            </w:r>
            <w:proofErr w:type="spellStart"/>
            <w:r>
              <w:rPr>
                <w:sz w:val="20"/>
              </w:rPr>
              <w:t>géomembranes</w:t>
            </w:r>
            <w:proofErr w:type="spellEnd"/>
            <w:r>
              <w:rPr>
                <w:sz w:val="20"/>
              </w:rPr>
              <w:t xml:space="preserve"> et </w:t>
            </w:r>
            <w:proofErr w:type="spellStart"/>
            <w:r>
              <w:rPr>
                <w:sz w:val="20"/>
              </w:rPr>
              <w:t>géoréseaux</w:t>
            </w:r>
            <w:proofErr w:type="spellEnd"/>
            <w:r>
              <w:rPr>
                <w:sz w:val="20"/>
              </w:rPr>
              <w:t xml:space="preserve"> pour séparer, protéger, drainer, filtrer ou consolider le sol</w:t>
            </w:r>
          </w:p>
        </w:tc>
        <w:tc>
          <w:tcPr>
            <w:tcW w:w="1674" w:type="dxa"/>
          </w:tcPr>
          <w:p w:rsidR="009A7616" w:rsidRPr="004363D5" w:rsidRDefault="00F72AF9"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II+ (2+)</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2271" w:type="dxa"/>
            <w:gridSpan w:val="2"/>
          </w:tcPr>
          <w:p w:rsidR="009A7616" w:rsidRPr="004363D5" w:rsidRDefault="00F72AF9"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(règlements de sécurité contre l</w:t>
            </w:r>
            <w:r w:rsidR="0090020F">
              <w:rPr>
                <w:sz w:val="20"/>
              </w:rPr>
              <w:t>’</w:t>
            </w:r>
            <w:r>
              <w:rPr>
                <w:sz w:val="20"/>
              </w:rPr>
              <w:t>incendie), avec une classification conformément à la nature de la CRF (classe de réaction au feu):</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rPr>
              <w:t>CRF sensible au changement dans la production selon l</w:t>
            </w:r>
            <w:r w:rsidR="0090020F">
              <w:rPr>
                <w:sz w:val="20"/>
              </w:rPr>
              <w:t>’</w:t>
            </w:r>
            <w:r>
              <w:rPr>
                <w:sz w:val="20"/>
              </w:rPr>
              <w:t>article 4, paragraphe 2, point a)</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1</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rPr>
              <w:t>CRF classifiée sans essais selon l</w:t>
            </w:r>
            <w:r w:rsidR="0090020F">
              <w:rPr>
                <w:sz w:val="20"/>
              </w:rPr>
              <w:t>’</w:t>
            </w:r>
            <w:r>
              <w:rPr>
                <w:sz w:val="20"/>
              </w:rPr>
              <w:t>article 4, paragraphe 1</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4</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rPr>
              <w:t>CRF d</w:t>
            </w:r>
            <w:r w:rsidR="0090020F">
              <w:rPr>
                <w:sz w:val="20"/>
              </w:rPr>
              <w:t>’</w:t>
            </w:r>
            <w:r>
              <w:rPr>
                <w:sz w:val="20"/>
              </w:rPr>
              <w:t>une autre nature que celle précitée selon l</w:t>
            </w:r>
            <w:r w:rsidR="0090020F">
              <w:rPr>
                <w:sz w:val="20"/>
              </w:rPr>
              <w:t>’</w:t>
            </w:r>
            <w:r>
              <w:rPr>
                <w:sz w:val="20"/>
              </w:rPr>
              <w:t>article 4, paragraphe 2, point b)</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3</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0104</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Mélanges de stabilisation et d</w:t>
            </w:r>
            <w:r w:rsidR="0090020F">
              <w:rPr>
                <w:sz w:val="20"/>
              </w:rPr>
              <w:t>’</w:t>
            </w:r>
            <w:r>
              <w:rPr>
                <w:sz w:val="20"/>
              </w:rPr>
              <w:t>étanchéité destinés aux fondations des ouvrages, y compris aux soubassements du remblai des communications terrestres ou du corps des chemins de fer</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0105</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Pilotis préfabriqués et éléments structurels connexes </w:t>
            </w:r>
            <w:r>
              <w:rPr>
                <w:sz w:val="20"/>
                <w:vertAlign w:val="superscript"/>
              </w:rPr>
              <w:t>b</w:t>
            </w:r>
            <w:r>
              <w:rPr>
                <w:sz w:val="20"/>
              </w:rPr>
              <w:t>)</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 (2+)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0106</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Poutres et plots de fondation</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 (2+)</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rPr>
              <w:t>Produits pour ancrage aux rochers et aux couches de support du sol</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0201</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Ancres pour sols et rochers</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III</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rPr>
              <w:t>Produits pour murs de soutien et ouvrages hydrauliques</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0301</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Éléments des murs de soutien en béton </w:t>
            </w:r>
            <w:r>
              <w:rPr>
                <w:sz w:val="20"/>
                <w:vertAlign w:val="superscript"/>
              </w:rPr>
              <w:t>c</w:t>
            </w:r>
            <w:r>
              <w:rPr>
                <w:sz w:val="20"/>
              </w:rPr>
              <w:t>)</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0302</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Pierre pour gabions</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0303</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Réseaux pour gabions</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III</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lastRenderedPageBreak/>
              <w:t>0304</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Blocs de gabions</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 (2+)</w:t>
            </w:r>
          </w:p>
        </w:tc>
      </w:tr>
      <w:tr w:rsidR="009A7616" w:rsidRPr="004363D5" w:rsidTr="008E04D0">
        <w:trPr>
          <w:jc w:val="center"/>
        </w:trPr>
        <w:tc>
          <w:tcPr>
            <w:tcW w:w="478" w:type="dxa"/>
            <w:vMerge w:val="restart"/>
          </w:tcPr>
          <w:p w:rsidR="009A7616" w:rsidRPr="004363D5" w:rsidRDefault="00F72AF9" w:rsidP="00A358E1">
            <w:pPr>
              <w:pStyle w:val="TableParagraph"/>
              <w:spacing w:before="0" w:line="276" w:lineRule="auto"/>
              <w:ind w:left="0" w:right="30"/>
              <w:rPr>
                <w:sz w:val="20"/>
                <w:szCs w:val="20"/>
              </w:rPr>
            </w:pPr>
            <w:r>
              <w:rPr>
                <w:sz w:val="20"/>
              </w:rPr>
              <w:t>0305</w:t>
            </w:r>
          </w:p>
        </w:tc>
        <w:tc>
          <w:tcPr>
            <w:tcW w:w="5436" w:type="dxa"/>
            <w:vMerge w:val="restart"/>
          </w:tcPr>
          <w:p w:rsidR="009A7616" w:rsidRPr="004363D5" w:rsidRDefault="00F72AF9" w:rsidP="00A358E1">
            <w:pPr>
              <w:pStyle w:val="TableParagraph"/>
              <w:spacing w:before="0" w:line="276" w:lineRule="auto"/>
              <w:ind w:left="0" w:right="30"/>
              <w:rPr>
                <w:sz w:val="20"/>
                <w:szCs w:val="20"/>
              </w:rPr>
            </w:pPr>
            <w:r>
              <w:rPr>
                <w:sz w:val="20"/>
              </w:rPr>
              <w:t>Pierre pour ouvrages hydrauliques</w:t>
            </w:r>
          </w:p>
        </w:tc>
        <w:tc>
          <w:tcPr>
            <w:tcW w:w="2271" w:type="dxa"/>
            <w:gridSpan w:val="2"/>
          </w:tcPr>
          <w:p w:rsidR="009A7616" w:rsidRPr="004363D5" w:rsidRDefault="00F72AF9" w:rsidP="00A358E1">
            <w:pPr>
              <w:pStyle w:val="TableParagraph"/>
              <w:spacing w:before="0" w:line="276" w:lineRule="auto"/>
              <w:ind w:left="0" w:right="30"/>
              <w:rPr>
                <w:sz w:val="20"/>
                <w:szCs w:val="20"/>
              </w:rPr>
            </w:pPr>
            <w:r>
              <w:rPr>
                <w:sz w:val="20"/>
              </w:rPr>
              <w:t>Selon la catégorie de l</w:t>
            </w:r>
            <w:r w:rsidR="0090020F">
              <w:rPr>
                <w:sz w:val="20"/>
              </w:rPr>
              <w:t>’</w:t>
            </w:r>
            <w:r>
              <w:rPr>
                <w:sz w:val="20"/>
              </w:rPr>
              <w:t>ouvrage hydraulique:</w:t>
            </w:r>
            <w:r>
              <w:rPr>
                <w:sz w:val="20"/>
                <w:vertAlign w:val="superscript"/>
              </w:rPr>
              <w:t>9</w:t>
            </w:r>
            <w:r>
              <w:rPr>
                <w:sz w:val="20"/>
              </w:rPr>
              <w:t>)</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rPr>
              <w:t>Catégorie I, II et III</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2+</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rPr>
              <w:t>Catégorie IV</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4</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rPr>
              <w:t>Membranes contre l</w:t>
            </w:r>
            <w:r w:rsidR="0090020F">
              <w:rPr>
                <w:b/>
                <w:sz w:val="20"/>
              </w:rPr>
              <w:t>’</w:t>
            </w:r>
            <w:r>
              <w:rPr>
                <w:b/>
                <w:sz w:val="20"/>
              </w:rPr>
              <w:t>humidité, l</w:t>
            </w:r>
            <w:r w:rsidR="0090020F">
              <w:rPr>
                <w:b/>
                <w:sz w:val="20"/>
              </w:rPr>
              <w:t>’</w:t>
            </w:r>
            <w:r>
              <w:rPr>
                <w:b/>
                <w:sz w:val="20"/>
              </w:rPr>
              <w:t>eau et le radon</w:t>
            </w:r>
          </w:p>
        </w:tc>
      </w:tr>
      <w:tr w:rsidR="00A065E5" w:rsidRPr="004363D5" w:rsidTr="002F5637">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rPr>
              <w:t>0401</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0402</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rPr>
              <w:t>0403</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0404</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0405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0406</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rPr>
              <w:t>Bandes et pellicules d</w:t>
            </w:r>
            <w:r w:rsidR="0090020F">
              <w:rPr>
                <w:sz w:val="20"/>
              </w:rPr>
              <w:t>’</w:t>
            </w:r>
            <w:r>
              <w:rPr>
                <w:sz w:val="20"/>
              </w:rPr>
              <w:t>étanchéité et anti-radon pour les étages hors sol (dépourvus de sous-sol) et pour les espaces situés en sous-sol (caves)</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Bandes d</w:t>
            </w:r>
            <w:r w:rsidR="0090020F">
              <w:rPr>
                <w:sz w:val="20"/>
              </w:rPr>
              <w:t>’</w:t>
            </w:r>
            <w:r>
              <w:rPr>
                <w:sz w:val="20"/>
              </w:rPr>
              <w:t>étanchéité pour les parois en maçonnerie</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rPr>
              <w:t>Couches pour murs et toits pare-vapeurs ou perméables à la vapeur</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rPr>
              <w:t>Pellicules de revêtement pour toiture et autres revêtements en membrane</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Couches de base de toit</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Enduits d</w:t>
            </w:r>
            <w:r w:rsidR="0090020F">
              <w:rPr>
                <w:sz w:val="20"/>
              </w:rPr>
              <w:t>’</w:t>
            </w:r>
            <w:r>
              <w:rPr>
                <w:sz w:val="20"/>
              </w:rPr>
              <w:t>imperméabilisation pour les étages hors sol, pour les ouvrages en sous-sol et sous les pavages et les carrelages</w:t>
            </w:r>
          </w:p>
        </w:tc>
        <w:tc>
          <w:tcPr>
            <w:tcW w:w="1674" w:type="dxa"/>
          </w:tcPr>
          <w:p w:rsidR="00A065E5" w:rsidRPr="004363D5" w:rsidRDefault="00A065E5"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III (3) II+ (2+)e)</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 ou pour un besoin d</w:t>
            </w:r>
            <w:r w:rsidR="0090020F">
              <w:rPr>
                <w:sz w:val="20"/>
              </w:rPr>
              <w:t>’</w:t>
            </w:r>
            <w:r>
              <w:rPr>
                <w:sz w:val="20"/>
              </w:rPr>
              <w:t>essai pour la REE (réaction à l</w:t>
            </w:r>
            <w:r w:rsidR="0090020F">
              <w:rPr>
                <w:sz w:val="20"/>
              </w:rPr>
              <w:t>’</w:t>
            </w:r>
            <w:r>
              <w:rPr>
                <w:sz w:val="20"/>
              </w:rPr>
              <w:t>environnement externe)</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 (1)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IV (4)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 xml:space="preserve">produits exigeant un essai à la REE </w:t>
            </w:r>
            <w:r>
              <w:rPr>
                <w:sz w:val="20"/>
                <w:vertAlign w:val="superscript"/>
              </w:rPr>
              <w:t>f</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produits n</w:t>
            </w:r>
            <w:r w:rsidR="0090020F">
              <w:rPr>
                <w:sz w:val="20"/>
              </w:rPr>
              <w:t>’</w:t>
            </w:r>
            <w:r>
              <w:rPr>
                <w:sz w:val="20"/>
              </w:rPr>
              <w:t xml:space="preserve">exigeant pas un essai à la REE </w:t>
            </w:r>
            <w:r>
              <w:rPr>
                <w:sz w:val="20"/>
                <w:vertAlign w:val="superscript"/>
              </w:rPr>
              <w:t>f</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0407</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Bandes d</w:t>
            </w:r>
            <w:r w:rsidR="0090020F">
              <w:rPr>
                <w:sz w:val="20"/>
              </w:rPr>
              <w:t>’</w:t>
            </w:r>
            <w:r>
              <w:rPr>
                <w:sz w:val="20"/>
              </w:rPr>
              <w:t>étanchéité et tabliers de pont en béton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2+</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0408</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Ensembles et systèmes d</w:t>
            </w:r>
            <w:r w:rsidR="0090020F">
              <w:rPr>
                <w:sz w:val="20"/>
              </w:rPr>
              <w:t>’</w:t>
            </w:r>
            <w:r>
              <w:rPr>
                <w:sz w:val="20"/>
              </w:rPr>
              <w:t>étanchéité pour tabliers de pont en béton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 (2+)</w:t>
            </w:r>
          </w:p>
        </w:tc>
      </w:tr>
      <w:tr w:rsidR="008E04D0" w:rsidRPr="004363D5" w:rsidTr="008E04D0">
        <w:trPr>
          <w:jc w:val="center"/>
        </w:trPr>
        <w:tc>
          <w:tcPr>
            <w:tcW w:w="478" w:type="dxa"/>
            <w:vMerge w:val="restart"/>
          </w:tcPr>
          <w:p w:rsidR="008E04D0" w:rsidRPr="004363D5" w:rsidRDefault="008E04D0" w:rsidP="00A358E1">
            <w:pPr>
              <w:pStyle w:val="TableParagraph"/>
              <w:spacing w:before="0" w:line="276" w:lineRule="auto"/>
              <w:ind w:left="0" w:right="30"/>
              <w:rPr>
                <w:sz w:val="20"/>
                <w:szCs w:val="20"/>
              </w:rPr>
            </w:pPr>
            <w:r>
              <w:rPr>
                <w:sz w:val="20"/>
              </w:rPr>
              <w:t>0409</w:t>
            </w:r>
          </w:p>
        </w:tc>
        <w:tc>
          <w:tcPr>
            <w:tcW w:w="5436" w:type="dxa"/>
            <w:vMerge w:val="restart"/>
          </w:tcPr>
          <w:p w:rsidR="008E04D0" w:rsidRPr="004363D5" w:rsidRDefault="008E04D0" w:rsidP="00A358E1">
            <w:pPr>
              <w:pStyle w:val="TableParagraph"/>
              <w:spacing w:before="0" w:line="276" w:lineRule="auto"/>
              <w:ind w:left="0" w:right="30"/>
              <w:rPr>
                <w:sz w:val="20"/>
                <w:szCs w:val="20"/>
              </w:rPr>
            </w:pPr>
            <w:r>
              <w:rPr>
                <w:sz w:val="20"/>
              </w:rPr>
              <w:t>Bandes d</w:t>
            </w:r>
            <w:r w:rsidR="0090020F">
              <w:rPr>
                <w:sz w:val="20"/>
              </w:rPr>
              <w:t>’</w:t>
            </w:r>
            <w:r>
              <w:rPr>
                <w:sz w:val="20"/>
              </w:rPr>
              <w:t>étanchéité et bandes de dilatation</w:t>
            </w:r>
          </w:p>
        </w:tc>
        <w:tc>
          <w:tcPr>
            <w:tcW w:w="1674" w:type="dxa"/>
          </w:tcPr>
          <w:p w:rsidR="008E04D0" w:rsidRPr="004363D5" w:rsidRDefault="008E04D0"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8E04D0" w:rsidRPr="004363D5" w:rsidRDefault="008E04D0" w:rsidP="00A358E1">
            <w:pPr>
              <w:pStyle w:val="TableParagraph"/>
              <w:spacing w:before="0" w:line="276" w:lineRule="auto"/>
              <w:ind w:left="0" w:right="30"/>
              <w:rPr>
                <w:sz w:val="20"/>
                <w:szCs w:val="20"/>
              </w:rPr>
            </w:pPr>
            <w:r>
              <w:rPr>
                <w:sz w:val="20"/>
              </w:rPr>
              <w:t>III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2271" w:type="dxa"/>
            <w:gridSpan w:val="2"/>
          </w:tcPr>
          <w:p w:rsidR="008E04D0" w:rsidRPr="004363D5" w:rsidRDefault="008E04D0"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 ou pour un besoin d</w:t>
            </w:r>
            <w:r w:rsidR="0090020F">
              <w:rPr>
                <w:sz w:val="20"/>
              </w:rPr>
              <w:t>’</w:t>
            </w:r>
            <w:r>
              <w:rPr>
                <w:sz w:val="20"/>
              </w:rPr>
              <w:t>essai pour la REE (réaction à l</w:t>
            </w:r>
            <w:r w:rsidR="0090020F">
              <w:rPr>
                <w:sz w:val="20"/>
              </w:rPr>
              <w:t>’</w:t>
            </w:r>
            <w:r>
              <w:rPr>
                <w:sz w:val="20"/>
              </w:rPr>
              <w:t>environnement externe)</w:t>
            </w:r>
          </w:p>
        </w:tc>
      </w:tr>
      <w:tr w:rsidR="008E04D0" w:rsidRPr="004363D5" w:rsidTr="008E04D0">
        <w:trPr>
          <w:jc w:val="center"/>
        </w:trPr>
        <w:tc>
          <w:tcPr>
            <w:tcW w:w="478" w:type="dxa"/>
            <w:vMerge/>
          </w:tcPr>
          <w:p w:rsidR="008E04D0" w:rsidRPr="004363D5" w:rsidRDefault="008E04D0" w:rsidP="00A358E1">
            <w:pPr>
              <w:pStyle w:val="TableParagraph"/>
              <w:spacing w:before="0" w:line="276" w:lineRule="auto"/>
              <w:ind w:left="0" w:right="30"/>
              <w:rPr>
                <w:sz w:val="20"/>
                <w:szCs w:val="20"/>
              </w:rPr>
            </w:pPr>
          </w:p>
        </w:tc>
        <w:tc>
          <w:tcPr>
            <w:tcW w:w="5436" w:type="dxa"/>
            <w:vMerge/>
          </w:tcPr>
          <w:p w:rsidR="008E04D0" w:rsidRPr="004363D5" w:rsidRDefault="008E04D0" w:rsidP="00A358E1">
            <w:pPr>
              <w:pStyle w:val="TableParagraph"/>
              <w:spacing w:before="0" w:line="276" w:lineRule="auto"/>
              <w:ind w:left="0"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8E04D0" w:rsidRPr="004363D5" w:rsidRDefault="008E04D0" w:rsidP="00A358E1">
            <w:pPr>
              <w:pStyle w:val="TableParagraph"/>
              <w:spacing w:before="0" w:line="276" w:lineRule="auto"/>
              <w:ind w:left="0" w:right="30"/>
              <w:rPr>
                <w:sz w:val="20"/>
                <w:szCs w:val="20"/>
              </w:rPr>
            </w:pPr>
            <w:r>
              <w:rPr>
                <w:sz w:val="20"/>
              </w:rPr>
              <w:t>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8E04D0" w:rsidRPr="004363D5" w:rsidRDefault="008E04D0" w:rsidP="00A358E1">
            <w:pPr>
              <w:pStyle w:val="TableParagraph"/>
              <w:spacing w:before="0" w:line="276" w:lineRule="auto"/>
              <w:ind w:left="0" w:right="30"/>
              <w:rPr>
                <w:sz w:val="20"/>
                <w:szCs w:val="20"/>
              </w:rPr>
            </w:pPr>
            <w:r>
              <w:rPr>
                <w:sz w:val="20"/>
              </w:rPr>
              <w:t>III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8E04D0" w:rsidRPr="004363D5" w:rsidRDefault="008E04D0" w:rsidP="00A358E1">
            <w:pPr>
              <w:pStyle w:val="TableParagraph"/>
              <w:spacing w:before="0" w:line="276" w:lineRule="auto"/>
              <w:ind w:left="0" w:right="30"/>
              <w:rPr>
                <w:sz w:val="20"/>
                <w:szCs w:val="20"/>
              </w:rPr>
            </w:pPr>
            <w:r>
              <w:rPr>
                <w:sz w:val="20"/>
              </w:rPr>
              <w:t>IV</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rPr>
              <w:t>0410</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rPr>
              <w:t>Bandes, pellicules, enduits ou systèmes d</w:t>
            </w:r>
            <w:r w:rsidR="0090020F">
              <w:rPr>
                <w:sz w:val="20"/>
              </w:rPr>
              <w:t>’</w:t>
            </w:r>
            <w:r>
              <w:rPr>
                <w:sz w:val="20"/>
              </w:rPr>
              <w:t>étanchéité pour les piscines intérieures</w:t>
            </w:r>
          </w:p>
        </w:tc>
        <w:tc>
          <w:tcPr>
            <w:tcW w:w="1674" w:type="dxa"/>
          </w:tcPr>
          <w:p w:rsidR="00F90EC5" w:rsidRPr="004363D5" w:rsidRDefault="00F90EC5"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 ou pour un besoin d</w:t>
            </w:r>
            <w:r w:rsidR="0090020F">
              <w:rPr>
                <w:sz w:val="20"/>
              </w:rPr>
              <w:t>’</w:t>
            </w:r>
            <w:r>
              <w:rPr>
                <w:sz w:val="20"/>
              </w:rPr>
              <w:t>essai pour la REE (réaction à l</w:t>
            </w:r>
            <w:r w:rsidR="0090020F">
              <w:rPr>
                <w:sz w:val="20"/>
              </w:rPr>
              <w:t>’</w:t>
            </w:r>
            <w:r>
              <w:rPr>
                <w:sz w:val="20"/>
              </w:rPr>
              <w:t>environnement externe)</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IV</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rPr>
              <w:t>Produits pour les routes, les trottoirs et les autres aires de transport</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0501</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Asphaltes naturels et modifiés et émulsions d</w:t>
            </w:r>
            <w:r w:rsidR="0090020F">
              <w:rPr>
                <w:sz w:val="20"/>
              </w:rPr>
              <w:t>’</w:t>
            </w:r>
            <w:r>
              <w:rPr>
                <w:sz w:val="20"/>
              </w:rPr>
              <w:t>asphalte pour la construction des routes et pour le traitement en surface des chaussées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 (2+)</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rPr>
              <w:t>0502</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rPr>
              <w:t>Mélanges bitumineux pour la construction des routes et pour le traitement des aires de transport</w:t>
            </w:r>
          </w:p>
        </w:tc>
        <w:tc>
          <w:tcPr>
            <w:tcW w:w="1674" w:type="dxa"/>
          </w:tcPr>
          <w:p w:rsidR="00F90EC5" w:rsidRPr="004363D5" w:rsidRDefault="00F90EC5"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 (2+)</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(A1FL, A2FL, BFL, CFL) selon l</w:t>
            </w:r>
            <w:r w:rsidR="0090020F">
              <w:rPr>
                <w:sz w:val="20"/>
              </w:rPr>
              <w:t>’</w:t>
            </w:r>
            <w:r>
              <w:rPr>
                <w:sz w:val="20"/>
              </w:rPr>
              <w:t>article 4, paragraphe 2, point a)</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 (1)</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(A1FL, A2FL, BFL, CFL) selon l</w:t>
            </w:r>
            <w:r w:rsidR="0090020F">
              <w:rPr>
                <w:sz w:val="20"/>
              </w:rPr>
              <w:t>’</w:t>
            </w:r>
            <w:r>
              <w:rPr>
                <w:sz w:val="20"/>
              </w:rPr>
              <w:t>article 4, paragraphe 2, point b), DFL, EFL</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III (3)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(A1FL à EFL) selon l</w:t>
            </w:r>
            <w:r w:rsidR="0090020F">
              <w:rPr>
                <w:sz w:val="20"/>
              </w:rPr>
              <w:t>’</w:t>
            </w:r>
            <w:r>
              <w:rPr>
                <w:sz w:val="20"/>
              </w:rPr>
              <w:t>article 4, paragraphe 1, FFL</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0503</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 xml:space="preserve">Goujons et produits de scellement appliqués à chaud dans les chaussées en béton </w:t>
            </w:r>
            <w:r>
              <w:rPr>
                <w:sz w:val="20"/>
                <w:vertAlign w:val="superscript"/>
              </w:rPr>
              <w:t>c</w:t>
            </w:r>
            <w:r>
              <w:rPr>
                <w:sz w:val="20"/>
              </w:rPr>
              <w:t>)</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0504</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Joints de dilatation pour pont</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0505</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Éléments préfabriqués de corniche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0506</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Joints de dilatation pour aires de transport à l</w:t>
            </w:r>
            <w:r w:rsidR="0090020F">
              <w:rPr>
                <w:sz w:val="20"/>
              </w:rPr>
              <w:t>’</w:t>
            </w:r>
            <w:r>
              <w:rPr>
                <w:sz w:val="20"/>
              </w:rPr>
              <w:t>exception des ponts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rPr>
              <w:t>0507</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rPr>
              <w:t>Produits de scellement et ciments pour trottoirs, sauf pour les usines chimiques, les routes et autres aires de transport, pistes d</w:t>
            </w:r>
            <w:r w:rsidR="0090020F">
              <w:rPr>
                <w:sz w:val="20"/>
              </w:rPr>
              <w:t>’</w:t>
            </w:r>
            <w:r>
              <w:rPr>
                <w:sz w:val="20"/>
              </w:rPr>
              <w:t>aéroports et stations d</w:t>
            </w:r>
            <w:r w:rsidR="0090020F">
              <w:rPr>
                <w:sz w:val="20"/>
              </w:rPr>
              <w:t>’</w:t>
            </w:r>
            <w:r>
              <w:rPr>
                <w:sz w:val="20"/>
              </w:rPr>
              <w:t>épuration des eaux</w:t>
            </w:r>
          </w:p>
        </w:tc>
        <w:tc>
          <w:tcPr>
            <w:tcW w:w="1674" w:type="dxa"/>
          </w:tcPr>
          <w:p w:rsidR="00F90EC5" w:rsidRPr="004363D5" w:rsidRDefault="00F90EC5"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0508</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Dalles, pavés et bords du trottoir de pierre naturelle pour le pavage extérieur</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0509</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Pavés en béton, dalles et bordures pour dallages extérieurs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0510</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Briques de pavage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0511</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Éléments de pavage incluant les pavés, dalles, bordures (à l</w:t>
            </w:r>
            <w:r w:rsidR="0090020F">
              <w:rPr>
                <w:sz w:val="20"/>
              </w:rPr>
              <w:t>’</w:t>
            </w:r>
            <w:r>
              <w:rPr>
                <w:sz w:val="20"/>
              </w:rPr>
              <w:t>exception des produits des groupes 0508 et 0509), puits de lumière en béton et verre, sols de caillebotis métallique, revêtement de sol en métal déployé ou en grille, grilles de sol et marches d</w:t>
            </w:r>
            <w:r w:rsidR="0090020F">
              <w:rPr>
                <w:sz w:val="20"/>
              </w:rPr>
              <w:t>’</w:t>
            </w:r>
            <w:r>
              <w:rPr>
                <w:sz w:val="20"/>
              </w:rPr>
              <w:t xml:space="preserve">escalier, revêtements de sol rigides, ardoise, mosaïque et carreaux de </w:t>
            </w:r>
            <w:proofErr w:type="spellStart"/>
            <w:r>
              <w:rPr>
                <w:sz w:val="20"/>
              </w:rPr>
              <w:t>terraz</w:t>
            </w:r>
            <w:r w:rsidR="000040C9">
              <w:rPr>
                <w:sz w:val="20"/>
              </w:rPr>
              <w:t>z</w:t>
            </w:r>
            <w:r>
              <w:rPr>
                <w:sz w:val="20"/>
              </w:rPr>
              <w:t>o</w:t>
            </w:r>
            <w:proofErr w:type="spellEnd"/>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0512</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Parties de végétation pour aires de transport peu fréquentées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IV</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0513</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Dispositifs de retenue routiers - glissières de sécurité, atténuateurs de choc, barrières mobiles, câbles et parapets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0514</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Systèmes de retenue pour la protection des piétons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0515</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Feux de signalisation, feux d</w:t>
            </w:r>
            <w:r w:rsidR="0090020F">
              <w:rPr>
                <w:sz w:val="20"/>
              </w:rPr>
              <w:t>’</w:t>
            </w:r>
            <w:r>
              <w:rPr>
                <w:sz w:val="20"/>
              </w:rPr>
              <w:t>alerte fixes et bornes lumineuses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0516</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Panneaux de signalisation verticaux, signalisation à message variable, poteaux pour panneaux de signalisation et feux de circulation, délinéateurs, potelets et éléments de guidage permanents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0517</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 xml:space="preserve">Panneaux de signalisation horizontaux préfabriqués et plots </w:t>
            </w:r>
            <w:proofErr w:type="spellStart"/>
            <w:r>
              <w:rPr>
                <w:sz w:val="20"/>
              </w:rPr>
              <w:t>rétroréfléchissants</w:t>
            </w:r>
            <w:proofErr w:type="spellEnd"/>
            <w:r>
              <w:rPr>
                <w:sz w:val="20"/>
              </w:rPr>
              <w:t>, éléments réfléchissants et optiques pour marquage horizontal au sol des chaussées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0518</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 xml:space="preserve">Peintures de marquage routier horizontal, thermoplastiques appliqués à chaud, plastiques appliqués à froid avec ou sans </w:t>
            </w:r>
            <w:r>
              <w:rPr>
                <w:sz w:val="20"/>
              </w:rPr>
              <w:lastRenderedPageBreak/>
              <w:t>granulats antidérapants ou avec des microbilles de verre ou sans, ou commercialisées avec indication du type et de la proportion de microbilles de verre ou de granulats antidérapants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lastRenderedPageBreak/>
              <w:t>0519</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Microbilles de verre, granulats antidérapants et mélange de ces deux composants utilisés comme produits de saupoudrage pour la signalisation horizontale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0520</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Parois et dispositifs antibruit</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3</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0521</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Écrans contre l</w:t>
            </w:r>
            <w:r w:rsidR="0090020F">
              <w:rPr>
                <w:sz w:val="20"/>
              </w:rPr>
              <w:t>’</w:t>
            </w:r>
            <w:r>
              <w:rPr>
                <w:sz w:val="20"/>
              </w:rPr>
              <w:t>éblouissement par des véhicules circulant en sens inverse et par des sources de lumière externes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3</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0522</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Éléments réfléchissants limitant l</w:t>
            </w:r>
            <w:r w:rsidR="0090020F">
              <w:rPr>
                <w:sz w:val="20"/>
              </w:rPr>
              <w:t>’</w:t>
            </w:r>
            <w:r>
              <w:rPr>
                <w:sz w:val="20"/>
              </w:rPr>
              <w:t>accès de la faune sur les voies terrestres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0523</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Produits pour la création de bandes de guidages, d</w:t>
            </w:r>
            <w:r w:rsidR="0090020F">
              <w:rPr>
                <w:sz w:val="20"/>
              </w:rPr>
              <w:t>’</w:t>
            </w:r>
            <w:r>
              <w:rPr>
                <w:sz w:val="20"/>
              </w:rPr>
              <w:t>avertissements et de signalisation pour les non-voyants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IV</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0524</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Colles et matières pour collage définitif de barrières et de dispositifs de guidage, panneaux de signalisation horizontaux préfabriqués et signalisation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rPr>
              <w:t>0525</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rPr>
              <w:t>Produits spéciaux pour les aménagements des sols des aires de transport</w:t>
            </w:r>
          </w:p>
        </w:tc>
        <w:tc>
          <w:tcPr>
            <w:tcW w:w="1674" w:type="dxa"/>
          </w:tcPr>
          <w:p w:rsidR="00F90EC5" w:rsidRPr="004363D5" w:rsidRDefault="00F90EC5"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(A1FL, A2FL, BFL, CFL) selon l</w:t>
            </w:r>
            <w:r w:rsidR="0090020F">
              <w:rPr>
                <w:sz w:val="20"/>
              </w:rPr>
              <w:t>’</w:t>
            </w:r>
            <w:r>
              <w:rPr>
                <w:sz w:val="20"/>
              </w:rPr>
              <w:t>article 4, paragraphe 2, point a)</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(A1FL, A2FL, BFL, CFL) selon l</w:t>
            </w:r>
            <w:r w:rsidR="0090020F">
              <w:rPr>
                <w:sz w:val="20"/>
              </w:rPr>
              <w:t>’</w:t>
            </w:r>
            <w:r>
              <w:rPr>
                <w:sz w:val="20"/>
              </w:rPr>
              <w:t>article 4, paragraphe 2, point b), DFL, EFL</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(A1FL à EFL) selon l</w:t>
            </w:r>
            <w:r w:rsidR="0090020F">
              <w:rPr>
                <w:sz w:val="20"/>
              </w:rPr>
              <w:t>’</w:t>
            </w:r>
            <w:r>
              <w:rPr>
                <w:sz w:val="20"/>
              </w:rPr>
              <w:t>article 4, paragraphe 1, FFL</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IV</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rPr>
              <w:t>Poteaux</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0601</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Poteaux d</w:t>
            </w:r>
            <w:r w:rsidR="0090020F">
              <w:rPr>
                <w:sz w:val="20"/>
              </w:rPr>
              <w:t>’</w:t>
            </w:r>
            <w:r>
              <w:rPr>
                <w:sz w:val="20"/>
              </w:rPr>
              <w:t>éclairage, en acier, en aluminium et en fibres de polymère renforcés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0602</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Poteaux d</w:t>
            </w:r>
            <w:r w:rsidR="0090020F">
              <w:rPr>
                <w:sz w:val="20"/>
              </w:rPr>
              <w:t>’</w:t>
            </w:r>
            <w:r>
              <w:rPr>
                <w:sz w:val="20"/>
              </w:rPr>
              <w:t>éclairage en béton armé et précontraint</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0603</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Poteaux en bois pour lignes électriques aériennes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2+</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0604</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Autres pylônes préfabriqués ou leurs composants préfabriqués destinés au transport aérien de l</w:t>
            </w:r>
            <w:r w:rsidR="0090020F">
              <w:rPr>
                <w:sz w:val="20"/>
              </w:rPr>
              <w:t>’</w:t>
            </w:r>
            <w:r>
              <w:rPr>
                <w:sz w:val="20"/>
              </w:rPr>
              <w:t>électricité, aux lignes de traction, aux équipements de télécommunication, aux centrales éoliennes et autres équipements similaires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2+</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rPr>
              <w:t>Produits destinés à la technologie pour les eaux usées</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0701</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Tuyaux et raccords en béton ordinaire, béton renforcé de fibres d</w:t>
            </w:r>
            <w:r w:rsidR="0090020F">
              <w:rPr>
                <w:sz w:val="20"/>
              </w:rPr>
              <w:t>’</w:t>
            </w:r>
            <w:r>
              <w:rPr>
                <w:sz w:val="20"/>
              </w:rPr>
              <w:t>acier et béton armé, avec ou sans joints d</w:t>
            </w:r>
            <w:r w:rsidR="0090020F">
              <w:rPr>
                <w:sz w:val="20"/>
              </w:rPr>
              <w:t>’</w:t>
            </w:r>
            <w:r>
              <w:rPr>
                <w:sz w:val="20"/>
              </w:rPr>
              <w:t>étanchéité, pour la canalisation d</w:t>
            </w:r>
            <w:r w:rsidR="0090020F">
              <w:rPr>
                <w:sz w:val="20"/>
              </w:rPr>
              <w:t>’</w:t>
            </w:r>
            <w:r>
              <w:rPr>
                <w:sz w:val="20"/>
              </w:rPr>
              <w:t>égout</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0702</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 xml:space="preserve">Autres tuyaux, raccords et joints, régulateurs de débit, vannes et </w:t>
            </w:r>
            <w:r>
              <w:rPr>
                <w:sz w:val="20"/>
              </w:rPr>
              <w:lastRenderedPageBreak/>
              <w:t>vannes vortex pour la canalisation d</w:t>
            </w:r>
            <w:r w:rsidR="0090020F">
              <w:rPr>
                <w:sz w:val="20"/>
              </w:rPr>
              <w:t>’</w:t>
            </w:r>
            <w:r>
              <w:rPr>
                <w:sz w:val="20"/>
              </w:rPr>
              <w:t>égout</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rPr>
              <w:lastRenderedPageBreak/>
              <w:t>0703</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rPr>
              <w:t>0704</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0705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0706</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0707</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rPr>
              <w:t>Tuyaux et raccords destinés aux tuyaux d</w:t>
            </w:r>
            <w:r w:rsidR="0090020F">
              <w:rPr>
                <w:sz w:val="20"/>
              </w:rPr>
              <w:t>’</w:t>
            </w:r>
            <w:r>
              <w:rPr>
                <w:sz w:val="20"/>
              </w:rPr>
              <w:t>évacuation des bâtiments</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Puits d</w:t>
            </w:r>
            <w:r w:rsidR="0090020F">
              <w:rPr>
                <w:sz w:val="20"/>
              </w:rPr>
              <w:t>’</w:t>
            </w:r>
            <w:r>
              <w:rPr>
                <w:sz w:val="20"/>
              </w:rPr>
              <w:t>entrée et chambres d</w:t>
            </w:r>
            <w:r w:rsidR="0090020F">
              <w:rPr>
                <w:sz w:val="20"/>
              </w:rPr>
              <w:t>’</w:t>
            </w:r>
            <w:r>
              <w:rPr>
                <w:sz w:val="20"/>
              </w:rPr>
              <w:t>inspection de la canalisation d</w:t>
            </w:r>
            <w:r w:rsidR="0090020F">
              <w:rPr>
                <w:sz w:val="20"/>
              </w:rPr>
              <w:t>’</w:t>
            </w:r>
            <w:r>
              <w:rPr>
                <w:sz w:val="20"/>
              </w:rPr>
              <w:t>égout</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Marchepieds, échelles et poignées des puits d</w:t>
            </w:r>
            <w:r w:rsidR="0090020F">
              <w:rPr>
                <w:sz w:val="20"/>
              </w:rPr>
              <w:t>’</w:t>
            </w:r>
            <w:r>
              <w:rPr>
                <w:sz w:val="20"/>
              </w:rPr>
              <w:t>entrée et des chambres d</w:t>
            </w:r>
            <w:r w:rsidR="0090020F">
              <w:rPr>
                <w:sz w:val="20"/>
              </w:rPr>
              <w:t>’</w:t>
            </w:r>
            <w:r>
              <w:rPr>
                <w:sz w:val="20"/>
              </w:rPr>
              <w:t>inspection</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Soupapes d</w:t>
            </w:r>
            <w:r w:rsidR="0090020F">
              <w:rPr>
                <w:sz w:val="20"/>
              </w:rPr>
              <w:t>’</w:t>
            </w:r>
            <w:r>
              <w:rPr>
                <w:sz w:val="20"/>
              </w:rPr>
              <w:t>admission de la tuyauterie d</w:t>
            </w:r>
            <w:r w:rsidR="0090020F">
              <w:rPr>
                <w:sz w:val="20"/>
              </w:rPr>
              <w:t>’</w:t>
            </w:r>
            <w:r>
              <w:rPr>
                <w:sz w:val="20"/>
              </w:rPr>
              <w:t>aération des tuyaux d</w:t>
            </w:r>
            <w:r w:rsidR="0090020F">
              <w:rPr>
                <w:sz w:val="20"/>
              </w:rPr>
              <w:t>’</w:t>
            </w:r>
            <w:r>
              <w:rPr>
                <w:sz w:val="20"/>
              </w:rPr>
              <w:t>évacuation des bâtiments</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Collecteurs et séparateurs des eaux usées des bâtiments et des ouvrages du génie civil</w:t>
            </w:r>
          </w:p>
        </w:tc>
        <w:tc>
          <w:tcPr>
            <w:tcW w:w="1674" w:type="dxa"/>
          </w:tcPr>
          <w:p w:rsidR="00A065E5" w:rsidRPr="004363D5" w:rsidRDefault="00A065E5"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IV (4)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(règlements de sécurité contre l</w:t>
            </w:r>
            <w:r w:rsidR="0090020F">
              <w:rPr>
                <w:sz w:val="20"/>
              </w:rPr>
              <w:t>’</w:t>
            </w:r>
            <w:r>
              <w:rPr>
                <w:sz w:val="20"/>
              </w:rPr>
              <w:t>incendie), avec une classification conformément à la nature de la CRF (classe de réaction au feu):</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sensible au changement dans la production selon l</w:t>
            </w:r>
            <w:r w:rsidR="0090020F">
              <w:rPr>
                <w:sz w:val="20"/>
              </w:rPr>
              <w:t>’</w:t>
            </w:r>
            <w:r>
              <w:rPr>
                <w:sz w:val="20"/>
              </w:rPr>
              <w:t>article 4, paragraphe 2, point a)</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classifiée sans essais selon l</w:t>
            </w:r>
            <w:r w:rsidR="0090020F">
              <w:rPr>
                <w:sz w:val="20"/>
              </w:rPr>
              <w:t>’</w:t>
            </w:r>
            <w:r>
              <w:rPr>
                <w:sz w:val="20"/>
              </w:rPr>
              <w:t>article 4, paragraphe 1</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d</w:t>
            </w:r>
            <w:r w:rsidR="0090020F">
              <w:rPr>
                <w:sz w:val="20"/>
              </w:rPr>
              <w:t>’</w:t>
            </w:r>
            <w:r>
              <w:rPr>
                <w:sz w:val="20"/>
              </w:rPr>
              <w:t>une autre nature que celle précitée selon l</w:t>
            </w:r>
            <w:r w:rsidR="0090020F">
              <w:rPr>
                <w:sz w:val="20"/>
              </w:rPr>
              <w:t>’</w:t>
            </w:r>
            <w:r>
              <w:rPr>
                <w:sz w:val="20"/>
              </w:rPr>
              <w:t>article 4, paragraphe 2, point b)</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3</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rPr>
              <w:t>0708</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0709</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0710</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0711</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rPr>
              <w:t>Systèmes de station de pompage des eaux usées et de dispositifs de levage des déchets liquides</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Systèmes et éléments des stations d</w:t>
            </w:r>
            <w:r w:rsidR="0090020F">
              <w:rPr>
                <w:sz w:val="20"/>
              </w:rPr>
              <w:t>’</w:t>
            </w:r>
            <w:r>
              <w:rPr>
                <w:sz w:val="20"/>
              </w:rPr>
              <w:t>épuration domestiques des eaux usées et de dispositifs d</w:t>
            </w:r>
            <w:r w:rsidR="0090020F">
              <w:rPr>
                <w:sz w:val="20"/>
              </w:rPr>
              <w:t>’</w:t>
            </w:r>
            <w:r>
              <w:rPr>
                <w:sz w:val="20"/>
              </w:rPr>
              <w:t>épuration des chantiers</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Fosses septiques</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Canaux de drainage préfabriqués (rigoles) pour voies de communication terrestres</w:t>
            </w:r>
          </w:p>
        </w:tc>
        <w:tc>
          <w:tcPr>
            <w:tcW w:w="1674" w:type="dxa"/>
          </w:tcPr>
          <w:p w:rsidR="00A065E5" w:rsidRPr="004363D5" w:rsidRDefault="00A065E5"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(règlements de sécurité contre l</w:t>
            </w:r>
            <w:r w:rsidR="0090020F">
              <w:rPr>
                <w:sz w:val="20"/>
              </w:rPr>
              <w:t>’</w:t>
            </w:r>
            <w:r>
              <w:rPr>
                <w:sz w:val="20"/>
              </w:rPr>
              <w:t>incendie), avec une classification conformément à la nature de la CRF (classe de réaction au feu):</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sensible au changement dans la production selon l</w:t>
            </w:r>
            <w:r w:rsidR="0090020F">
              <w:rPr>
                <w:sz w:val="20"/>
              </w:rPr>
              <w:t>’</w:t>
            </w:r>
            <w:r>
              <w:rPr>
                <w:sz w:val="20"/>
              </w:rPr>
              <w:t>article 4, paragraphe 2, point a)</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classifiée sans essais selon l</w:t>
            </w:r>
            <w:r w:rsidR="0090020F">
              <w:rPr>
                <w:sz w:val="20"/>
              </w:rPr>
              <w:t>’</w:t>
            </w:r>
            <w:r>
              <w:rPr>
                <w:sz w:val="20"/>
              </w:rPr>
              <w:t>article 4, paragraphe 1</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d</w:t>
            </w:r>
            <w:r w:rsidR="0090020F">
              <w:rPr>
                <w:sz w:val="20"/>
              </w:rPr>
              <w:t>’</w:t>
            </w:r>
            <w:r>
              <w:rPr>
                <w:sz w:val="20"/>
              </w:rPr>
              <w:t xml:space="preserve">une autre nature que celle précitée selon </w:t>
            </w:r>
            <w:r>
              <w:rPr>
                <w:sz w:val="20"/>
              </w:rPr>
              <w:lastRenderedPageBreak/>
              <w:t>l</w:t>
            </w:r>
            <w:r w:rsidR="0090020F">
              <w:rPr>
                <w:sz w:val="20"/>
              </w:rPr>
              <w:t>’</w:t>
            </w:r>
            <w:r>
              <w:rPr>
                <w:sz w:val="20"/>
              </w:rPr>
              <w:t>article 4, paragraphe 2, point b)</w:t>
            </w:r>
          </w:p>
        </w:tc>
        <w:tc>
          <w:tcPr>
            <w:tcW w:w="597" w:type="dxa"/>
          </w:tcPr>
          <w:p w:rsidR="00A065E5" w:rsidRPr="004363D5" w:rsidRDefault="00A065E5" w:rsidP="00A358E1">
            <w:pPr>
              <w:pStyle w:val="TableParagraph"/>
              <w:spacing w:before="0" w:line="276" w:lineRule="auto"/>
              <w:ind w:left="0" w:right="30"/>
              <w:rPr>
                <w:sz w:val="20"/>
                <w:szCs w:val="20"/>
              </w:rPr>
            </w:pPr>
            <w:r>
              <w:rPr>
                <w:sz w:val="20"/>
              </w:rPr>
              <w:lastRenderedPageBreak/>
              <w:t>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lastRenderedPageBreak/>
              <w:t>0712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Couvercle des puits d</w:t>
            </w:r>
            <w:r w:rsidR="0090020F">
              <w:rPr>
                <w:sz w:val="20"/>
              </w:rPr>
              <w:t>’</w:t>
            </w:r>
            <w:r>
              <w:rPr>
                <w:sz w:val="20"/>
              </w:rPr>
              <w:t>entrée et grilles d</w:t>
            </w:r>
            <w:r w:rsidR="0090020F">
              <w:rPr>
                <w:sz w:val="20"/>
              </w:rPr>
              <w:t>’</w:t>
            </w:r>
            <w:r>
              <w:rPr>
                <w:sz w:val="20"/>
              </w:rPr>
              <w:t>entrée d</w:t>
            </w:r>
            <w:r w:rsidR="0090020F">
              <w:rPr>
                <w:sz w:val="20"/>
              </w:rPr>
              <w:t>’</w:t>
            </w:r>
            <w:r>
              <w:rPr>
                <w:sz w:val="20"/>
              </w:rPr>
              <w:t>évacuation des eaux sur les voies de communication terrestres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(règlements de sécurité contre l</w:t>
            </w:r>
            <w:r w:rsidR="0090020F">
              <w:rPr>
                <w:sz w:val="20"/>
              </w:rPr>
              <w:t>’</w:t>
            </w:r>
            <w:r>
              <w:rPr>
                <w:sz w:val="20"/>
              </w:rPr>
              <w:t>incendie), avec une classification conformément à la nature de la CRF (classe de réaction au feu):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sensible au changement dans la production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classifiée sans essais selon l</w:t>
            </w:r>
            <w:r w:rsidR="0090020F">
              <w:rPr>
                <w:sz w:val="20"/>
              </w:rPr>
              <w:t>’</w:t>
            </w:r>
            <w:r>
              <w:rPr>
                <w:sz w:val="20"/>
              </w:rPr>
              <w:t>article 4, paragraphe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w:t>
            </w:r>
            <w:r w:rsidR="0090020F">
              <w:rPr>
                <w:sz w:val="20"/>
              </w:rPr>
              <w:t>’</w:t>
            </w:r>
            <w:r>
              <w:rPr>
                <w:sz w:val="20"/>
              </w:rPr>
              <w:t>une autre nature que celle précitée selon l</w:t>
            </w:r>
            <w:r w:rsidR="0090020F">
              <w:rPr>
                <w:sz w:val="20"/>
              </w:rPr>
              <w:t>’</w:t>
            </w:r>
            <w:r>
              <w:rPr>
                <w:sz w:val="20"/>
              </w:rPr>
              <w:t>article 4, paragraphe 2, point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0713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Réservoirs des fosses d</w:t>
            </w:r>
            <w:r w:rsidR="0090020F">
              <w:rPr>
                <w:sz w:val="20"/>
              </w:rPr>
              <w:t>’</w:t>
            </w:r>
            <w:r>
              <w:rPr>
                <w:sz w:val="20"/>
              </w:rPr>
              <w:t>aisances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(règlements de sécurité contre l</w:t>
            </w:r>
            <w:r w:rsidR="0090020F">
              <w:rPr>
                <w:sz w:val="20"/>
              </w:rPr>
              <w:t>’</w:t>
            </w:r>
            <w:r>
              <w:rPr>
                <w:sz w:val="20"/>
              </w:rPr>
              <w:t>incendie), avec une classification conformément à la nature de la CRF (classe de réaction au feu):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sensible au changement dans la production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classifiée sans essais selon l</w:t>
            </w:r>
            <w:r w:rsidR="0090020F">
              <w:rPr>
                <w:sz w:val="20"/>
              </w:rPr>
              <w:t>’</w:t>
            </w:r>
            <w:r>
              <w:rPr>
                <w:sz w:val="20"/>
              </w:rPr>
              <w:t>article 4, paragraphe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w:t>
            </w:r>
            <w:r w:rsidR="0090020F">
              <w:rPr>
                <w:sz w:val="20"/>
              </w:rPr>
              <w:t>’</w:t>
            </w:r>
            <w:r>
              <w:rPr>
                <w:sz w:val="20"/>
              </w:rPr>
              <w:t>une autre nature que celle précitée selon l</w:t>
            </w:r>
            <w:r w:rsidR="0090020F">
              <w:rPr>
                <w:sz w:val="20"/>
              </w:rPr>
              <w:t>’</w:t>
            </w:r>
            <w:r>
              <w:rPr>
                <w:sz w:val="20"/>
              </w:rPr>
              <w:t>article 4, paragraphe 2, point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0714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Entrées dans le sol</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(règlements de sécurité contre l</w:t>
            </w:r>
            <w:r w:rsidR="0090020F">
              <w:rPr>
                <w:sz w:val="20"/>
              </w:rPr>
              <w:t>’</w:t>
            </w:r>
            <w:r>
              <w:rPr>
                <w:sz w:val="20"/>
              </w:rPr>
              <w:t>incendie), avec une classification conformément à la nature de la CRF (classe de réaction au feu):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sensible au changement dans la production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classifiée sans essais selon l</w:t>
            </w:r>
            <w:r w:rsidR="0090020F">
              <w:rPr>
                <w:sz w:val="20"/>
              </w:rPr>
              <w:t>’</w:t>
            </w:r>
            <w:r>
              <w:rPr>
                <w:sz w:val="20"/>
              </w:rPr>
              <w:t>article 4, paragraphe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w:t>
            </w:r>
            <w:r w:rsidR="0090020F">
              <w:rPr>
                <w:sz w:val="20"/>
              </w:rPr>
              <w:t>’</w:t>
            </w:r>
            <w:r>
              <w:rPr>
                <w:sz w:val="20"/>
              </w:rPr>
              <w:t>une autre nature que celle précitée selon l</w:t>
            </w:r>
            <w:r w:rsidR="0090020F">
              <w:rPr>
                <w:sz w:val="20"/>
              </w:rPr>
              <w:t>’</w:t>
            </w:r>
            <w:r>
              <w:rPr>
                <w:sz w:val="20"/>
              </w:rPr>
              <w:t>article 4, paragraphe 2, point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0715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 xml:space="preserve">Cadres enterrés en béton </w:t>
            </w:r>
            <w:r>
              <w:rPr>
                <w:sz w:val="20"/>
                <w:vertAlign w:val="superscript"/>
              </w:rPr>
              <w:t>c</w:t>
            </w:r>
            <w:r>
              <w:rPr>
                <w:sz w:val="20"/>
              </w:rPr>
              <w:t>)</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la destination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Structurels </w:t>
            </w:r>
            <w:r>
              <w:rPr>
                <w:sz w:val="20"/>
                <w:vertAlign w:val="superscript"/>
              </w:rPr>
              <w:t>b</w:t>
            </w:r>
            <w:r>
              <w:rPr>
                <w:sz w:val="20"/>
              </w:rPr>
              <w:t>) – grands cadres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Non structurels – petits cadres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0716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Tuyaux de drainage et blocs d</w:t>
            </w:r>
            <w:r w:rsidR="0090020F">
              <w:rPr>
                <w:sz w:val="20"/>
              </w:rPr>
              <w:t>’</w:t>
            </w:r>
            <w:r>
              <w:rPr>
                <w:sz w:val="20"/>
              </w:rPr>
              <w:t>infiltration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Roulements pour bâtiments</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0801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 xml:space="preserve">Roulements à billes et à rouleaux cylindriques contenant du </w:t>
            </w:r>
            <w:proofErr w:type="spellStart"/>
            <w:r>
              <w:rPr>
                <w:sz w:val="20"/>
              </w:rPr>
              <w:t>polytétrafluoroéthylène</w:t>
            </w:r>
            <w:proofErr w:type="spellEnd"/>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0802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Autres roulements destinés à la construction des bâtiments et des ouvrages du génie civil où, en cas d</w:t>
            </w:r>
            <w:r w:rsidR="0090020F">
              <w:rPr>
                <w:sz w:val="20"/>
              </w:rPr>
              <w:t>’</w:t>
            </w:r>
            <w:r>
              <w:rPr>
                <w:sz w:val="20"/>
              </w:rPr>
              <w:t>endommagement du roulement, l</w:t>
            </w:r>
            <w:r w:rsidR="0090020F">
              <w:rPr>
                <w:sz w:val="20"/>
              </w:rPr>
              <w:t>’</w:t>
            </w:r>
            <w:r>
              <w:rPr>
                <w:sz w:val="20"/>
              </w:rPr>
              <w:t>ouvrage ou sa partie se trouve dans un état dépassant les limites de son utilisabilité et dans des états limites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0803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Roulements destinés aux autres structures de construction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0804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Dispositifs antisismiques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Agrégats</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0901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Agrégats pour béton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Agrégats pour mortier</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la destination: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mortiers de </w:t>
            </w:r>
            <w:r>
              <w:rPr>
                <w:sz w:val="20"/>
              </w:rPr>
              <w:lastRenderedPageBreak/>
              <w:t>maçonnerie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les autres mortiers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0903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Agrégats légers pour béton, mortier et mortier d</w:t>
            </w:r>
            <w:r w:rsidR="0090020F">
              <w:rPr>
                <w:sz w:val="20"/>
              </w:rPr>
              <w:t>’</w:t>
            </w:r>
            <w:r>
              <w:rPr>
                <w:sz w:val="20"/>
              </w:rPr>
              <w:t>injection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la destination: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béton et mortier de maçonnerie et d</w:t>
            </w:r>
            <w:r w:rsidR="0090020F">
              <w:rPr>
                <w:sz w:val="20"/>
              </w:rPr>
              <w:t>’</w:t>
            </w:r>
            <w:r>
              <w:rPr>
                <w:sz w:val="20"/>
              </w:rPr>
              <w:t>injection</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les autres mortiers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0904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Agrégats pour les couches de soubassement des structures sous les traverses et des structures du lit des rails de chemin de fer</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le type de voie ferrée: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voies ferrées rapides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les autres voies ferrées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0905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Granulats pour matériaux non liés et matériaux liés par pression hydraulique pour la construction de routes</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la destination: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la construction de routes avec une charge de trafic répondant aux classes I, II, III et IV</w:t>
            </w:r>
            <w:r>
              <w:rPr>
                <w:sz w:val="20"/>
                <w:vertAlign w:val="superscript"/>
              </w:rPr>
              <w:t>10</w:t>
            </w:r>
            <w:r>
              <w:rPr>
                <w:sz w:val="20"/>
              </w:rPr>
              <w:t>) et la construction de pistes d</w:t>
            </w:r>
            <w:r w:rsidR="0090020F">
              <w:rPr>
                <w:sz w:val="20"/>
              </w:rPr>
              <w:t>’</w:t>
            </w:r>
            <w:r>
              <w:rPr>
                <w:sz w:val="20"/>
              </w:rPr>
              <w:t>aéroports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la construction de routes avec une charge de trafic répondant aux V et VI</w:t>
            </w:r>
            <w:r>
              <w:rPr>
                <w:sz w:val="20"/>
                <w:vertAlign w:val="superscript"/>
              </w:rPr>
              <w:t>10</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0906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Mélanges liés par pression hydraulique et mélanges non liés pour la construction de routes et autres zones de circulation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la destination: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la construction de routes avec une charge de trafic répondant aux classes I, II, III et IV</w:t>
            </w:r>
            <w:r>
              <w:rPr>
                <w:sz w:val="20"/>
                <w:vertAlign w:val="superscript"/>
              </w:rPr>
              <w:t>10</w:t>
            </w:r>
            <w:r>
              <w:rPr>
                <w:sz w:val="20"/>
              </w:rPr>
              <w:t>) et la construction de pistes d</w:t>
            </w:r>
            <w:r w:rsidR="0090020F">
              <w:rPr>
                <w:sz w:val="20"/>
              </w:rPr>
              <w:t>’</w:t>
            </w:r>
            <w:r>
              <w:rPr>
                <w:sz w:val="20"/>
              </w:rPr>
              <w:t>aéroports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la construction de routes avec une charge de trafic répondant aux V et VI</w:t>
            </w:r>
            <w:r>
              <w:rPr>
                <w:sz w:val="20"/>
                <w:vertAlign w:val="superscript"/>
              </w:rPr>
              <w:t>10</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jc w:val="center"/>
              <w:rPr>
                <w:sz w:val="20"/>
                <w:szCs w:val="20"/>
              </w:rPr>
            </w:pPr>
            <w:r>
              <w:rPr>
                <w:sz w:val="20"/>
              </w:rPr>
              <w:t>0907</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rPr>
              <w:t>Granulats pour mélanges bitumineux et traitements de surface pour les routes, aérodromes et autres zones de circulation</w:t>
            </w: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rPr>
              <w:t>Selon la destination:</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pour les couches d</w:t>
            </w:r>
            <w:r w:rsidR="0090020F">
              <w:rPr>
                <w:sz w:val="20"/>
              </w:rPr>
              <w:t>’</w:t>
            </w:r>
            <w:r>
              <w:rPr>
                <w:sz w:val="20"/>
              </w:rPr>
              <w:t>usure</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pour les autres couches</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Ciments, chaux et autres liants</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1001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 xml:space="preserve">Ciments et ciments mélangés courant pour la préparation du béton, </w:t>
            </w:r>
            <w:r>
              <w:rPr>
                <w:sz w:val="20"/>
              </w:rPr>
              <w:lastRenderedPageBreak/>
              <w:t>du mortier, du mortier d</w:t>
            </w:r>
            <w:r w:rsidR="0090020F">
              <w:rPr>
                <w:sz w:val="20"/>
              </w:rPr>
              <w:t>’</w:t>
            </w:r>
            <w:r>
              <w:rPr>
                <w:sz w:val="20"/>
              </w:rPr>
              <w:t>injection (coulis) et autres mélanges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 xml:space="preserve">I+ </w:t>
            </w:r>
            <w:r>
              <w:rPr>
                <w:sz w:val="20"/>
              </w:rPr>
              <w:lastRenderedPageBreak/>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lastRenderedPageBreak/>
              <w:t>1002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Ciments spéciaux résistant aux basses températures, ciments blancs, ciments résistant au soufre et à l</w:t>
            </w:r>
            <w:r w:rsidR="0090020F">
              <w:rPr>
                <w:sz w:val="20"/>
              </w:rPr>
              <w:t>’</w:t>
            </w:r>
            <w:r>
              <w:rPr>
                <w:sz w:val="20"/>
              </w:rPr>
              <w:t>eau de mer, ciments faiblement alcalins, ciments d</w:t>
            </w:r>
            <w:r w:rsidR="0090020F">
              <w:rPr>
                <w:sz w:val="20"/>
              </w:rPr>
              <w:t>’</w:t>
            </w:r>
            <w:r>
              <w:rPr>
                <w:sz w:val="20"/>
              </w:rPr>
              <w:t>aluminates de calcium avec chaleur d</w:t>
            </w:r>
            <w:r w:rsidR="0090020F">
              <w:rPr>
                <w:sz w:val="20"/>
              </w:rPr>
              <w:t>’</w:t>
            </w:r>
            <w:r>
              <w:rPr>
                <w:sz w:val="20"/>
              </w:rPr>
              <w:t>hydratation très faible, ciments de haut fourneau avec solidité initiale faible, ciments pour maçonnerie et ciments pour routes pour la préparation du béton, du mortier, du mortier d</w:t>
            </w:r>
            <w:r w:rsidR="0090020F">
              <w:rPr>
                <w:sz w:val="20"/>
              </w:rPr>
              <w:t>’</w:t>
            </w:r>
            <w:r>
              <w:rPr>
                <w:sz w:val="20"/>
              </w:rPr>
              <w:t>injection (coulis) et autres mélanges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1003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Chaux de construction, y compris la chaux vive, la chaux dolomitique, la chaux hydraulique pour la préparation du béton, du mortier, du mortier d</w:t>
            </w:r>
            <w:r w:rsidR="0090020F">
              <w:rPr>
                <w:sz w:val="20"/>
              </w:rPr>
              <w:t>’</w:t>
            </w:r>
            <w:r>
              <w:rPr>
                <w:sz w:val="20"/>
              </w:rPr>
              <w:t>injection (coulis) et autres mélanges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1004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Liants hydrauliques pour la production de mélanges destinés aux couches de soubassement des aires de transport et liants hydrauliques destinés à la production de mortier</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1005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Ciments hybrides pour la préparation du béton, du mortier, du mortier d</w:t>
            </w:r>
            <w:r w:rsidR="0090020F">
              <w:rPr>
                <w:sz w:val="20"/>
              </w:rPr>
              <w:t>’</w:t>
            </w:r>
            <w:r>
              <w:rPr>
                <w:sz w:val="20"/>
              </w:rPr>
              <w:t>injection (coulis) et autres mélanges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Bétons, mortiers, mélanges d</w:t>
            </w:r>
            <w:r w:rsidR="0090020F">
              <w:rPr>
                <w:b/>
                <w:sz w:val="20"/>
              </w:rPr>
              <w:t>’</w:t>
            </w:r>
            <w:r>
              <w:rPr>
                <w:b/>
                <w:sz w:val="20"/>
              </w:rPr>
              <w:t>injection, adjuvants et additifs</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Bétons produits par des centrales à béton fixes ou mobiles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Béton projeté</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Mélanges destinés à l</w:t>
            </w:r>
            <w:r w:rsidR="0090020F">
              <w:rPr>
                <w:sz w:val="20"/>
              </w:rPr>
              <w:t>’</w:t>
            </w:r>
            <w:r>
              <w:rPr>
                <w:sz w:val="20"/>
              </w:rPr>
              <w:t>injection (coulis) du mortier</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1104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Mortiers industriels destinés à la maçonnerie et autres matières pour maçonnerie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le type: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mortier proposé </w:t>
            </w:r>
            <w:r>
              <w:rPr>
                <w:sz w:val="20"/>
                <w:vertAlign w:val="superscript"/>
              </w:rPr>
              <w:t>g</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mortier dont la composition est </w:t>
            </w:r>
            <w:proofErr w:type="gramStart"/>
            <w:r>
              <w:rPr>
                <w:sz w:val="20"/>
              </w:rPr>
              <w:t>prescrite</w:t>
            </w:r>
            <w:proofErr w:type="gramEnd"/>
            <w:r>
              <w:rPr>
                <w:sz w:val="20"/>
              </w:rPr>
              <w:t xml:space="preserve"> </w:t>
            </w:r>
            <w:r>
              <w:rPr>
                <w:sz w:val="20"/>
                <w:vertAlign w:val="superscript"/>
              </w:rPr>
              <w:t>g</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autres matières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Mortiers industriels destinés au ravalement intérieur et extérieur, produits à base de liants inorganiques, y compris les mortiers d</w:t>
            </w:r>
            <w:r w:rsidR="0090020F">
              <w:rPr>
                <w:sz w:val="20"/>
              </w:rPr>
              <w:t>’</w:t>
            </w:r>
            <w:r>
              <w:rPr>
                <w:sz w:val="20"/>
              </w:rPr>
              <w:t>isolation thermique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Mortiers industriels destinés aux autres ravalements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1107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Adjuvants pour bétons et mortiers, y compris pour le mortier d</w:t>
            </w:r>
            <w:r w:rsidR="0090020F">
              <w:rPr>
                <w:sz w:val="20"/>
              </w:rPr>
              <w:t>’</w:t>
            </w:r>
            <w:r>
              <w:rPr>
                <w:sz w:val="20"/>
              </w:rPr>
              <w:t>injection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 xml:space="preserve">Selon le type: </w:t>
            </w:r>
            <w:r>
              <w:rPr>
                <w:sz w:val="20"/>
                <w:vertAlign w:val="superscript"/>
              </w:rPr>
              <w:t>h</w:t>
            </w:r>
            <w:r>
              <w:rPr>
                <w:sz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type 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type II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1108</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Additifs pour béton, mortier et coulis et additifs pour l</w:t>
            </w:r>
            <w:r w:rsidR="0090020F">
              <w:rPr>
                <w:sz w:val="20"/>
              </w:rPr>
              <w:t>’</w:t>
            </w:r>
            <w:r>
              <w:rPr>
                <w:sz w:val="20"/>
              </w:rPr>
              <w:t>injection de mortier pour armature de précontrainte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Produits pour l</w:t>
            </w:r>
            <w:r w:rsidR="0090020F">
              <w:rPr>
                <w:b/>
                <w:sz w:val="20"/>
              </w:rPr>
              <w:t>’</w:t>
            </w:r>
            <w:r>
              <w:rPr>
                <w:b/>
                <w:sz w:val="20"/>
              </w:rPr>
              <w:t>armature et la précontrainte du béton</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1201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Barres, tiges, bandes d</w:t>
            </w:r>
            <w:r w:rsidR="0090020F">
              <w:rPr>
                <w:sz w:val="20"/>
              </w:rPr>
              <w:t>’</w:t>
            </w:r>
            <w:r>
              <w:rPr>
                <w:sz w:val="20"/>
              </w:rPr>
              <w:t>acier cannelé, réseaux et treillis d</w:t>
            </w:r>
            <w:r w:rsidR="0090020F">
              <w:rPr>
                <w:sz w:val="20"/>
              </w:rPr>
              <w:t>’</w:t>
            </w:r>
            <w:r>
              <w:rPr>
                <w:sz w:val="20"/>
              </w:rPr>
              <w:t>armature en acier pour grandes surfaces ou matériaux composites et produits fabriqués industriellement par façonnage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Fibres destinées à augmenter la solidité des bétons et des mortiers, y compris les mortiers d</w:t>
            </w:r>
            <w:r w:rsidR="0090020F">
              <w:rPr>
                <w:sz w:val="20"/>
              </w:rPr>
              <w:t>’</w:t>
            </w:r>
            <w:r>
              <w:rPr>
                <w:sz w:val="20"/>
              </w:rPr>
              <w:t>injection (renfort dispersé)</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la destination: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bétons et mortiers </w:t>
            </w:r>
            <w:proofErr w:type="spellStart"/>
            <w:r>
              <w:rPr>
                <w:sz w:val="20"/>
              </w:rPr>
              <w:t>structurels</w:t>
            </w:r>
            <w:r>
              <w:rPr>
                <w:sz w:val="20"/>
                <w:vertAlign w:val="superscript"/>
              </w:rPr>
              <w:t>b</w:t>
            </w:r>
            <w:proofErr w:type="spellEnd"/>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les autres bétons et mortiers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1203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Produits de précontrainte, notamment les fils, cordes, tiges filetées, à nervure, plats ou lisses et câbles de précontrainte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1204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pour précontrainte supplémentaire des constructions, hormis les tubes et manchons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lastRenderedPageBreak/>
              <w:t>1205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Tubes et manchons de protection et de guidage des produits de précontrainte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Profilés métalliques, produits plats en métal, pièces moulées et forgées</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1301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Laminés à chaud, formés à froid ou profilés métalliques fabriqués d</w:t>
            </w:r>
            <w:r w:rsidR="0090020F">
              <w:rPr>
                <w:sz w:val="20"/>
              </w:rPr>
              <w:t>’</w:t>
            </w:r>
            <w:r>
              <w:rPr>
                <w:sz w:val="20"/>
              </w:rPr>
              <w:t>une autre façon et de diverses formes (T, L, H, U, Z, I), rigoles, profilés creux, tubes, produits plats (plaques, tôles, bandes), barres (à l</w:t>
            </w:r>
            <w:r w:rsidR="0090020F">
              <w:rPr>
                <w:sz w:val="20"/>
              </w:rPr>
              <w:t>’</w:t>
            </w:r>
            <w:r>
              <w:rPr>
                <w:sz w:val="20"/>
              </w:rPr>
              <w:t>exception des tiges d</w:t>
            </w:r>
            <w:r w:rsidR="0090020F">
              <w:rPr>
                <w:sz w:val="20"/>
              </w:rPr>
              <w:t>’</w:t>
            </w:r>
            <w:r>
              <w:rPr>
                <w:sz w:val="20"/>
              </w:rPr>
              <w:t>armature et de précontrainte), pièces moulées et forgées, non protégées ou protégées par un revêtement anticorrosion, destinés aux structures métalliques de construction ou aux structures métalliques combinant le métal à d</w:t>
            </w:r>
            <w:r w:rsidR="0090020F">
              <w:rPr>
                <w:sz w:val="20"/>
              </w:rPr>
              <w:t>’</w:t>
            </w:r>
            <w:r>
              <w:rPr>
                <w:sz w:val="20"/>
              </w:rPr>
              <w:t>autres matériaux</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Éléments de maçonnerie et produits auxiliaires</w:t>
            </w:r>
          </w:p>
        </w:tc>
      </w:tr>
      <w:tr w:rsidR="00F43CFB" w:rsidRPr="004363D5" w:rsidTr="008E04D0">
        <w:trPr>
          <w:jc w:val="center"/>
        </w:trPr>
        <w:tc>
          <w:tcPr>
            <w:tcW w:w="478" w:type="dxa"/>
            <w:vMerge w:val="restart"/>
          </w:tcPr>
          <w:p w:rsidR="00F43CFB" w:rsidRPr="004363D5" w:rsidRDefault="00F43CFB" w:rsidP="00A358E1">
            <w:pPr>
              <w:pStyle w:val="TableParagraph"/>
              <w:spacing w:before="0" w:line="276" w:lineRule="auto"/>
              <w:ind w:left="0" w:right="30"/>
              <w:rPr>
                <w:sz w:val="20"/>
                <w:szCs w:val="20"/>
              </w:rPr>
            </w:pPr>
            <w:r>
              <w:rPr>
                <w:sz w:val="20"/>
              </w:rPr>
              <w:t>1401</w:t>
            </w:r>
          </w:p>
        </w:tc>
        <w:tc>
          <w:tcPr>
            <w:tcW w:w="5436" w:type="dxa"/>
            <w:vMerge w:val="restart"/>
          </w:tcPr>
          <w:p w:rsidR="00F43CFB" w:rsidRPr="004363D5" w:rsidRDefault="00F43CFB" w:rsidP="00A358E1">
            <w:pPr>
              <w:pStyle w:val="TableParagraph"/>
              <w:spacing w:before="0" w:line="276" w:lineRule="auto"/>
              <w:ind w:left="0" w:right="30"/>
              <w:rPr>
                <w:sz w:val="20"/>
                <w:szCs w:val="20"/>
              </w:rPr>
            </w:pPr>
            <w:r>
              <w:rPr>
                <w:sz w:val="20"/>
              </w:rPr>
              <w:t>Éléments de maçonnerie, éventuellement avec matériaux d</w:t>
            </w:r>
            <w:r w:rsidR="0090020F">
              <w:rPr>
                <w:sz w:val="20"/>
              </w:rPr>
              <w:t>’</w:t>
            </w:r>
            <w:r>
              <w:rPr>
                <w:sz w:val="20"/>
              </w:rPr>
              <w:t>isolation thermique incorporés, d</w:t>
            </w:r>
            <w:r w:rsidR="0090020F">
              <w:rPr>
                <w:sz w:val="20"/>
              </w:rPr>
              <w:t>’</w:t>
            </w:r>
            <w:r>
              <w:rPr>
                <w:sz w:val="20"/>
              </w:rPr>
              <w:t>intérieur ou d</w:t>
            </w:r>
            <w:r w:rsidR="0090020F">
              <w:rPr>
                <w:sz w:val="20"/>
              </w:rPr>
              <w:t>’</w:t>
            </w:r>
            <w:r>
              <w:rPr>
                <w:sz w:val="20"/>
              </w:rPr>
              <w:t>extérieur, sauf les accessoires de coffrage, éléments de pavage, garnitures d</w:t>
            </w:r>
            <w:r w:rsidR="0090020F">
              <w:rPr>
                <w:sz w:val="20"/>
              </w:rPr>
              <w:t>’</w:t>
            </w:r>
            <w:r>
              <w:rPr>
                <w:sz w:val="20"/>
              </w:rPr>
              <w:t>insertion pour cheminées et panneaux d</w:t>
            </w:r>
            <w:r w:rsidR="0090020F">
              <w:rPr>
                <w:sz w:val="20"/>
              </w:rPr>
              <w:t>’</w:t>
            </w:r>
            <w:r>
              <w:rPr>
                <w:sz w:val="20"/>
              </w:rPr>
              <w:t>un étage de hauteur</w:t>
            </w:r>
          </w:p>
        </w:tc>
        <w:tc>
          <w:tcPr>
            <w:tcW w:w="2271" w:type="dxa"/>
            <w:gridSpan w:val="2"/>
          </w:tcPr>
          <w:p w:rsidR="00F43CFB" w:rsidRPr="004363D5" w:rsidRDefault="00F43CFB" w:rsidP="00A358E1">
            <w:pPr>
              <w:pStyle w:val="TableParagraph"/>
              <w:spacing w:before="0" w:line="276" w:lineRule="auto"/>
              <w:ind w:left="0" w:right="30"/>
              <w:rPr>
                <w:sz w:val="20"/>
                <w:szCs w:val="20"/>
              </w:rPr>
            </w:pPr>
            <w:r>
              <w:rPr>
                <w:sz w:val="20"/>
              </w:rPr>
              <w:t xml:space="preserve">Selon la catégorie: </w:t>
            </w:r>
            <w:r>
              <w:rPr>
                <w:sz w:val="20"/>
                <w:vertAlign w:val="superscript"/>
              </w:rPr>
              <w:t>i</w:t>
            </w:r>
            <w:r>
              <w:rPr>
                <w:sz w:val="20"/>
              </w:rPr>
              <w:t>)</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rPr>
              <w:t>catégorie I</w:t>
            </w:r>
          </w:p>
        </w:tc>
        <w:tc>
          <w:tcPr>
            <w:tcW w:w="597" w:type="dxa"/>
          </w:tcPr>
          <w:p w:rsidR="00F43CFB" w:rsidRPr="004363D5" w:rsidRDefault="00F43CFB" w:rsidP="00A358E1">
            <w:pPr>
              <w:pStyle w:val="TableParagraph"/>
              <w:spacing w:before="0" w:line="276" w:lineRule="auto"/>
              <w:ind w:left="0" w:right="30"/>
              <w:rPr>
                <w:sz w:val="20"/>
                <w:szCs w:val="20"/>
              </w:rPr>
            </w:pPr>
            <w:r>
              <w:rPr>
                <w:sz w:val="20"/>
              </w:rPr>
              <w:t>2+</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rPr>
              <w:t>catégorie II</w:t>
            </w:r>
          </w:p>
        </w:tc>
        <w:tc>
          <w:tcPr>
            <w:tcW w:w="597" w:type="dxa"/>
          </w:tcPr>
          <w:p w:rsidR="00F43CFB" w:rsidRPr="004363D5" w:rsidRDefault="00F43CFB" w:rsidP="00A358E1">
            <w:pPr>
              <w:pStyle w:val="TableParagraph"/>
              <w:spacing w:before="0" w:line="276" w:lineRule="auto"/>
              <w:ind w:left="0" w:right="30"/>
              <w:rPr>
                <w:sz w:val="20"/>
                <w:szCs w:val="20"/>
              </w:rPr>
            </w:pPr>
            <w:r>
              <w:rPr>
                <w:sz w:val="20"/>
              </w:rPr>
              <w:t>4</w:t>
            </w:r>
          </w:p>
        </w:tc>
      </w:tr>
      <w:tr w:rsidR="00F43CFB" w:rsidRPr="004363D5" w:rsidTr="008E04D0">
        <w:trPr>
          <w:jc w:val="center"/>
        </w:trPr>
        <w:tc>
          <w:tcPr>
            <w:tcW w:w="478" w:type="dxa"/>
            <w:vMerge/>
          </w:tcPr>
          <w:p w:rsidR="00F43CFB" w:rsidRPr="004363D5" w:rsidRDefault="00F43CFB" w:rsidP="00A358E1">
            <w:pPr>
              <w:pStyle w:val="TableParagraph"/>
              <w:spacing w:before="0" w:line="276" w:lineRule="auto"/>
              <w:ind w:left="0"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2271" w:type="dxa"/>
            <w:gridSpan w:val="2"/>
          </w:tcPr>
          <w:p w:rsidR="00F43CFB" w:rsidRPr="004363D5" w:rsidRDefault="00F43CF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classification selon la nature de la CRF:</w:t>
            </w:r>
            <w:r>
              <w:rPr>
                <w:sz w:val="20"/>
                <w:vertAlign w:val="superscript"/>
              </w:rPr>
              <w:t xml:space="preserve"> j</w:t>
            </w:r>
            <w:r>
              <w:rPr>
                <w:sz w:val="20"/>
              </w:rPr>
              <w:t>)</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F43CFB" w:rsidRPr="004363D5" w:rsidRDefault="00F43CFB" w:rsidP="00A358E1">
            <w:pPr>
              <w:pStyle w:val="TableParagraph"/>
              <w:spacing w:before="0" w:line="276" w:lineRule="auto"/>
              <w:ind w:left="0" w:right="30"/>
              <w:rPr>
                <w:sz w:val="20"/>
                <w:szCs w:val="20"/>
              </w:rPr>
            </w:pPr>
            <w:r>
              <w:rPr>
                <w:sz w:val="20"/>
              </w:rPr>
              <w:t>1</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F43CFB" w:rsidRPr="004363D5" w:rsidRDefault="00F43CFB" w:rsidP="00A358E1">
            <w:pPr>
              <w:pStyle w:val="TableParagraph"/>
              <w:spacing w:before="0" w:line="276" w:lineRule="auto"/>
              <w:ind w:left="0" w:right="30"/>
              <w:rPr>
                <w:sz w:val="20"/>
                <w:szCs w:val="20"/>
              </w:rPr>
            </w:pPr>
            <w:r>
              <w:rPr>
                <w:sz w:val="20"/>
              </w:rPr>
              <w:t>3</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F43CFB" w:rsidRPr="004363D5" w:rsidRDefault="00F43CF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1402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Composants supplémentaires pour la maçonnerie, notamment les clips, coulisses, charnières, triangles de support, consoles, linteaux et armature en acier pour les fentes et les jonctions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Systèmes de coffrage intégrés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1501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Systèmes de coffrage à base de blocs creux (moules) ou panneaux reliés par des entretoises fabriqués à partir de matériaux isolants ou combinant des matériaux isolants avec d</w:t>
            </w:r>
            <w:r w:rsidR="0090020F">
              <w:rPr>
                <w:sz w:val="20"/>
              </w:rPr>
              <w:t>’</w:t>
            </w:r>
            <w:r>
              <w:rPr>
                <w:sz w:val="20"/>
              </w:rPr>
              <w:t>autres matériaux, et qui sont remplis de béton, éventuellement de béton avec armature, pour la construction de parois non porteuses et porteuses intérieures ou extérieures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 xml:space="preserve">article 4, paragraphe 2, point b), D, E, (A1 à E) selon </w:t>
            </w:r>
            <w:r>
              <w:rPr>
                <w:sz w:val="20"/>
              </w:rPr>
              <w:lastRenderedPageBreak/>
              <w:t>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lastRenderedPageBreak/>
              <w:t>1502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Systèmes de coffrage à base de moules en béton ou de panneaux en béton reliés par des entretoises</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En fonction de la charge: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porteur</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non porteur</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Éléments porteurs des structures des bâtiments et du génie civil</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1601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Poutres, tirants, colonnes et dalles préfabriqués de construction </w:t>
            </w:r>
            <w:r>
              <w:rPr>
                <w:sz w:val="20"/>
                <w:vertAlign w:val="superscript"/>
              </w:rPr>
              <w:t>b</w:t>
            </w:r>
            <w:r>
              <w:rPr>
                <w:sz w:val="20"/>
              </w:rPr>
              <w:t>) en béton </w:t>
            </w:r>
            <w:r>
              <w:rPr>
                <w:sz w:val="20"/>
                <w:vertAlign w:val="superscript"/>
              </w:rPr>
              <w:t>c</w:t>
            </w:r>
            <w:r>
              <w:rPr>
                <w:sz w:val="20"/>
              </w:rPr>
              <w:t>) ou en éléments de maçonnerie et métalliques non protégés ou protégés par revêtement contre la corrosion, soudés ou non soudés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1602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Poutres, tirants, colonnes et dalles de construction </w:t>
            </w:r>
            <w:r>
              <w:rPr>
                <w:sz w:val="20"/>
                <w:vertAlign w:val="superscript"/>
              </w:rPr>
              <w:t>b</w:t>
            </w:r>
            <w:r>
              <w:rPr>
                <w:sz w:val="20"/>
              </w:rPr>
              <w:t>) en bois lamellé-collé</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1603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Poutres, tirants, colonnes et dalles de construction </w:t>
            </w:r>
            <w:r>
              <w:rPr>
                <w:sz w:val="20"/>
                <w:vertAlign w:val="superscript"/>
              </w:rPr>
              <w:t>b</w:t>
            </w:r>
            <w:r>
              <w:rPr>
                <w:sz w:val="20"/>
              </w:rPr>
              <w:t>) en bois naturel</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 (A1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1604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Poutres et colonnes composites légères à base de bois, avec au moins un composant structurel à base de bois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1605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Panneaux de construction </w:t>
            </w:r>
            <w:r>
              <w:rPr>
                <w:sz w:val="20"/>
                <w:vertAlign w:val="superscript"/>
              </w:rPr>
              <w:t>b</w:t>
            </w:r>
            <w:r>
              <w:rPr>
                <w:sz w:val="20"/>
              </w:rPr>
              <w:t>) préfabriqués à base de bois sous forme de cartouches fermés ou ouverts, revêtus à l</w:t>
            </w:r>
            <w:r w:rsidR="0090020F">
              <w:rPr>
                <w:sz w:val="20"/>
              </w:rPr>
              <w:t>’</w:t>
            </w:r>
            <w:r>
              <w:rPr>
                <w:sz w:val="20"/>
              </w:rPr>
              <w:t>intérieur ou même à l</w:t>
            </w:r>
            <w:r w:rsidR="0090020F">
              <w:rPr>
                <w:sz w:val="20"/>
              </w:rPr>
              <w:t>’</w:t>
            </w:r>
            <w:r>
              <w:rPr>
                <w:sz w:val="20"/>
              </w:rPr>
              <w:t>extérieur, éventuellement comprenant une membrane, une isolation, des éléments de renforcement et de fixation destinés à la construction de parois, de sols, de toits, etc.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1606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Panneaux en béton </w:t>
            </w:r>
            <w:r>
              <w:rPr>
                <w:sz w:val="20"/>
                <w:vertAlign w:val="superscript"/>
              </w:rPr>
              <w:t>c</w:t>
            </w:r>
            <w:r>
              <w:rPr>
                <w:sz w:val="20"/>
              </w:rPr>
              <w:t>) sans équipement ou avec équipement destinés aux voies ferrées et aux voies électrifiées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1607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Panneaux sandwich de construction </w:t>
            </w:r>
            <w:r>
              <w:rPr>
                <w:sz w:val="20"/>
                <w:vertAlign w:val="superscript"/>
              </w:rPr>
              <w:t>b</w:t>
            </w:r>
            <w:r>
              <w:rPr>
                <w:sz w:val="20"/>
              </w:rPr>
              <w:t>) avec chemise métallique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Autres propriétés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(règlements de sécurité contre l</w:t>
            </w:r>
            <w:r w:rsidR="0090020F">
              <w:rPr>
                <w:sz w:val="20"/>
              </w:rPr>
              <w:t>’</w:t>
            </w:r>
            <w:r>
              <w:rPr>
                <w:sz w:val="20"/>
              </w:rPr>
              <w:t>incendie), avec une classification conformément à la nature de la CRF (classe de réaction au feu):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sensible au changement dans la production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CRF classifiée sans </w:t>
            </w:r>
            <w:r>
              <w:rPr>
                <w:sz w:val="20"/>
              </w:rPr>
              <w:lastRenderedPageBreak/>
              <w:t>essais selon l</w:t>
            </w:r>
            <w:r w:rsidR="0090020F">
              <w:rPr>
                <w:sz w:val="20"/>
              </w:rPr>
              <w:t>’</w:t>
            </w:r>
            <w:r>
              <w:rPr>
                <w:sz w:val="20"/>
              </w:rPr>
              <w:t>article 4, paragraphe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w:t>
            </w:r>
            <w:r w:rsidR="0090020F">
              <w:rPr>
                <w:sz w:val="20"/>
              </w:rPr>
              <w:t>’</w:t>
            </w:r>
            <w:r>
              <w:rPr>
                <w:sz w:val="20"/>
              </w:rPr>
              <w:t>une autre nature que celle précitée selon l</w:t>
            </w:r>
            <w:r w:rsidR="0090020F">
              <w:rPr>
                <w:sz w:val="20"/>
              </w:rPr>
              <w:t>’</w:t>
            </w:r>
            <w:r>
              <w:rPr>
                <w:sz w:val="20"/>
              </w:rPr>
              <w:t>article 4, paragraphe 2, point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Systèmes de bâtiments et de pièces et abris de chantier</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1701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de bâtiments avec ossature en bois ou constitués de poutres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1702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de bâtiments avec structure métallique ou structure-cadre en béton </w:t>
            </w:r>
            <w:r>
              <w:rPr>
                <w:sz w:val="20"/>
                <w:vertAlign w:val="superscript"/>
              </w:rPr>
              <w:t>c</w:t>
            </w:r>
            <w:r>
              <w:rPr>
                <w:sz w:val="20"/>
              </w:rPr>
              <w: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1703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Abris de chantier préfabriqués, sauf garages préfabriqués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1704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de refroidissement sans système frigorifique destinés à être installés à l</w:t>
            </w:r>
            <w:r w:rsidR="0090020F">
              <w:rPr>
                <w:sz w:val="20"/>
              </w:rPr>
              <w:t>’</w:t>
            </w:r>
            <w:r>
              <w:rPr>
                <w:sz w:val="20"/>
              </w:rPr>
              <w:t>intérieur de bâtiments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1705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Garages préfabriqués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Plaques et panneaux en bois et panneaux composites légers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1801</w:t>
            </w:r>
          </w:p>
        </w:tc>
        <w:tc>
          <w:tcPr>
            <w:tcW w:w="5436" w:type="dxa"/>
            <w:vMerge w:val="restart"/>
          </w:tcPr>
          <w:p w:rsidR="00C155AB" w:rsidRPr="004363D5" w:rsidRDefault="00C155AB" w:rsidP="00A358E1">
            <w:pPr>
              <w:pStyle w:val="TableParagraph"/>
              <w:spacing w:before="0" w:line="276" w:lineRule="auto"/>
              <w:ind w:left="0" w:right="30"/>
              <w:jc w:val="both"/>
              <w:rPr>
                <w:sz w:val="20"/>
                <w:szCs w:val="20"/>
              </w:rPr>
            </w:pPr>
            <w:r>
              <w:rPr>
                <w:sz w:val="20"/>
              </w:rPr>
              <w:t>Plaques en bois à base de bois naturel collé, de bois en placage stratifié (LVL), panneaux de contreplaqué, panneaux de particules orientées, panneaux de copeaux (OSB) et de lamelles minces – panneaux d</w:t>
            </w:r>
            <w:r w:rsidR="0090020F">
              <w:rPr>
                <w:sz w:val="20"/>
              </w:rPr>
              <w:t>’</w:t>
            </w:r>
            <w:r>
              <w:rPr>
                <w:sz w:val="20"/>
              </w:rPr>
              <w:t>aggloméré lié au ciment ou à la résine et panneaux de fibres fabriqués par voie humide ou sèche contenant éventuellement des substances chimiques améliorant la réaction au feu et la résistance aux attaques d</w:t>
            </w:r>
            <w:r w:rsidR="0090020F">
              <w:rPr>
                <w:sz w:val="20"/>
              </w:rPr>
              <w:t>’</w:t>
            </w:r>
            <w:r>
              <w:rPr>
                <w:sz w:val="20"/>
              </w:rPr>
              <w:t>agents biotiques</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le besoin et la réaction au feu: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 xml:space="preserve">Éléments structurels </w:t>
            </w:r>
            <w:r>
              <w:rPr>
                <w:sz w:val="20"/>
                <w:vertAlign w:val="superscript"/>
              </w:rPr>
              <w:t>b</w:t>
            </w:r>
            <w:r>
              <w:rPr>
                <w:sz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 (A1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Éléments non porteurs</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1802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Panneaux isolants autoportants (sandwich) avec revêtement métallique double face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 xml:space="preserve">appliquent les RSI, avec une classification </w:t>
            </w:r>
            <w:r>
              <w:rPr>
                <w:sz w:val="20"/>
              </w:rPr>
              <w:lastRenderedPageBreak/>
              <w:t>conformément à la nature de la CRF ou pour un besoin d</w:t>
            </w:r>
            <w:r w:rsidR="0090020F">
              <w:rPr>
                <w:sz w:val="20"/>
              </w:rPr>
              <w:t>’</w:t>
            </w:r>
            <w:r>
              <w:rPr>
                <w:sz w:val="20"/>
              </w:rPr>
              <w:t>essai pour la REE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 (A1FL, A2FL, BFL, CFL)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 (A1FL, A2FL, BFL, CFL) selon l</w:t>
            </w:r>
            <w:r w:rsidR="0090020F">
              <w:rPr>
                <w:sz w:val="20"/>
              </w:rPr>
              <w:t>’</w:t>
            </w:r>
            <w:r>
              <w:rPr>
                <w:sz w:val="20"/>
              </w:rPr>
              <w:t>article 4, paragraphe 2, point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 (A1FL à EFL) selon l</w:t>
            </w:r>
            <w:r w:rsidR="0090020F">
              <w:rPr>
                <w:sz w:val="20"/>
              </w:rPr>
              <w:t>’</w:t>
            </w:r>
            <w:r>
              <w:rPr>
                <w:sz w:val="20"/>
              </w:rPr>
              <w:t>article 4, paragraphe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produits exigeant un essai à la REE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séparation des sections d</w:t>
            </w:r>
            <w:r w:rsidR="0090020F">
              <w:rPr>
                <w:sz w:val="20"/>
              </w:rPr>
              <w:t>’</w:t>
            </w:r>
            <w:r>
              <w:rPr>
                <w:sz w:val="20"/>
              </w:rPr>
              <w:t>incendie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selon les RSD</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1803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Panneaux composites légers autoportants (sauf les produits du groupe 1802) pourvus d</w:t>
            </w:r>
            <w:r w:rsidR="0090020F">
              <w:rPr>
                <w:sz w:val="20"/>
              </w:rPr>
              <w:t>’</w:t>
            </w:r>
            <w:r>
              <w:rPr>
                <w:sz w:val="20"/>
              </w:rPr>
              <w:t>un revêtement constitué de divers matériaux organiques, minéraux ou métalliques sur la face extérieure ou même intérieure, associés éventuellement à un cadre ou une isolation intérieure, et qui sont destinés à la construction de parois intérieures ou extérieures, de plafonds, de toits et de revêtements muraux</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 ou pour un besoin d</w:t>
            </w:r>
            <w:r w:rsidR="0090020F">
              <w:rPr>
                <w:sz w:val="20"/>
              </w:rPr>
              <w:t>’</w:t>
            </w:r>
            <w:r>
              <w:rPr>
                <w:sz w:val="20"/>
              </w:rPr>
              <w:t>essai pour la REE: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 (A1FL, A2FL, BFL, CFL)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 xml:space="preserve">article 4, paragraphe 2, </w:t>
            </w:r>
            <w:r>
              <w:rPr>
                <w:sz w:val="20"/>
              </w:rPr>
              <w:lastRenderedPageBreak/>
              <w:t>point b), D, E, (A1FL, A2FL, BFL, CFL) selon l</w:t>
            </w:r>
            <w:r w:rsidR="0090020F">
              <w:rPr>
                <w:sz w:val="20"/>
              </w:rPr>
              <w:t>’</w:t>
            </w:r>
            <w:r>
              <w:rPr>
                <w:sz w:val="20"/>
              </w:rPr>
              <w:t>article 4, paragraphe 2, point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 (A1FL à EFL) selon l</w:t>
            </w:r>
            <w:r w:rsidR="0090020F">
              <w:rPr>
                <w:sz w:val="20"/>
              </w:rPr>
              <w:t>’</w:t>
            </w:r>
            <w:r>
              <w:rPr>
                <w:sz w:val="20"/>
              </w:rPr>
              <w:t>article 4, paragraphe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produits exigeant un essai à la REE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séparation des sections d</w:t>
            </w:r>
            <w:r w:rsidR="0090020F">
              <w:rPr>
                <w:sz w:val="20"/>
              </w:rPr>
              <w:t>’</w:t>
            </w:r>
            <w:r>
              <w:rPr>
                <w:sz w:val="20"/>
              </w:rPr>
              <w:t>incendie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selon les RSD</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Produits et systèmes d</w:t>
            </w:r>
            <w:r w:rsidR="0090020F">
              <w:rPr>
                <w:b/>
                <w:sz w:val="20"/>
              </w:rPr>
              <w:t>’</w:t>
            </w:r>
            <w:r>
              <w:rPr>
                <w:b/>
                <w:sz w:val="20"/>
              </w:rPr>
              <w:t>isolation thermique</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rPr>
              <w:t>1901</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rPr>
              <w:t>Systèmes d</w:t>
            </w:r>
            <w:r w:rsidR="0090020F">
              <w:rPr>
                <w:sz w:val="20"/>
              </w:rPr>
              <w:t>’</w:t>
            </w:r>
            <w:r>
              <w:rPr>
                <w:sz w:val="20"/>
              </w:rPr>
              <w:t>isolation thermique pour la protection thermique des parois par l</w:t>
            </w:r>
            <w:r w:rsidR="0090020F">
              <w:rPr>
                <w:sz w:val="20"/>
              </w:rPr>
              <w:t>’</w:t>
            </w:r>
            <w:r>
              <w:rPr>
                <w:sz w:val="20"/>
              </w:rPr>
              <w:t>extérieur (ETICS) constitué de plaques d</w:t>
            </w:r>
            <w:r w:rsidR="0090020F">
              <w:rPr>
                <w:sz w:val="20"/>
              </w:rPr>
              <w:t>’</w:t>
            </w:r>
            <w:r>
              <w:rPr>
                <w:sz w:val="20"/>
              </w:rPr>
              <w:t>isolation thermique fixées mécaniquement ou collées</w:t>
            </w:r>
          </w:p>
        </w:tc>
        <w:tc>
          <w:tcPr>
            <w:tcW w:w="1674" w:type="dxa"/>
          </w:tcPr>
          <w:p w:rsidR="00C202C6" w:rsidRPr="004363D5" w:rsidRDefault="00C202C6"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 (2+)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 (1)</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 (A1 à E) selon l</w:t>
            </w:r>
            <w:r w:rsidR="0090020F">
              <w:rPr>
                <w:sz w:val="20"/>
              </w:rPr>
              <w:t>’</w:t>
            </w:r>
            <w:r>
              <w:rPr>
                <w:sz w:val="20"/>
              </w:rPr>
              <w:t>article 4, paragraphe 1, F</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Systèmes d</w:t>
            </w:r>
            <w:r w:rsidR="0090020F">
              <w:rPr>
                <w:sz w:val="20"/>
              </w:rPr>
              <w:t>’</w:t>
            </w:r>
            <w:r>
              <w:rPr>
                <w:sz w:val="20"/>
              </w:rPr>
              <w:t>isolation thermique pour la protection thermique extérieure (vêtures) composés d</w:t>
            </w:r>
            <w:r w:rsidR="0090020F">
              <w:rPr>
                <w:sz w:val="20"/>
              </w:rPr>
              <w:t>’</w:t>
            </w:r>
            <w:r>
              <w:rPr>
                <w:sz w:val="20"/>
              </w:rPr>
              <w:t>éléments de revêtement extérieurs, d</w:t>
            </w:r>
            <w:r w:rsidR="0090020F">
              <w:rPr>
                <w:sz w:val="20"/>
              </w:rPr>
              <w:t>’</w:t>
            </w:r>
            <w:r>
              <w:rPr>
                <w:sz w:val="20"/>
              </w:rPr>
              <w:t>une couche d</w:t>
            </w:r>
            <w:r w:rsidR="0090020F">
              <w:rPr>
                <w:sz w:val="20"/>
              </w:rPr>
              <w:t>’</w:t>
            </w:r>
            <w:r>
              <w:rPr>
                <w:sz w:val="20"/>
              </w:rPr>
              <w:t>isolation thermique et d</w:t>
            </w:r>
            <w:r w:rsidR="0090020F">
              <w:rPr>
                <w:sz w:val="20"/>
              </w:rPr>
              <w:t>’</w:t>
            </w:r>
            <w:r>
              <w:rPr>
                <w:sz w:val="20"/>
              </w:rPr>
              <w:t>éléments de fixation</w:t>
            </w:r>
            <w:r w:rsidR="00BE6967">
              <w:rPr>
                <w:sz w:val="20"/>
              </w:rPr>
              <w:t>.</w:t>
            </w:r>
            <w:r>
              <w:rPr>
                <w:sz w:val="20"/>
              </w:rPr>
              <w:t xml:space="preserve"> Les éléments de revêtement peuvent être livrés en étant déjà associés à la couche d</w:t>
            </w:r>
            <w:r w:rsidR="0090020F">
              <w:rPr>
                <w:sz w:val="20"/>
              </w:rPr>
              <w:t>’</w:t>
            </w:r>
            <w:r>
              <w:rPr>
                <w:sz w:val="20"/>
              </w:rPr>
              <w:t>isolation ou ces éléments peuvent être montés sur le chantier</w:t>
            </w:r>
            <w:r w:rsidR="0081408E">
              <w:rPr>
                <w:sz w:val="20"/>
              </w:rPr>
              <w:t>.</w:t>
            </w:r>
            <w:r>
              <w:rPr>
                <w:sz w:val="20"/>
              </w:rPr>
              <w:t xml:space="preserve"> Ils doivent être fixés de sorte qu</w:t>
            </w:r>
            <w:r w:rsidR="0090020F">
              <w:rPr>
                <w:sz w:val="20"/>
              </w:rPr>
              <w:t>’</w:t>
            </w:r>
            <w:r>
              <w:rPr>
                <w:sz w:val="20"/>
              </w:rPr>
              <w:t>il n</w:t>
            </w:r>
            <w:r w:rsidR="0090020F">
              <w:rPr>
                <w:sz w:val="20"/>
              </w:rPr>
              <w:t>’</w:t>
            </w:r>
            <w:r>
              <w:rPr>
                <w:sz w:val="20"/>
              </w:rPr>
              <w:t>y ait aucune couche d</w:t>
            </w:r>
            <w:r w:rsidR="0090020F">
              <w:rPr>
                <w:sz w:val="20"/>
              </w:rPr>
              <w:t>’</w:t>
            </w:r>
            <w:r>
              <w:rPr>
                <w:sz w:val="20"/>
              </w:rPr>
              <w:t>air entre la couche d</w:t>
            </w:r>
            <w:r w:rsidR="0090020F">
              <w:rPr>
                <w:sz w:val="20"/>
              </w:rPr>
              <w:t>’</w:t>
            </w:r>
            <w:r>
              <w:rPr>
                <w:sz w:val="20"/>
              </w:rPr>
              <w:t>isolation et la paroi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(A1, A2, B, C) </w:t>
            </w:r>
            <w:r>
              <w:rPr>
                <w:sz w:val="20"/>
              </w:rPr>
              <w:lastRenderedPageBreak/>
              <w:t>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III (3)</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rPr>
              <w:lastRenderedPageBreak/>
              <w:t>1903</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1904</w:t>
            </w:r>
          </w:p>
          <w:p w:rsidR="00A065E5" w:rsidRPr="004363D5" w:rsidRDefault="00A065E5" w:rsidP="00A358E1">
            <w:pPr>
              <w:pStyle w:val="TableParagraph"/>
              <w:spacing w:before="0" w:line="276" w:lineRule="auto"/>
              <w:ind w:left="0" w:right="30"/>
              <w:rPr>
                <w:sz w:val="20"/>
                <w:szCs w:val="20"/>
              </w:rPr>
            </w:pPr>
          </w:p>
          <w:p w:rsidR="00A065E5" w:rsidRDefault="00A065E5" w:rsidP="00A358E1">
            <w:pPr>
              <w:pStyle w:val="TableParagraph"/>
              <w:spacing w:before="0" w:line="276" w:lineRule="auto"/>
              <w:ind w:left="0" w:right="30"/>
              <w:rPr>
                <w:sz w:val="20"/>
                <w:szCs w:val="20"/>
              </w:rPr>
            </w:pPr>
          </w:p>
          <w:p w:rsidR="001C343E" w:rsidRPr="004363D5" w:rsidRDefault="001C343E"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1905</w:t>
            </w:r>
          </w:p>
          <w:p w:rsidR="00A065E5" w:rsidRPr="004363D5" w:rsidRDefault="00A065E5" w:rsidP="00A358E1">
            <w:pPr>
              <w:pStyle w:val="TableParagraph"/>
              <w:spacing w:before="0" w:line="276" w:lineRule="auto"/>
              <w:ind w:left="0" w:right="30"/>
              <w:rPr>
                <w:sz w:val="20"/>
                <w:szCs w:val="20"/>
              </w:rPr>
            </w:pPr>
          </w:p>
          <w:p w:rsidR="00A065E5" w:rsidRDefault="00A065E5" w:rsidP="00A358E1">
            <w:pPr>
              <w:pStyle w:val="TableParagraph"/>
              <w:spacing w:before="0" w:line="276" w:lineRule="auto"/>
              <w:ind w:left="0" w:right="30"/>
              <w:rPr>
                <w:sz w:val="20"/>
                <w:szCs w:val="20"/>
              </w:rPr>
            </w:pPr>
          </w:p>
          <w:p w:rsidR="001C343E" w:rsidRPr="004363D5" w:rsidRDefault="001C343E"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1906</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rPr>
              <w:t>Produits d</w:t>
            </w:r>
            <w:r w:rsidR="0090020F">
              <w:rPr>
                <w:sz w:val="20"/>
              </w:rPr>
              <w:t>’</w:t>
            </w:r>
            <w:r>
              <w:rPr>
                <w:sz w:val="20"/>
              </w:rPr>
              <w:t>isolation thermique sous forme de plaques, nattes, bandes roulées ou sous une autre forme et destinés aux bâtiments</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Produits d</w:t>
            </w:r>
            <w:r w:rsidR="0090020F">
              <w:rPr>
                <w:sz w:val="20"/>
              </w:rPr>
              <w:t>’</w:t>
            </w:r>
            <w:r>
              <w:rPr>
                <w:sz w:val="20"/>
              </w:rPr>
              <w:t>isolation thermique formés ou appliqués sur place à partir de matériaux versés, soufflés ou en mousse et destinés aux bâtiments</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Produits d</w:t>
            </w:r>
            <w:r w:rsidR="0090020F">
              <w:rPr>
                <w:sz w:val="20"/>
              </w:rPr>
              <w:t>’</w:t>
            </w:r>
            <w:r>
              <w:rPr>
                <w:sz w:val="20"/>
              </w:rPr>
              <w:t>isolation thermique sous diverses formes, destinés aux équipements techniques des bâtiments et des installations industrielles</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Produits d</w:t>
            </w:r>
            <w:r w:rsidR="0090020F">
              <w:rPr>
                <w:sz w:val="20"/>
              </w:rPr>
              <w:t>’</w:t>
            </w:r>
            <w:r>
              <w:rPr>
                <w:sz w:val="20"/>
              </w:rPr>
              <w:t>isolation thermique destinés aux voies terrestres, chemins de fer et pour d</w:t>
            </w:r>
            <w:r w:rsidR="0090020F">
              <w:rPr>
                <w:sz w:val="20"/>
              </w:rPr>
              <w:t>’</w:t>
            </w:r>
            <w:r>
              <w:rPr>
                <w:sz w:val="20"/>
              </w:rPr>
              <w:t>autres utilisations dans le bâtiment (pour une isolation légère et antigel de remplissage, pour réduire la pression de la terre sur les murs de soutien et les piliers des ponts, pour la répartition de la charge appliquée sur des tuyaux mis en sous-sol dans des canaux, etc.)</w:t>
            </w:r>
          </w:p>
        </w:tc>
        <w:tc>
          <w:tcPr>
            <w:tcW w:w="1674" w:type="dxa"/>
          </w:tcPr>
          <w:p w:rsidR="00A065E5" w:rsidRPr="004363D5" w:rsidRDefault="00A065E5"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 (1)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IV (4)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Revêtements légers périphériques et systèmes de toiture autoportants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2001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Parois suspendues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Parois structurelles </w:t>
            </w:r>
            <w:r>
              <w:rPr>
                <w:sz w:val="20"/>
                <w:vertAlign w:val="superscript"/>
              </w:rPr>
              <w:t>b</w:t>
            </w:r>
            <w:r>
              <w:rPr>
                <w:sz w:val="20"/>
              </w:rPr>
              <w:t>) collées avec façade en verre ou toits pourvus du même système avec une inclinaison minimale de 7°, avec transfert de son propre poids et des autres forces agissantes (par exemple, le vent et la neige) vers le cadre de support et d</w:t>
            </w:r>
            <w:r w:rsidR="0090020F">
              <w:rPr>
                <w:sz w:val="20"/>
              </w:rPr>
              <w:t>’</w:t>
            </w:r>
            <w:r>
              <w:rPr>
                <w:sz w:val="20"/>
              </w:rPr>
              <w:t>étanchéité, puis vers la structure du bâtiment</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 xml:space="preserve">Selon le type: </w:t>
            </w:r>
            <w:r>
              <w:rPr>
                <w:sz w:val="20"/>
                <w:vertAlign w:val="superscript"/>
              </w:rPr>
              <w:t>k</w:t>
            </w:r>
            <w:r>
              <w:rPr>
                <w:sz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types I et III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types II et IV</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2003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Systèmes de toiture translucides autoportants, sauf les ensembles à base de verre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 xml:space="preserve">appliquent les RSI, avec une classification conformément à la nature de la CRF ou pour un </w:t>
            </w:r>
            <w:r>
              <w:rPr>
                <w:sz w:val="20"/>
              </w:rPr>
              <w:lastRenderedPageBreak/>
              <w:t>besoin d</w:t>
            </w:r>
            <w:r w:rsidR="0090020F">
              <w:rPr>
                <w:sz w:val="20"/>
              </w:rPr>
              <w:t>’</w:t>
            </w:r>
            <w:r>
              <w:rPr>
                <w:sz w:val="20"/>
              </w:rPr>
              <w:t>essai pour la REE: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produits exigeant un essai à la REE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produits n</w:t>
            </w:r>
            <w:r w:rsidR="0090020F">
              <w:rPr>
                <w:sz w:val="20"/>
              </w:rPr>
              <w:t>’</w:t>
            </w:r>
            <w:r>
              <w:rPr>
                <w:sz w:val="20"/>
              </w:rPr>
              <w:t>exigeant pas un essai à la REE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F90EC5">
        <w:trPr>
          <w:jc w:val="center"/>
        </w:trPr>
        <w:tc>
          <w:tcPr>
            <w:tcW w:w="8185" w:type="dxa"/>
            <w:gridSpan w:val="4"/>
          </w:tcPr>
          <w:p w:rsidR="00C202C6" w:rsidRPr="004363D5" w:rsidRDefault="00C155AB" w:rsidP="0060285B">
            <w:pPr>
              <w:pStyle w:val="TableParagraph"/>
              <w:keepNext/>
              <w:spacing w:before="0" w:line="276" w:lineRule="auto"/>
              <w:ind w:left="0" w:right="29"/>
              <w:jc w:val="center"/>
              <w:rPr>
                <w:b/>
                <w:sz w:val="20"/>
                <w:szCs w:val="20"/>
              </w:rPr>
            </w:pPr>
            <w:r>
              <w:rPr>
                <w:b/>
                <w:sz w:val="20"/>
              </w:rPr>
              <w:t>Toitures empilées, fenêtres et lucarnes de toit</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rPr>
              <w:t>2101</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2102</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2103</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2104</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rPr>
              <w:t>Tuiles de toit, tuiles plates, ondulées, bardeaux et raccords, en céramique, béton, fibre-ciment, ardoise, pierre, plastique, asphalte, etc.</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Planchettes plates et formées en tôles métalliques, plastique, etc.</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Panneaux de toit en composite et panneaux sandwich fabriqués industriellement, avec ou sans isolation</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Fenêtres et lucarnes de toit</w:t>
            </w:r>
          </w:p>
        </w:tc>
        <w:tc>
          <w:tcPr>
            <w:tcW w:w="1674" w:type="dxa"/>
          </w:tcPr>
          <w:p w:rsidR="00C202C6" w:rsidRPr="004363D5" w:rsidRDefault="00C202C6"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IV (4) III (3)</w:t>
            </w:r>
            <w:r>
              <w:rPr>
                <w:sz w:val="20"/>
                <w:vertAlign w:val="superscript"/>
              </w:rPr>
              <w:t>l</w:t>
            </w:r>
            <w:r>
              <w:rPr>
                <w:sz w:val="20"/>
              </w:rPr>
              <w:t>)</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 ou pour un besoin d</w:t>
            </w:r>
            <w:r w:rsidR="0090020F">
              <w:rPr>
                <w:sz w:val="20"/>
              </w:rPr>
              <w:t>’</w:t>
            </w:r>
            <w:r>
              <w:rPr>
                <w:sz w:val="20"/>
              </w:rPr>
              <w:t>essai pour la REE:</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 (1)</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IV (4)</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produits exigeant un essai à la REE</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produits n</w:t>
            </w:r>
            <w:r w:rsidR="0090020F">
              <w:rPr>
                <w:sz w:val="20"/>
              </w:rPr>
              <w:t>’</w:t>
            </w:r>
            <w:r>
              <w:rPr>
                <w:sz w:val="20"/>
              </w:rPr>
              <w:t>exigeant pas un essai à la REE</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IV (4)</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Pour une utilisation dans les zones incendie</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Pour une utilisation contribuant à la rigidité du toit</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Pour une utilisation selon les RSD</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lastRenderedPageBreak/>
              <w:t>Produits à membrane et coulés de toiture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2201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Barrières contre la vapeur et couches perméables à la vapeur, couches de base du toit et couches de revêtement du toit et autres revêtements en membrane du toit</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Remarque: Les produits sont inclus dans les groupes 0403, 0404 et 0405</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Systèmes d</w:t>
            </w:r>
            <w:r w:rsidR="0090020F">
              <w:rPr>
                <w:sz w:val="20"/>
              </w:rPr>
              <w:t>’</w:t>
            </w:r>
            <w:r>
              <w:rPr>
                <w:sz w:val="20"/>
              </w:rPr>
              <w:t>étanchéité de toiture appliqués dans un état liquide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 ou pour un besoin d</w:t>
            </w:r>
            <w:r w:rsidR="0090020F">
              <w:rPr>
                <w:sz w:val="20"/>
              </w:rPr>
              <w:t>’</w:t>
            </w:r>
            <w:r>
              <w:rPr>
                <w:sz w:val="20"/>
              </w:rPr>
              <w:t>essai pour la REE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produits exigeant un essai à la REE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produits n</w:t>
            </w:r>
            <w:r w:rsidR="0090020F">
              <w:rPr>
                <w:sz w:val="20"/>
              </w:rPr>
              <w:t>’</w:t>
            </w:r>
            <w:r>
              <w:rPr>
                <w:sz w:val="20"/>
              </w:rPr>
              <w:t>exigeant pas un essai à la REE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selon les RSD</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2203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Systèmes d</w:t>
            </w:r>
            <w:r w:rsidR="0090020F">
              <w:rPr>
                <w:sz w:val="20"/>
              </w:rPr>
              <w:t>’</w:t>
            </w:r>
            <w:r>
              <w:rPr>
                <w:sz w:val="20"/>
              </w:rPr>
              <w:t>étanchéité de toiture appliqués sur site par versement d</w:t>
            </w:r>
            <w:r w:rsidR="0090020F">
              <w:rPr>
                <w:sz w:val="20"/>
              </w:rPr>
              <w:t>’</w:t>
            </w:r>
            <w:r>
              <w:rPr>
                <w:sz w:val="20"/>
              </w:rPr>
              <w:t>asphalte ou pulvérisation de mousse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 ou pour un besoin d</w:t>
            </w:r>
            <w:r w:rsidR="0090020F">
              <w:rPr>
                <w:sz w:val="20"/>
              </w:rPr>
              <w:t>’</w:t>
            </w:r>
            <w:r>
              <w:rPr>
                <w:sz w:val="20"/>
              </w:rPr>
              <w:t>essai pour la REE: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produits exigeant un </w:t>
            </w:r>
            <w:r>
              <w:rPr>
                <w:sz w:val="20"/>
              </w:rPr>
              <w:lastRenderedPageBreak/>
              <w:t>essai à la REE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produits n</w:t>
            </w:r>
            <w:r w:rsidR="0090020F">
              <w:rPr>
                <w:sz w:val="20"/>
              </w:rPr>
              <w:t>’</w:t>
            </w:r>
            <w:r>
              <w:rPr>
                <w:sz w:val="20"/>
              </w:rPr>
              <w:t>exigeant pas un essai à la REE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selon les RSD</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2204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de couches de couverture étanches et flexibles fixées mécaniquement, y compris leurs systèmes de fixation, de liaison et les bordures, éventuellement incluant une isolation thermique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2205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w:t>
            </w:r>
            <w:r w:rsidR="0090020F">
              <w:rPr>
                <w:sz w:val="20"/>
              </w:rPr>
              <w:t>’</w:t>
            </w:r>
            <w:r>
              <w:rPr>
                <w:sz w:val="20"/>
              </w:rPr>
              <w:t>étanchéité et/ou d</w:t>
            </w:r>
            <w:r w:rsidR="0090020F">
              <w:rPr>
                <w:sz w:val="20"/>
              </w:rPr>
              <w:t>’</w:t>
            </w:r>
            <w:r>
              <w:rPr>
                <w:sz w:val="20"/>
              </w:rPr>
              <w:t>isolation thermique collés de toiture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2206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Ensembles d</w:t>
            </w:r>
            <w:r w:rsidR="0090020F">
              <w:rPr>
                <w:sz w:val="20"/>
              </w:rPr>
              <w:t>’</w:t>
            </w:r>
            <w:r>
              <w:rPr>
                <w:sz w:val="20"/>
              </w:rPr>
              <w:t>isolation de toiture inversés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Accessoires de toit et autres produits destinés à la toiture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2301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w:t>
            </w:r>
            <w:r w:rsidR="0090020F">
              <w:rPr>
                <w:sz w:val="20"/>
              </w:rPr>
              <w:t>’</w:t>
            </w:r>
            <w:r>
              <w:rPr>
                <w:sz w:val="20"/>
              </w:rPr>
              <w:t>accès au toit, notamment les passerelles et les marches, les zones d</w:t>
            </w:r>
            <w:r w:rsidR="0090020F">
              <w:rPr>
                <w:sz w:val="20"/>
              </w:rPr>
              <w:t>’</w:t>
            </w:r>
            <w:r>
              <w:rPr>
                <w:sz w:val="20"/>
              </w:rPr>
              <w:t>accès, les crochets de sécurité du toit et les éléments métalliques destinés à l</w:t>
            </w:r>
            <w:r w:rsidR="0090020F">
              <w:rPr>
                <w:sz w:val="20"/>
              </w:rPr>
              <w:t>’</w:t>
            </w:r>
            <w:r>
              <w:rPr>
                <w:sz w:val="20"/>
              </w:rPr>
              <w:t>entretien et à la réparation du toit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2302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Dalles de toit, crêtes, cornières embouties, clips de toiture, corniches et faux plafond de la toiture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2303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Plaques d</w:t>
            </w:r>
            <w:r w:rsidR="0090020F">
              <w:rPr>
                <w:sz w:val="20"/>
              </w:rPr>
              <w:t>’</w:t>
            </w:r>
            <w:r>
              <w:rPr>
                <w:sz w:val="20"/>
              </w:rPr>
              <w:t>assise rigides et plates ou profilées placées sous une toiture assemblée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selon les RSD</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Portes, portails et ferrures</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2401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Portes coupe-feu / antifumée et portails avec ou sans ferrures destinés aux structures de séparation des sections d</w:t>
            </w:r>
            <w:r w:rsidR="0090020F">
              <w:rPr>
                <w:sz w:val="20"/>
              </w:rPr>
              <w:t>’</w:t>
            </w:r>
            <w:r>
              <w:rPr>
                <w:sz w:val="20"/>
              </w:rPr>
              <w:t>incendie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2402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Portes et portails avec ou sans ferrures destinés aux voies d</w:t>
            </w:r>
            <w:r w:rsidR="0090020F">
              <w:rPr>
                <w:sz w:val="20"/>
              </w:rPr>
              <w:t>’</w:t>
            </w:r>
            <w:r>
              <w:rPr>
                <w:sz w:val="20"/>
              </w:rPr>
              <w:t>évacuation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2403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Ferrures de construction (charnières, fermetures, dispositifs de fermeture, etc.) destinées aux portes coupe-feu / antifumée et aux portes des voies de secours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2404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Portes et portails avec ou sans ferrures dont l</w:t>
            </w:r>
            <w:r w:rsidR="0090020F">
              <w:rPr>
                <w:sz w:val="20"/>
              </w:rPr>
              <w:t>’</w:t>
            </w:r>
            <w:r>
              <w:rPr>
                <w:sz w:val="20"/>
              </w:rPr>
              <w:t>utilisation déclarée est conditionnée au respect d</w:t>
            </w:r>
            <w:r w:rsidR="0090020F">
              <w:rPr>
                <w:sz w:val="20"/>
              </w:rPr>
              <w:t>’</w:t>
            </w:r>
            <w:r>
              <w:rPr>
                <w:sz w:val="20"/>
              </w:rPr>
              <w:t>exigences spécifiques, notamment concernant l</w:t>
            </w:r>
            <w:r w:rsidR="0090020F">
              <w:rPr>
                <w:sz w:val="20"/>
              </w:rPr>
              <w:t>’</w:t>
            </w:r>
            <w:r>
              <w:rPr>
                <w:sz w:val="20"/>
              </w:rPr>
              <w:t>isolation sonore et thermique, l</w:t>
            </w:r>
            <w:r w:rsidR="0090020F">
              <w:rPr>
                <w:sz w:val="20"/>
              </w:rPr>
              <w:t>’</w:t>
            </w:r>
            <w:r>
              <w:rPr>
                <w:sz w:val="20"/>
              </w:rPr>
              <w:t>étanchéité et la sécurité d</w:t>
            </w:r>
            <w:r w:rsidR="0090020F">
              <w:rPr>
                <w:sz w:val="20"/>
              </w:rPr>
              <w:t>’</w:t>
            </w:r>
            <w:r>
              <w:rPr>
                <w:sz w:val="20"/>
              </w:rPr>
              <w:t>utilisation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2405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 xml:space="preserve">Portes et portails, avec ou sans ferrures, pour une utilisation à </w:t>
            </w:r>
            <w:r>
              <w:rPr>
                <w:sz w:val="20"/>
              </w:rPr>
              <w:lastRenderedPageBreak/>
              <w:t>l</w:t>
            </w:r>
            <w:r w:rsidR="0090020F">
              <w:rPr>
                <w:sz w:val="20"/>
              </w:rPr>
              <w:t>’</w:t>
            </w:r>
            <w:r>
              <w:rPr>
                <w:sz w:val="20"/>
              </w:rPr>
              <w:t>intérieur, séparant des espaces de même nature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lastRenderedPageBreak/>
              <w:t>Fenêtres</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2501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Fenêtres coupe-feu / antifumée, avec ou sans ferrures, destinées aux structures de séparation des sections d</w:t>
            </w:r>
            <w:r w:rsidR="0090020F">
              <w:rPr>
                <w:sz w:val="20"/>
              </w:rPr>
              <w:t>’</w:t>
            </w:r>
            <w:r>
              <w:rPr>
                <w:sz w:val="20"/>
              </w:rPr>
              <w:t>incendie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2502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Fenêtres avec ou sans ferrures destinées aux voies d</w:t>
            </w:r>
            <w:r w:rsidR="0090020F">
              <w:rPr>
                <w:sz w:val="20"/>
              </w:rPr>
              <w:t>’</w:t>
            </w:r>
            <w:r>
              <w:rPr>
                <w:sz w:val="20"/>
              </w:rPr>
              <w:t>évacuation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2503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Autres fenêtres avec ou sans ferrures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Volets et stores</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2601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Volets et stores avec ou sans ferrures pour une utilisation extérieure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Produits spécifiques en verre, matériaux similaires au verre et matériaux de vitrage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2701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Vitres plates ou courbées, vitres profilées avec ou sans grillage métallique incorporé, vitrage isolant, briques de verre et panneaux constitués de briques de verre pour systèmes de vitrage, panneaux muraux composés de blocs de verre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En fonction des propriétés spécifiques ou selon la destination: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résistant au feu</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résistant aux impacts et/ou à une explosion</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sûr (contre le risque d</w:t>
            </w:r>
            <w:r w:rsidR="0090020F">
              <w:rPr>
                <w:sz w:val="20"/>
              </w:rPr>
              <w:t>’</w:t>
            </w:r>
            <w:r>
              <w:rPr>
                <w:sz w:val="20"/>
              </w:rPr>
              <w:t>accident)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avec isolation thermique et/ou insonorisation</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 ou pour un besoin d</w:t>
            </w:r>
            <w:r w:rsidR="0090020F">
              <w:rPr>
                <w:sz w:val="20"/>
              </w:rPr>
              <w:t>’</w:t>
            </w:r>
            <w:r>
              <w:rPr>
                <w:sz w:val="20"/>
              </w:rPr>
              <w:t>essai pour la REE: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produits exigeant un essai à la REE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2702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Carreaux plats et courbés dont le matériau est similaire au verre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En fonction des propriétés spécifiques ou selon la destination: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résistant au feu</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résistant aux impacts et/ou à une explosion</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sûr (contre le risque d</w:t>
            </w:r>
            <w:r w:rsidR="0090020F">
              <w:rPr>
                <w:sz w:val="20"/>
              </w:rPr>
              <w:t>’</w:t>
            </w:r>
            <w:r>
              <w:rPr>
                <w:sz w:val="20"/>
              </w:rPr>
              <w:t>accident)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avec isolation thermique et/ou </w:t>
            </w:r>
            <w:r>
              <w:rPr>
                <w:sz w:val="20"/>
              </w:rPr>
              <w:lastRenderedPageBreak/>
              <w:t>insonorisation</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 ou pour un besoin d</w:t>
            </w:r>
            <w:r w:rsidR="0090020F">
              <w:rPr>
                <w:sz w:val="20"/>
              </w:rPr>
              <w:t>’</w:t>
            </w:r>
            <w:r>
              <w:rPr>
                <w:sz w:val="20"/>
              </w:rPr>
              <w:t>essai pour la REE: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produits exigeant un essai à la REE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2703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Mastics de vitrage, à l</w:t>
            </w:r>
            <w:r w:rsidR="0090020F">
              <w:rPr>
                <w:sz w:val="20"/>
              </w:rPr>
              <w:t>’</w:t>
            </w:r>
            <w:r>
              <w:rPr>
                <w:sz w:val="20"/>
              </w:rPr>
              <w:t>exception du mastic pour aquariums, le vitrage structurel </w:t>
            </w:r>
            <w:r>
              <w:rPr>
                <w:sz w:val="20"/>
                <w:vertAlign w:val="superscript"/>
              </w:rPr>
              <w:t>b</w:t>
            </w:r>
            <w:r>
              <w:rPr>
                <w:sz w:val="20"/>
              </w:rPr>
              <w:t xml:space="preserve">), le scellement de vitres isolantes, le vitrage horizontal incliné à &lt; 70, le scellement de vitres organiques en polycarbonate, en </w:t>
            </w:r>
            <w:proofErr w:type="spellStart"/>
            <w:r>
              <w:rPr>
                <w:sz w:val="20"/>
              </w:rPr>
              <w:t>polyméthylméthacrylate</w:t>
            </w:r>
            <w:proofErr w:type="spellEnd"/>
            <w:r>
              <w:rPr>
                <w:sz w:val="20"/>
              </w:rPr>
              <w:t>, etc.</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2704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 xml:space="preserve">Mastics pour scellement de vitres organiques en polycarbonate, en </w:t>
            </w:r>
            <w:proofErr w:type="spellStart"/>
            <w:r>
              <w:rPr>
                <w:sz w:val="20"/>
              </w:rPr>
              <w:t>polyméthylméthacrylate</w:t>
            </w:r>
            <w:proofErr w:type="spellEnd"/>
            <w:r>
              <w:rPr>
                <w:sz w:val="20"/>
              </w:rPr>
              <w:t>, etc.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Escaliers préfabriqués et systèmes d</w:t>
            </w:r>
            <w:r w:rsidR="0090020F">
              <w:rPr>
                <w:b/>
                <w:sz w:val="20"/>
              </w:rPr>
              <w:t>’</w:t>
            </w:r>
            <w:r>
              <w:rPr>
                <w:b/>
                <w:sz w:val="20"/>
              </w:rPr>
              <w:t>escaliers</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rPr>
              <w:t>2801</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rPr>
              <w:t>Systèmes d</w:t>
            </w:r>
            <w:r w:rsidR="0090020F">
              <w:rPr>
                <w:sz w:val="20"/>
              </w:rPr>
              <w:t>’</w:t>
            </w:r>
            <w:r>
              <w:rPr>
                <w:sz w:val="20"/>
              </w:rPr>
              <w:t>escaliers complets préfabriqués (à l</w:t>
            </w:r>
            <w:r w:rsidR="0090020F">
              <w:rPr>
                <w:sz w:val="20"/>
              </w:rPr>
              <w:t>’</w:t>
            </w:r>
            <w:r>
              <w:rPr>
                <w:sz w:val="20"/>
              </w:rPr>
              <w:t>exception des escaliers des combles et des caves)</w:t>
            </w:r>
          </w:p>
        </w:tc>
        <w:tc>
          <w:tcPr>
            <w:tcW w:w="1674" w:type="dxa"/>
          </w:tcPr>
          <w:p w:rsidR="00C202C6" w:rsidRPr="004363D5" w:rsidRDefault="00C202C6"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 (2+)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 (1)</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rPr>
              <w:t>2802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 xml:space="preserve">Escaliers préfabriqués en béton </w:t>
            </w:r>
            <w:r>
              <w:rPr>
                <w:sz w:val="20"/>
                <w:vertAlign w:val="superscript"/>
              </w:rPr>
              <w:t>c</w:t>
            </w:r>
            <w:r>
              <w:rPr>
                <w:sz w:val="20"/>
              </w:rPr>
              <w: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2803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 xml:space="preserve">Dalles de béton, </w:t>
            </w:r>
            <w:proofErr w:type="spellStart"/>
            <w:r>
              <w:rPr>
                <w:sz w:val="20"/>
              </w:rPr>
              <w:t>terrazzo</w:t>
            </w:r>
            <w:proofErr w:type="spellEnd"/>
            <w:r>
              <w:rPr>
                <w:sz w:val="20"/>
              </w:rPr>
              <w:t>, etc. pour marches d</w:t>
            </w:r>
            <w:r w:rsidR="0090020F">
              <w:rPr>
                <w:sz w:val="20"/>
              </w:rPr>
              <w:t>’</w:t>
            </w:r>
            <w:r>
              <w:rPr>
                <w:sz w:val="20"/>
              </w:rPr>
              <w:t>escalier à l</w:t>
            </w:r>
            <w:r w:rsidR="0090020F">
              <w:rPr>
                <w:sz w:val="20"/>
              </w:rPr>
              <w:t>’</w:t>
            </w:r>
            <w:r>
              <w:rPr>
                <w:sz w:val="20"/>
              </w:rPr>
              <w:t>intérieur et à l</w:t>
            </w:r>
            <w:r w:rsidR="0090020F">
              <w:rPr>
                <w:sz w:val="20"/>
              </w:rPr>
              <w:t>’</w:t>
            </w:r>
            <w:r>
              <w:rPr>
                <w:sz w:val="20"/>
              </w:rPr>
              <w:t>extérieur</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En fonction de la charge: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porteur</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non porteur</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Systèmes de cloisonnement et ciments pour cloisons et parois intérieures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2901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Systèmes de cloisons autoportants pour une installation fixe ou démontable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séparation des sections d</w:t>
            </w:r>
            <w:r w:rsidR="0090020F">
              <w:rPr>
                <w:sz w:val="20"/>
              </w:rPr>
              <w:t>’</w:t>
            </w:r>
            <w:r>
              <w:rPr>
                <w:sz w:val="20"/>
              </w:rPr>
              <w:t>incendie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Sûr (contre le risque d</w:t>
            </w:r>
            <w:r w:rsidR="0090020F">
              <w:rPr>
                <w:sz w:val="20"/>
              </w:rPr>
              <w:t>’</w:t>
            </w:r>
            <w:r>
              <w:rPr>
                <w:sz w:val="20"/>
              </w:rPr>
              <w:t>accident)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selon les RSD</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Ciments pour cloisons et parois intérieures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lastRenderedPageBreak/>
              <w:t>Produits en plâtre pour parois, cloisons et plafonds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3001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Raccords en plâtre et colles à base de plâtre pour des cloisons non portantes, pour revêtement mural et pour la protection contre les incendies (raccords non destinés aux plafonds)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la protection contre l</w:t>
            </w:r>
            <w:r w:rsidR="0090020F">
              <w:rPr>
                <w:sz w:val="20"/>
              </w:rPr>
              <w:t>’</w:t>
            </w:r>
            <w:r>
              <w:rPr>
                <w:sz w:val="20"/>
              </w:rPr>
              <w:t>incendie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Cloison sèche et élément pour le plafond avec finition fine en surface, plaques de plâtre et de fibres et panneaux composites (stratifiés) et crépi de plâtre, y compris leurs produits accessoires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la protection contre l</w:t>
            </w:r>
            <w:r w:rsidR="0090020F">
              <w:rPr>
                <w:sz w:val="20"/>
              </w:rPr>
              <w:t>’</w:t>
            </w:r>
            <w:r>
              <w:rPr>
                <w:sz w:val="20"/>
              </w:rPr>
              <w:t>incendie des éléments structurels et pour la séparation des sections d</w:t>
            </w:r>
            <w:r w:rsidR="0090020F">
              <w:rPr>
                <w:sz w:val="20"/>
              </w:rPr>
              <w:t>’</w:t>
            </w:r>
            <w:r>
              <w:rPr>
                <w:sz w:val="20"/>
              </w:rPr>
              <w:t>incendies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le renforcement des parois à ossature en bois et des combles en bois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Produits pour le pavage et les sols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3101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3102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Éléments de pavage, revêtements de sol, mosaïques, frises et parquet, grilles et plaques de protection, caillebotis et marches d</w:t>
            </w:r>
            <w:r w:rsidR="0090020F">
              <w:rPr>
                <w:sz w:val="20"/>
              </w:rPr>
              <w:t>’</w:t>
            </w:r>
            <w:r w:rsidR="00523E5B">
              <w:rPr>
                <w:sz w:val="20"/>
              </w:rPr>
              <w:t>escalier</w:t>
            </w:r>
            <w:bookmarkStart w:id="0" w:name="_GoBack"/>
            <w:bookmarkEnd w:id="0"/>
            <w:r>
              <w:rPr>
                <w:sz w:val="20"/>
              </w:rPr>
              <w:t>, sols stratifiés rigides, produits à base de bois pour une utilisation à l</w:t>
            </w:r>
            <w:r w:rsidR="0090020F">
              <w:rPr>
                <w:sz w:val="20"/>
              </w:rPr>
              <w:t>’</w:t>
            </w:r>
            <w:r>
              <w:rPr>
                <w:sz w:val="20"/>
              </w:rPr>
              <w:t>intérieur, y compris les voies de transports publics intérieures</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Systèmes de planchers surélevés et creux pour une utilisation à l</w:t>
            </w:r>
            <w:r w:rsidR="0090020F">
              <w:rPr>
                <w:sz w:val="20"/>
              </w:rPr>
              <w:t>’</w:t>
            </w:r>
            <w:r>
              <w:rPr>
                <w:sz w:val="20"/>
              </w:rPr>
              <w:t>intérieur, y compris les voies de transports publics intérieures</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selon l</w:t>
            </w:r>
            <w:r w:rsidR="0090020F">
              <w:rPr>
                <w:sz w:val="20"/>
              </w:rPr>
              <w:t>’</w:t>
            </w:r>
            <w:r>
              <w:rPr>
                <w:sz w:val="20"/>
              </w:rPr>
              <w:t>article 4, paragraphe 2, point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à EFL) selon l</w:t>
            </w:r>
            <w:r w:rsidR="0090020F">
              <w:rPr>
                <w:sz w:val="20"/>
              </w:rPr>
              <w:t>’</w:t>
            </w:r>
            <w:r>
              <w:rPr>
                <w:sz w:val="20"/>
              </w:rPr>
              <w:t>article 4, paragraphe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selon les RSD</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3103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Chapes sous les planchers, substances de nivellement, sols coulés et remplissages sous les planchers, chapes sous les sols y compris pour les voies de transports publics intérieures</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utilisation intérieure selon les RSD:</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3104</w:t>
            </w:r>
          </w:p>
        </w:tc>
        <w:tc>
          <w:tcPr>
            <w:tcW w:w="5436" w:type="dxa"/>
            <w:vMerge w:val="restart"/>
          </w:tcPr>
          <w:p w:rsidR="00C155AB" w:rsidRPr="004363D5" w:rsidRDefault="00C155AB" w:rsidP="00A358E1">
            <w:pPr>
              <w:pStyle w:val="TableParagraph"/>
              <w:spacing w:before="0" w:line="276" w:lineRule="auto"/>
              <w:ind w:left="0" w:right="30"/>
              <w:jc w:val="both"/>
              <w:rPr>
                <w:sz w:val="20"/>
                <w:szCs w:val="20"/>
              </w:rPr>
            </w:pPr>
            <w:r>
              <w:rPr>
                <w:sz w:val="20"/>
              </w:rPr>
              <w:t>Revêtements de sol souples homogènes et hétérogènes livrés en tant que carreaux, dalles, ou sous forme enroulée, en matière textile, plastique, caoutchouc, linoléum, liège, dalles antistatiques, sols stratifiés flexibles et carreaux souples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selon l</w:t>
            </w:r>
            <w:r w:rsidR="0090020F">
              <w:rPr>
                <w:sz w:val="20"/>
              </w:rPr>
              <w:t>’</w:t>
            </w:r>
            <w:r>
              <w:rPr>
                <w:sz w:val="20"/>
              </w:rPr>
              <w:t>article 4, paragraphe 2, point b), DFL, EFL, (A1FL à EFL) selon l</w:t>
            </w:r>
            <w:r w:rsidR="0090020F">
              <w:rPr>
                <w:sz w:val="20"/>
              </w:rPr>
              <w:t>’</w:t>
            </w:r>
            <w:r>
              <w:rPr>
                <w:sz w:val="20"/>
              </w:rPr>
              <w:t>article 4, paragraphe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externe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3105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Substances de revêtement pour le traitement de la surface des sols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Produits pour le revêtement des parois et des plafonds, y compris pour les plafonds suspendus et leurs accessoires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3201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Revêtement sous forme roulée, éléments de revêtement, bardeaux, planches [sauf plaques en béton </w:t>
            </w:r>
            <w:r>
              <w:rPr>
                <w:sz w:val="20"/>
                <w:vertAlign w:val="superscript"/>
              </w:rPr>
              <w:t>c</w:t>
            </w:r>
            <w:r>
              <w:rPr>
                <w:sz w:val="20"/>
              </w:rPr>
              <w:t>)], panneaux et profilés pour le revêtement des parois et des plafonds à l</w:t>
            </w:r>
            <w:r w:rsidR="0090020F">
              <w:rPr>
                <w:sz w:val="20"/>
              </w:rPr>
              <w:t>’</w:t>
            </w:r>
            <w:r>
              <w:rPr>
                <w:sz w:val="20"/>
              </w:rPr>
              <w:t>intérieur et à l</w:t>
            </w:r>
            <w:r w:rsidR="0090020F">
              <w:rPr>
                <w:sz w:val="20"/>
              </w:rPr>
              <w:t>’</w:t>
            </w:r>
            <w:r>
              <w:rPr>
                <w:sz w:val="20"/>
              </w:rPr>
              <w:t xml:space="preserve">extérieur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rPr>
              <w:t>Systèmes de plafonds suspendus à l</w:t>
            </w:r>
            <w:r w:rsidR="0090020F">
              <w:rPr>
                <w:sz w:val="20"/>
              </w:rPr>
              <w:t>’</w:t>
            </w:r>
            <w:r>
              <w:rPr>
                <w:sz w:val="20"/>
              </w:rPr>
              <w:t>intérieur et à l</w:t>
            </w:r>
            <w:r w:rsidR="0090020F">
              <w:rPr>
                <w:sz w:val="20"/>
              </w:rPr>
              <w:t>’</w:t>
            </w:r>
            <w:r>
              <w:rPr>
                <w:sz w:val="20"/>
              </w:rPr>
              <w:t>extérieur</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la protection contre l</w:t>
            </w:r>
            <w:r w:rsidR="0090020F">
              <w:rPr>
                <w:sz w:val="20"/>
              </w:rPr>
              <w:t>’</w:t>
            </w:r>
            <w:r>
              <w:rPr>
                <w:sz w:val="20"/>
              </w:rPr>
              <w:t xml:space="preserve">incendie </w:t>
            </w:r>
            <w:r>
              <w:rPr>
                <w:sz w:val="20"/>
                <w:vertAlign w:val="superscript"/>
              </w:rPr>
              <w:t>m</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 renforcement </w:t>
            </w:r>
            <w:r>
              <w:rPr>
                <w:sz w:val="20"/>
                <w:vertAlign w:val="superscript"/>
              </w:rPr>
              <w:t>n</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Sûr (risque d</w:t>
            </w:r>
            <w:r w:rsidR="0090020F">
              <w:rPr>
                <w:sz w:val="20"/>
              </w:rPr>
              <w:t>’</w:t>
            </w:r>
            <w:r>
              <w:rPr>
                <w:sz w:val="20"/>
              </w:rPr>
              <w:t xml:space="preserve">accident) </w:t>
            </w:r>
            <w:r>
              <w:rPr>
                <w:sz w:val="20"/>
                <w:vertAlign w:val="superscript"/>
              </w:rPr>
              <w:t>o</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selon les RSD</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3203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Profilés destinés à la fixation des revêtements des parois et des plafonds, et cadres de suspension pour la fixation de plafonds suspendus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3204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Mortiers et colles destinés aux éléments de revêtement à l</w:t>
            </w:r>
            <w:r w:rsidR="0090020F">
              <w:rPr>
                <w:sz w:val="20"/>
              </w:rPr>
              <w:t>’</w:t>
            </w:r>
            <w:r>
              <w:rPr>
                <w:sz w:val="20"/>
              </w:rPr>
              <w:t>intérieur et à l</w:t>
            </w:r>
            <w:r w:rsidR="0090020F">
              <w:rPr>
                <w:sz w:val="20"/>
              </w:rPr>
              <w:t>’</w:t>
            </w:r>
            <w:r>
              <w:rPr>
                <w:sz w:val="20"/>
              </w:rPr>
              <w:t>extérieur</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3205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Systèmes de revêtements des parois extérieures pour leur protection contre les intempéries, éventuellement pouvant contribuer à une isolation thermique des parois extérieures, à l</w:t>
            </w:r>
            <w:r w:rsidR="0090020F">
              <w:rPr>
                <w:sz w:val="20"/>
              </w:rPr>
              <w:t>’</w:t>
            </w:r>
            <w:r>
              <w:rPr>
                <w:sz w:val="20"/>
              </w:rPr>
              <w:t>exception des composants de ces systèmes livrés individuellement et à l</w:t>
            </w:r>
            <w:r w:rsidR="0090020F">
              <w:rPr>
                <w:sz w:val="20"/>
              </w:rPr>
              <w:t>’</w:t>
            </w:r>
            <w:r>
              <w:rPr>
                <w:sz w:val="20"/>
              </w:rPr>
              <w:t>exception des systèmes des groupes 1901, 1902 et 2002</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3206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Cadres métalliques préfabriqués pour la suspension de plafonds lourds, protégés ou non par un revêtement contre la corrosion, soudés ou non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 (A1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Éléments d</w:t>
            </w:r>
            <w:r w:rsidR="0090020F">
              <w:rPr>
                <w:b/>
                <w:sz w:val="20"/>
              </w:rPr>
              <w:t>’</w:t>
            </w:r>
            <w:r>
              <w:rPr>
                <w:b/>
                <w:sz w:val="20"/>
              </w:rPr>
              <w:t>assemblage, matériaux de soudure et colles</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Éléments d</w:t>
            </w:r>
            <w:r w:rsidR="0090020F">
              <w:rPr>
                <w:sz w:val="20"/>
              </w:rPr>
              <w:t>’</w:t>
            </w:r>
            <w:r>
              <w:rPr>
                <w:sz w:val="20"/>
              </w:rPr>
              <w:t>assemblage pour les pièces structurelles </w:t>
            </w:r>
            <w:r>
              <w:rPr>
                <w:sz w:val="20"/>
                <w:vertAlign w:val="superscript"/>
              </w:rPr>
              <w:t>b</w:t>
            </w:r>
            <w:r>
              <w:rPr>
                <w:sz w:val="20"/>
              </w:rPr>
              <w:t>) métalliques des bâtiments, notamment les rivets, boulons, goupilles et vis avec écrous et rondelles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Dispositifs de liaison pour les produits conçus en bois structurel </w:t>
            </w:r>
            <w:r>
              <w:rPr>
                <w:sz w:val="20"/>
                <w:vertAlign w:val="superscript"/>
              </w:rPr>
              <w:t>b</w:t>
            </w:r>
            <w:r>
              <w:rPr>
                <w:sz w:val="20"/>
              </w:rPr>
              <w:t>), notamment les clips pour le bois, pinces à anneau fendu, pièces de fixation, pièces de liaison cylindriques en acier ou en bois, vis pour bois, griffes filetées et clous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Plaques de glissement et de contact avec embouts sertis pour les produits en bois structurel </w:t>
            </w:r>
            <w:r>
              <w:rPr>
                <w:sz w:val="20"/>
                <w:vertAlign w:val="superscript"/>
              </w:rPr>
              <w:t>b</w:t>
            </w:r>
            <w:r>
              <w:rPr>
                <w:sz w:val="20"/>
              </w:rPr>
              <w: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Plaques de jonction tridimensionnelles à clous pour les produits en bois structurel </w:t>
            </w:r>
            <w:r>
              <w:rPr>
                <w:sz w:val="20"/>
                <w:vertAlign w:val="superscript"/>
              </w:rPr>
              <w:t>b</w:t>
            </w:r>
            <w:r>
              <w:rPr>
                <w:sz w:val="20"/>
              </w:rPr>
              <w: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Ancrages métalliques pour béton (types destinés aux systèmes légers) pour fixation ou pour le soutien des plafonds suspendus légers, pour des installations, etc.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Ancrages métalliques pour une utilisation dans le béton (types de charge élevée) pour la fixation ou le soutien des éléments structurels en béton </w:t>
            </w:r>
            <w:r>
              <w:rPr>
                <w:sz w:val="20"/>
                <w:vertAlign w:val="superscript"/>
              </w:rPr>
              <w:t>b</w:t>
            </w:r>
            <w:r>
              <w:rPr>
                <w:sz w:val="20"/>
              </w:rPr>
              <w:t>) ou des parties lourdes tels que les revêtements et les plafonds suspendus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3307</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Ancrages métalliques injectés (coulés) destinés aux murs pour la fixation ou le soutien des éléments structurels </w:t>
            </w:r>
            <w:r>
              <w:rPr>
                <w:sz w:val="20"/>
                <w:vertAlign w:val="superscript"/>
              </w:rPr>
              <w:t>b</w:t>
            </w:r>
            <w:r>
              <w:rPr>
                <w:sz w:val="20"/>
              </w:rPr>
              <w:t>) contribuant à la stabilité du bâtiment ou d</w:t>
            </w:r>
            <w:r w:rsidR="0090020F">
              <w:rPr>
                <w:sz w:val="20"/>
              </w:rPr>
              <w:t>’</w:t>
            </w:r>
            <w:r>
              <w:rPr>
                <w:sz w:val="20"/>
              </w:rPr>
              <w:t>éléments lourds tels que les revêtements extérieurs et les installations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3308</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Ancres en plastique et autres ancres pour le béton et les murs destinées à être utilisées par des systèmes tels que les systèmes de façade, y compris les systèmes d</w:t>
            </w:r>
            <w:r w:rsidR="0090020F">
              <w:rPr>
                <w:sz w:val="20"/>
              </w:rPr>
              <w:t>’</w:t>
            </w:r>
            <w:r>
              <w:rPr>
                <w:sz w:val="20"/>
              </w:rPr>
              <w:t>isolation thermique, pour fixer ou soutenir des éléments contribuant à la stabilité de ces systèmes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3309</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Matériaux pour la soudure des pièces structurelles </w:t>
            </w:r>
            <w:r>
              <w:rPr>
                <w:sz w:val="20"/>
                <w:vertAlign w:val="superscript"/>
              </w:rPr>
              <w:t>b</w:t>
            </w:r>
            <w:r>
              <w:rPr>
                <w:sz w:val="20"/>
              </w:rPr>
              <w:t>) métalliques des bâtiments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3310</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 xml:space="preserve">Vis métalliques filetées et </w:t>
            </w:r>
            <w:proofErr w:type="spellStart"/>
            <w:r>
              <w:rPr>
                <w:sz w:val="20"/>
              </w:rPr>
              <w:t>autotaraudeuses</w:t>
            </w:r>
            <w:proofErr w:type="spellEnd"/>
            <w:r>
              <w:rPr>
                <w:sz w:val="20"/>
              </w:rPr>
              <w:t xml:space="preserve"> et rivets, avec rondelles d</w:t>
            </w:r>
            <w:r w:rsidR="0090020F">
              <w:rPr>
                <w:sz w:val="20"/>
              </w:rPr>
              <w:t>’</w:t>
            </w:r>
            <w:r>
              <w:rPr>
                <w:sz w:val="20"/>
              </w:rPr>
              <w:t>étanchéité pour fixation de systèmes de façade légers et des couvertures de toits inclinés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3311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Éléments de fixation constitués d</w:t>
            </w:r>
            <w:r w:rsidR="0090020F">
              <w:rPr>
                <w:sz w:val="20"/>
              </w:rPr>
              <w:t>’</w:t>
            </w:r>
            <w:r>
              <w:rPr>
                <w:sz w:val="20"/>
              </w:rPr>
              <w:t xml:space="preserve">attaches en plastique ou de rondelles ressorts et de vis filetées et </w:t>
            </w:r>
            <w:proofErr w:type="spellStart"/>
            <w:r>
              <w:rPr>
                <w:sz w:val="20"/>
              </w:rPr>
              <w:t>autotaraudeuses</w:t>
            </w:r>
            <w:proofErr w:type="spellEnd"/>
            <w:r>
              <w:rPr>
                <w:sz w:val="20"/>
              </w:rPr>
              <w:t xml:space="preserve"> pour les couches d</w:t>
            </w:r>
            <w:r w:rsidR="0090020F">
              <w:rPr>
                <w:sz w:val="20"/>
              </w:rPr>
              <w:t>’</w:t>
            </w:r>
            <w:r>
              <w:rPr>
                <w:sz w:val="20"/>
              </w:rPr>
              <w:t>étanchéité et d</w:t>
            </w:r>
            <w:r w:rsidR="0090020F">
              <w:rPr>
                <w:sz w:val="20"/>
              </w:rPr>
              <w:t>’</w:t>
            </w:r>
            <w:r>
              <w:rPr>
                <w:sz w:val="20"/>
              </w:rPr>
              <w:t>isolation thermique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3312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Goupilles de dilatation permettant un mouvement mutuel entre les plaques attachées ou entre les plaques et les parois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lastRenderedPageBreak/>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3313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Colles à utiliser dans les parties structurelles </w:t>
            </w:r>
            <w:r>
              <w:rPr>
                <w:sz w:val="20"/>
                <w:vertAlign w:val="superscript"/>
              </w:rPr>
              <w:t>b</w:t>
            </w:r>
            <w:r>
              <w:rPr>
                <w:sz w:val="20"/>
              </w:rPr>
              <w:t>) des bâtiments et des ouvrages du génie civil</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3314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Dispositifs d</w:t>
            </w:r>
            <w:r w:rsidR="0090020F">
              <w:rPr>
                <w:sz w:val="20"/>
              </w:rPr>
              <w:t>’</w:t>
            </w:r>
            <w:r>
              <w:rPr>
                <w:sz w:val="20"/>
              </w:rPr>
              <w:t>ancrage utilisés sur les chantiers destinés à empêcher la chute de personnes en hauteur ou pour arrêter une chute en hauteur</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Tuyaux, réservoirs et accessoires pour l</w:t>
            </w:r>
            <w:r w:rsidR="0090020F">
              <w:rPr>
                <w:b/>
                <w:sz w:val="20"/>
              </w:rPr>
              <w:t>’</w:t>
            </w:r>
            <w:r>
              <w:rPr>
                <w:b/>
                <w:sz w:val="20"/>
              </w:rPr>
              <w:t>eau potable </w:t>
            </w:r>
            <w:r>
              <w:rPr>
                <w:b/>
                <w:sz w:val="20"/>
                <w:vertAlign w:val="superscript"/>
              </w:rPr>
              <w:t>11</w:t>
            </w:r>
            <w:r>
              <w:rPr>
                <w:b/>
                <w:sz w:val="20"/>
              </w:rPr>
              <w:t>)</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de tuyauterie et de stockage composés des produits des groupes 3402 à 3409</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Tuyaux pour la distribution sous ou sans pression d</w:t>
            </w:r>
            <w:r w:rsidR="0090020F">
              <w:rPr>
                <w:sz w:val="20"/>
              </w:rPr>
              <w:t>’</w:t>
            </w:r>
            <w:r>
              <w:rPr>
                <w:sz w:val="20"/>
              </w:rPr>
              <w:t>eau potable dans les bâtiments ou en dehors des bâtiments, tirés en surface ou sous la surface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Tuyaux de raccordement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Réservoirs sous ou sans pression, y compris les réservoirs d</w:t>
            </w:r>
            <w:r w:rsidR="0090020F">
              <w:rPr>
                <w:sz w:val="20"/>
              </w:rPr>
              <w:t>’</w:t>
            </w:r>
            <w:r>
              <w:rPr>
                <w:sz w:val="20"/>
              </w:rPr>
              <w:t>eau chaude installés en surface ou sous la surface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 xml:space="preserve">Dispositifs de protection et de sécurité, tels que les détecteurs de fuites, les protections </w:t>
            </w:r>
            <w:proofErr w:type="spellStart"/>
            <w:r>
              <w:rPr>
                <w:sz w:val="20"/>
              </w:rPr>
              <w:t>antidébordements</w:t>
            </w:r>
            <w:proofErr w:type="spellEnd"/>
            <w:r>
              <w:rPr>
                <w:sz w:val="20"/>
              </w:rPr>
              <w:t>, etc.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Tuyaux d</w:t>
            </w:r>
            <w:r w:rsidR="0090020F">
              <w:rPr>
                <w:sz w:val="20"/>
              </w:rPr>
              <w:t>’</w:t>
            </w:r>
            <w:r>
              <w:rPr>
                <w:sz w:val="20"/>
              </w:rPr>
              <w:t xml:space="preserve">ajustage, raccords, brasures, colles et joints destinés à </w:t>
            </w:r>
            <w:r>
              <w:rPr>
                <w:sz w:val="20"/>
              </w:rPr>
              <w:lastRenderedPageBreak/>
              <w:t>l</w:t>
            </w:r>
            <w:r w:rsidR="0090020F">
              <w:rPr>
                <w:sz w:val="20"/>
              </w:rPr>
              <w:t>’</w:t>
            </w:r>
            <w:r>
              <w:rPr>
                <w:sz w:val="20"/>
              </w:rPr>
              <w:t>étanchéité des tuyaux rigides, souples et ductiles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lastRenderedPageBreak/>
              <w:t>3407</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Robinetterie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3408</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Pompes et compteurs d</w:t>
            </w:r>
            <w:r w:rsidR="0090020F">
              <w:rPr>
                <w:sz w:val="20"/>
              </w:rPr>
              <w:t>’</w:t>
            </w:r>
            <w:r>
              <w:rPr>
                <w:sz w:val="20"/>
              </w:rPr>
              <w:t>eau</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3409</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Membranes, bitume, revêtements, inserts et lubrifiants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Tuyaux, réservoirs et accessoires pour l</w:t>
            </w:r>
            <w:r w:rsidR="0090020F">
              <w:rPr>
                <w:b/>
                <w:sz w:val="20"/>
              </w:rPr>
              <w:t>’</w:t>
            </w:r>
            <w:r>
              <w:rPr>
                <w:b/>
                <w:sz w:val="20"/>
              </w:rPr>
              <w:t>eau utilitaire et d</w:t>
            </w:r>
            <w:r w:rsidR="0090020F">
              <w:rPr>
                <w:b/>
                <w:sz w:val="20"/>
              </w:rPr>
              <w:t>’</w:t>
            </w:r>
            <w:r>
              <w:rPr>
                <w:b/>
                <w:sz w:val="20"/>
              </w:rPr>
              <w:t>alimentation </w:t>
            </w:r>
            <w:r>
              <w:rPr>
                <w:b/>
                <w:sz w:val="20"/>
                <w:vertAlign w:val="superscript"/>
              </w:rPr>
              <w:t>11</w:t>
            </w:r>
            <w:r>
              <w:rPr>
                <w:b/>
                <w:sz w:val="20"/>
              </w:rPr>
              <w:t>), le gaz et les combustibles fluides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3501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Produits pour le transport, la distribution et le stockage de l</w:t>
            </w:r>
            <w:r w:rsidR="0090020F">
              <w:rPr>
                <w:sz w:val="20"/>
              </w:rPr>
              <w:t>’</w:t>
            </w:r>
            <w:r>
              <w:rPr>
                <w:sz w:val="20"/>
              </w:rPr>
              <w:t xml:space="preserve">eau utilitaire, tels que les tuyaux, les boyaux raccordés, réservoirs, détecteurs de fuites, protections </w:t>
            </w:r>
            <w:proofErr w:type="spellStart"/>
            <w:r>
              <w:rPr>
                <w:sz w:val="20"/>
              </w:rPr>
              <w:t>antidébordements</w:t>
            </w:r>
            <w:proofErr w:type="spellEnd"/>
            <w:r>
              <w:rPr>
                <w:sz w:val="20"/>
              </w:rPr>
              <w:t xml:space="preserve"> pour les réservoirs, tuyaux d</w:t>
            </w:r>
            <w:r w:rsidR="0090020F">
              <w:rPr>
                <w:sz w:val="20"/>
              </w:rPr>
              <w:t>’</w:t>
            </w:r>
            <w:r>
              <w:rPr>
                <w:sz w:val="20"/>
              </w:rPr>
              <w:t>ajustage, raccords, brasures, colles, joints, porte-tuyaux (sans l</w:t>
            </w:r>
            <w:r w:rsidR="0090020F">
              <w:rPr>
                <w:sz w:val="20"/>
              </w:rPr>
              <w:t>’</w:t>
            </w:r>
            <w:r>
              <w:rPr>
                <w:sz w:val="20"/>
              </w:rPr>
              <w:t>ancrage), pompes, robinetterie et dispositifs de sécurité et les systèmes de tuyauterie et de stockage composés de ces produits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les systèmes de chauffage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classification selon la nature de la CRF </w:t>
            </w:r>
            <w:r>
              <w:rPr>
                <w:sz w:val="20"/>
                <w:vertAlign w:val="superscript"/>
              </w:rPr>
              <w:t>p</w:t>
            </w:r>
            <w:r>
              <w:rPr>
                <w:sz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3502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Produits pour le transport, la distribution et le stockage du gaz ou d</w:t>
            </w:r>
            <w:r w:rsidR="0090020F">
              <w:rPr>
                <w:sz w:val="20"/>
              </w:rPr>
              <w:t>’</w:t>
            </w:r>
            <w:r>
              <w:rPr>
                <w:sz w:val="20"/>
              </w:rPr>
              <w:t>un combustible fluide installés en aval du réservoir extérieur, de la dernière station de réduction de pression ou de la première vanne de séparation (toujours situés en dehors du bâtiment) jusqu</w:t>
            </w:r>
            <w:r w:rsidR="0090020F">
              <w:rPr>
                <w:sz w:val="20"/>
              </w:rPr>
              <w:t>’</w:t>
            </w:r>
            <w:r>
              <w:rPr>
                <w:sz w:val="20"/>
              </w:rPr>
              <w:t>à l</w:t>
            </w:r>
            <w:r w:rsidR="0090020F">
              <w:rPr>
                <w:sz w:val="20"/>
              </w:rPr>
              <w:t>’</w:t>
            </w:r>
            <w:r>
              <w:rPr>
                <w:sz w:val="20"/>
              </w:rPr>
              <w:t>entrée dans le système de chauffage d</w:t>
            </w:r>
            <w:r w:rsidR="0090020F">
              <w:rPr>
                <w:sz w:val="20"/>
              </w:rPr>
              <w:t>’</w:t>
            </w:r>
            <w:r>
              <w:rPr>
                <w:sz w:val="20"/>
              </w:rPr>
              <w:t xml:space="preserve">eau, pour le chauffage ou pour le refroidissement du bâtiment, tels que les tuyaux, les boyaux raccordés, réservoirs, détecteurs de fuites, protections </w:t>
            </w:r>
            <w:proofErr w:type="spellStart"/>
            <w:r>
              <w:rPr>
                <w:sz w:val="20"/>
              </w:rPr>
              <w:t>antidébordements</w:t>
            </w:r>
            <w:proofErr w:type="spellEnd"/>
            <w:r>
              <w:rPr>
                <w:sz w:val="20"/>
              </w:rPr>
              <w:t xml:space="preserve"> pour les réservoirs, tuyaux d</w:t>
            </w:r>
            <w:r w:rsidR="0090020F">
              <w:rPr>
                <w:sz w:val="20"/>
              </w:rPr>
              <w:t>’</w:t>
            </w:r>
            <w:r>
              <w:rPr>
                <w:sz w:val="20"/>
              </w:rPr>
              <w:t>ajustage, raccords, joints, brasures, colles, porte-tuyaux (sans l</w:t>
            </w:r>
            <w:r w:rsidR="0090020F">
              <w:rPr>
                <w:sz w:val="20"/>
              </w:rPr>
              <w:t>’</w:t>
            </w:r>
            <w:r>
              <w:rPr>
                <w:sz w:val="20"/>
              </w:rPr>
              <w:t>ancrage), pompes, robinetterie et dispositifs de sécurité et les systèmes de tuyauterie et de stockage composés de ces produits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installation dans des espaces où une résistance au feu est exigée</w:t>
            </w:r>
            <w:r>
              <w:rPr>
                <w:sz w:val="20"/>
                <w:vertAlign w:val="superscript"/>
              </w:rPr>
              <w:t xml:space="preserve"> q</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Produits pour la distribution d</w:t>
            </w:r>
            <w:r w:rsidR="0090020F">
              <w:rPr>
                <w:b/>
                <w:sz w:val="20"/>
              </w:rPr>
              <w:t>’</w:t>
            </w:r>
            <w:r>
              <w:rPr>
                <w:b/>
                <w:sz w:val="20"/>
              </w:rPr>
              <w:t>énergie électrique, la commande et la communication</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3601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Câbles pour la distribution d</w:t>
            </w:r>
            <w:r w:rsidR="0090020F">
              <w:rPr>
                <w:sz w:val="20"/>
              </w:rPr>
              <w:t>’</w:t>
            </w:r>
            <w:r>
              <w:rPr>
                <w:sz w:val="20"/>
              </w:rPr>
              <w:t>énergie électrique, la commande et la communication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Aca, B1ca, B2ca, </w:t>
            </w:r>
            <w:proofErr w:type="spellStart"/>
            <w:r>
              <w:rPr>
                <w:sz w:val="20"/>
              </w:rPr>
              <w:t>Cca</w:t>
            </w:r>
            <w:proofErr w:type="spellEnd"/>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Dca, </w:t>
            </w:r>
            <w:proofErr w:type="spellStart"/>
            <w:r>
              <w:rPr>
                <w:sz w:val="20"/>
              </w:rPr>
              <w:t>Eca</w:t>
            </w:r>
            <w:proofErr w:type="spellEnd"/>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proofErr w:type="spellStart"/>
            <w:r>
              <w:rPr>
                <w:sz w:val="20"/>
              </w:rPr>
              <w:t>Fca</w:t>
            </w:r>
            <w:proofErr w:type="spellEnd"/>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à laquelle </w:t>
            </w:r>
            <w:r>
              <w:rPr>
                <w:sz w:val="20"/>
              </w:rPr>
              <w:lastRenderedPageBreak/>
              <w:t>s</w:t>
            </w:r>
            <w:r w:rsidR="0090020F">
              <w:rPr>
                <w:sz w:val="20"/>
              </w:rPr>
              <w:t>’</w:t>
            </w:r>
            <w:r>
              <w:rPr>
                <w:sz w:val="20"/>
              </w:rPr>
              <w:t>appliquent les RSI concernant la résistance au feu</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selon les RSD</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rPr>
              <w:t>3602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3603</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3604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Grilles, gouttières, canaux, rails, montants, dispositifs de suspension pour la pose de câbles et de produits pour attacher les câbles pour la distribution d</w:t>
            </w:r>
            <w:r w:rsidR="0090020F">
              <w:rPr>
                <w:sz w:val="20"/>
              </w:rPr>
              <w:t>’</w:t>
            </w:r>
            <w:r>
              <w:rPr>
                <w:sz w:val="20"/>
              </w:rPr>
              <w:t>énergie électrique, la commande et la communication</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Produits pour la jonction des câbles (boîtes et couvercles complets) pour la distribution d</w:t>
            </w:r>
            <w:r w:rsidR="0090020F">
              <w:rPr>
                <w:sz w:val="20"/>
              </w:rPr>
              <w:t>’</w:t>
            </w:r>
            <w:r>
              <w:rPr>
                <w:sz w:val="20"/>
              </w:rPr>
              <w:t>énergie électrique, la commande et la communication</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Tableaux de distribution électrique basse tension pour la distribution d</w:t>
            </w:r>
            <w:r w:rsidR="0090020F">
              <w:rPr>
                <w:sz w:val="20"/>
              </w:rPr>
              <w:t>’</w:t>
            </w:r>
            <w:r>
              <w:rPr>
                <w:sz w:val="20"/>
              </w:rPr>
              <w:t>énergie électrique, la commande et la communication</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concernant la résistance au feu</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3605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Accessoires des câbles (conduits de câblage, rails, canaux et boîtes, etc.)</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concernant la propagation des flammes et pour une teneur réduite en éléments halogènes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Cheminées</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3701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Produits métalliques des systèmes des cheminées (à l</w:t>
            </w:r>
            <w:r w:rsidR="0090020F">
              <w:rPr>
                <w:sz w:val="20"/>
              </w:rPr>
              <w:t>’</w:t>
            </w:r>
            <w:r>
              <w:rPr>
                <w:sz w:val="20"/>
              </w:rPr>
              <w:t>exception des rallonges de cheminée), doublures de cheminée cuites / en céramique ou en béton, raccords et éléments de l</w:t>
            </w:r>
            <w:r w:rsidR="0090020F">
              <w:rPr>
                <w:sz w:val="20"/>
              </w:rPr>
              <w:t>’</w:t>
            </w:r>
            <w:r>
              <w:rPr>
                <w:sz w:val="20"/>
              </w:rPr>
              <w:t>enveloppe extérieure, matériaux pour doublures en briques et éléments préfabriqués en acier et doublures pour cheminées autoportantes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3702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Systèmes de cheminées avec inserts en plastique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 IV (4)</w:t>
            </w:r>
            <w:r>
              <w:rPr>
                <w:sz w:val="20"/>
                <w:vertAlign w:val="superscript"/>
              </w:rPr>
              <w:t>r</w:t>
            </w:r>
            <w:r>
              <w:rPr>
                <w:sz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(A1 à E) selon </w:t>
            </w:r>
            <w:r>
              <w:rPr>
                <w:sz w:val="20"/>
              </w:rPr>
              <w:lastRenderedPageBreak/>
              <w:t>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lastRenderedPageBreak/>
              <w:t>3703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Rallonges de cheminées sauf les rallonges en plastique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Systèmes de chauffage et éléments réfractaires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3801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3802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3803</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3804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Appareils à combustibles solides pour le chauffage des espaces résidentiels, tels que les cuisinières, les fours et appareils de chauffage encastrés (inserts de cheminée, etc.)</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 xml:space="preserve">Appareils à combustibles solides pour la cuisine domestique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rPr>
              <w:t>Éléments chauffants à combustibles liquides ou gazeux</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rPr>
              <w:t>Éléments chauffants sans source d</w:t>
            </w:r>
            <w:r w:rsidR="0090020F">
              <w:rPr>
                <w:sz w:val="20"/>
              </w:rPr>
              <w:t>’</w:t>
            </w:r>
            <w:r>
              <w:rPr>
                <w:sz w:val="20"/>
              </w:rPr>
              <w:t>énergie propre, notamment les radiateurs, convecteurs, convecteurs à air chaud, comprenant les différents ventilateurs, bandes et fentes chauffantes, panneaux de plafond radiants et autres appareils de chauffage fixes, systèmes de chauffage mural et par le sol</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3805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Éléments réfractaires, mortiers et éléments de revêtement pour l</w:t>
            </w:r>
            <w:r w:rsidR="0090020F">
              <w:rPr>
                <w:sz w:val="20"/>
              </w:rPr>
              <w:t>’</w:t>
            </w:r>
            <w:r>
              <w:rPr>
                <w:sz w:val="20"/>
              </w:rPr>
              <w:t>installation d</w:t>
            </w:r>
            <w:r w:rsidR="0090020F">
              <w:rPr>
                <w:sz w:val="20"/>
              </w:rPr>
              <w:t>’</w:t>
            </w:r>
            <w:r>
              <w:rPr>
                <w:sz w:val="20"/>
              </w:rPr>
              <w:t>appareils de chauffage à combustibles solides des espaces résidentiels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F90EC5">
        <w:trPr>
          <w:jc w:val="center"/>
        </w:trPr>
        <w:tc>
          <w:tcPr>
            <w:tcW w:w="8185" w:type="dxa"/>
            <w:gridSpan w:val="4"/>
          </w:tcPr>
          <w:p w:rsidR="00C155AB" w:rsidRPr="004363D5" w:rsidRDefault="00C155AB" w:rsidP="00A358E1">
            <w:pPr>
              <w:pStyle w:val="TableParagraph"/>
              <w:spacing w:before="0" w:line="276" w:lineRule="auto"/>
              <w:ind w:left="0" w:right="30"/>
              <w:jc w:val="center"/>
              <w:rPr>
                <w:b/>
                <w:sz w:val="20"/>
                <w:szCs w:val="20"/>
              </w:rPr>
            </w:pPr>
            <w:r>
              <w:rPr>
                <w:b/>
                <w:sz w:val="20"/>
              </w:rPr>
              <w:t>Installations sanitaires et matériaux</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3901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Éviers, lavabos, éviers municipaux, bidets, baignoires, baignoires à remous et bacs à douche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3902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Cloisons de douche et de bain et couvercles de protection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3903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Ensembles de modules de toilette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3904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Urinoirs, cuvettes de toilettes, toilettes au sol, chimiques et à compost, toilettes à la turque, à pompe de macération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3905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Chasses d</w:t>
            </w:r>
            <w:r w:rsidR="0090020F">
              <w:rPr>
                <w:sz w:val="20"/>
              </w:rPr>
              <w:t>’</w:t>
            </w:r>
            <w:r>
              <w:rPr>
                <w:sz w:val="20"/>
              </w:rPr>
              <w:t>eau</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3906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Toilettes publiques modulaires et toilettes préfabriquées</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3907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Mastics pour les éléments de jonction des équipements sanitaires, à l</w:t>
            </w:r>
            <w:r w:rsidR="0090020F">
              <w:rPr>
                <w:sz w:val="20"/>
              </w:rPr>
              <w:t>’</w:t>
            </w:r>
            <w:r>
              <w:rPr>
                <w:sz w:val="20"/>
              </w:rPr>
              <w:t>exception des mastics pour des applications industrielles, la distribution d</w:t>
            </w:r>
            <w:r w:rsidR="0090020F">
              <w:rPr>
                <w:sz w:val="20"/>
              </w:rPr>
              <w:t>’</w:t>
            </w:r>
            <w:r>
              <w:rPr>
                <w:sz w:val="20"/>
              </w:rPr>
              <w:t>eau potable, en contact avec des denrées alimentaires et pour des applications sous l</w:t>
            </w:r>
            <w:r w:rsidR="0090020F">
              <w:rPr>
                <w:sz w:val="20"/>
              </w:rPr>
              <w:t>’</w:t>
            </w:r>
            <w:r>
              <w:rPr>
                <w:sz w:val="20"/>
              </w:rPr>
              <w:t>eau, tels que les piscines, les tuyaux d</w:t>
            </w:r>
            <w:r w:rsidR="0090020F">
              <w:rPr>
                <w:sz w:val="20"/>
              </w:rPr>
              <w:t>’</w:t>
            </w:r>
            <w:r>
              <w:rPr>
                <w:sz w:val="20"/>
              </w:rPr>
              <w:t>évacuation, etc.</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 xml:space="preserve">appliquent les </w:t>
            </w:r>
            <w:r>
              <w:rPr>
                <w:sz w:val="20"/>
              </w:rPr>
              <w:lastRenderedPageBreak/>
              <w:t>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Produits de protection contre l</w:t>
            </w:r>
            <w:r w:rsidR="0090020F">
              <w:rPr>
                <w:b/>
                <w:sz w:val="20"/>
              </w:rPr>
              <w:t>’</w:t>
            </w:r>
            <w:r>
              <w:rPr>
                <w:b/>
                <w:sz w:val="20"/>
              </w:rPr>
              <w:t>incendie et l</w:t>
            </w:r>
            <w:r w:rsidR="0090020F">
              <w:rPr>
                <w:b/>
                <w:sz w:val="20"/>
              </w:rPr>
              <w:t>’</w:t>
            </w:r>
            <w:r>
              <w:rPr>
                <w:b/>
                <w:sz w:val="20"/>
              </w:rPr>
              <w:t>explosion</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4001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Produits de protection contre l</w:t>
            </w:r>
            <w:r w:rsidR="0090020F">
              <w:rPr>
                <w:sz w:val="20"/>
              </w:rPr>
              <w:t>’</w:t>
            </w:r>
            <w:r>
              <w:rPr>
                <w:sz w:val="20"/>
              </w:rPr>
              <w:t>incendie ou pour améliorer la résistance au feu, notamment les enduits, revêtements ou couches de protection, à l</w:t>
            </w:r>
            <w:r w:rsidR="0090020F">
              <w:rPr>
                <w:sz w:val="20"/>
              </w:rPr>
              <w:t>’</w:t>
            </w:r>
            <w:r>
              <w:rPr>
                <w:sz w:val="20"/>
              </w:rPr>
              <w:t>exception des produits en plâtre, des produits en laine minérale et des éléments préfabriqués en béton armé</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Produits pour empêcher ou limiter la propagation du feu, tels que les ciments, joints, mousses, élastomères, etc. appliqués sur place, ou sous forme de produits préfabriqués, tels que des plaques, blocs, traversins, sacs, bandages, manchettes, etc. joints d</w:t>
            </w:r>
            <w:r w:rsidR="0090020F">
              <w:rPr>
                <w:sz w:val="20"/>
              </w:rPr>
              <w:t>’</w:t>
            </w:r>
            <w:r>
              <w:rPr>
                <w:sz w:val="20"/>
              </w:rPr>
              <w:t>étanchéité anti-feu, joints d</w:t>
            </w:r>
            <w:r w:rsidR="0090020F">
              <w:rPr>
                <w:sz w:val="20"/>
              </w:rPr>
              <w:t>’</w:t>
            </w:r>
            <w:r>
              <w:rPr>
                <w:sz w:val="20"/>
              </w:rPr>
              <w:t>étanchéité des joints linéaires, tuyaux résistants au feu et fermetures coupe-feu </w:t>
            </w:r>
            <w:r>
              <w:rPr>
                <w:sz w:val="20"/>
                <w:vertAlign w:val="superscript"/>
              </w:rPr>
              <w:t>12</w:t>
            </w:r>
            <w:r>
              <w:rPr>
                <w:sz w:val="20"/>
              </w:rPr>
              <w:t>), tels que des clapets, couvercles et fermetures des convoyeurs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4003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Unités de ventilation pour l</w:t>
            </w:r>
            <w:r w:rsidR="0090020F">
              <w:rPr>
                <w:sz w:val="20"/>
              </w:rPr>
              <w:t>’</w:t>
            </w:r>
            <w:r>
              <w:rPr>
                <w:sz w:val="20"/>
              </w:rPr>
              <w:t>évacuation naturelle ou forcée de la chaleur et des produits de combustion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4004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de ventilation et systèmes de pression différentielle pour l</w:t>
            </w:r>
            <w:r w:rsidR="0090020F">
              <w:rPr>
                <w:sz w:val="20"/>
              </w:rPr>
              <w:t>’</w:t>
            </w:r>
            <w:r>
              <w:rPr>
                <w:sz w:val="20"/>
              </w:rPr>
              <w:t>évacuation des produits de combustion ou de leurs composants, tels que les rideaux de fumée, clapets, tuyaux d</w:t>
            </w:r>
            <w:r w:rsidR="0090020F">
              <w:rPr>
                <w:sz w:val="20"/>
              </w:rPr>
              <w:t>’</w:t>
            </w:r>
            <w:r>
              <w:rPr>
                <w:sz w:val="20"/>
              </w:rPr>
              <w:t>aération, détecteurs, panneaux de commande et de démarrage d</w:t>
            </w:r>
            <w:r w:rsidR="0090020F">
              <w:rPr>
                <w:sz w:val="20"/>
              </w:rPr>
              <w:t>’</w:t>
            </w:r>
            <w:r>
              <w:rPr>
                <w:sz w:val="20"/>
              </w:rPr>
              <w:t>urgence, y compris leurs sources d</w:t>
            </w:r>
            <w:r w:rsidR="0090020F">
              <w:rPr>
                <w:sz w:val="20"/>
              </w:rPr>
              <w:t>’</w:t>
            </w:r>
            <w:r>
              <w:rPr>
                <w:sz w:val="20"/>
              </w:rPr>
              <w:t>alimentation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4005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de suppression d</w:t>
            </w:r>
            <w:r w:rsidR="0090020F">
              <w:rPr>
                <w:sz w:val="20"/>
              </w:rPr>
              <w:t>’</w:t>
            </w:r>
            <w:r>
              <w:rPr>
                <w:sz w:val="20"/>
              </w:rPr>
              <w:t>explosion et leurs composants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Installations fixes de lutte contre l</w:t>
            </w:r>
            <w:r w:rsidR="0090020F">
              <w:rPr>
                <w:b/>
                <w:sz w:val="20"/>
              </w:rPr>
              <w:t>’</w:t>
            </w:r>
            <w:r>
              <w:rPr>
                <w:b/>
                <w:sz w:val="20"/>
              </w:rPr>
              <w:t>incendie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Bouches d</w:t>
            </w:r>
            <w:r w:rsidR="0090020F">
              <w:rPr>
                <w:sz w:val="20"/>
              </w:rPr>
              <w:t>’</w:t>
            </w:r>
            <w:r>
              <w:rPr>
                <w:sz w:val="20"/>
              </w:rPr>
              <w:t>incendie et dispositifs d</w:t>
            </w:r>
            <w:r w:rsidR="0090020F">
              <w:rPr>
                <w:sz w:val="20"/>
              </w:rPr>
              <w:t>’</w:t>
            </w:r>
            <w:r>
              <w:rPr>
                <w:sz w:val="20"/>
              </w:rPr>
              <w:t>extinction d</w:t>
            </w:r>
            <w:r w:rsidR="0090020F">
              <w:rPr>
                <w:sz w:val="20"/>
              </w:rPr>
              <w:t>’</w:t>
            </w:r>
            <w:r>
              <w:rPr>
                <w:sz w:val="20"/>
              </w:rPr>
              <w:t>incendie à tuyau</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Composants pour extincteurs automatiques à eau et dispositifs d</w:t>
            </w:r>
            <w:r w:rsidR="0090020F">
              <w:rPr>
                <w:sz w:val="20"/>
              </w:rPr>
              <w:t>’</w:t>
            </w:r>
            <w:r>
              <w:rPr>
                <w:sz w:val="20"/>
              </w:rPr>
              <w:t>extinction d</w:t>
            </w:r>
            <w:r w:rsidR="0090020F">
              <w:rPr>
                <w:sz w:val="20"/>
              </w:rPr>
              <w:t>’</w:t>
            </w:r>
            <w:r>
              <w:rPr>
                <w:sz w:val="20"/>
              </w:rPr>
              <w:t>incendie similaires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Composants des dispositifs d</w:t>
            </w:r>
            <w:r w:rsidR="0090020F">
              <w:rPr>
                <w:sz w:val="20"/>
              </w:rPr>
              <w:t>’</w:t>
            </w:r>
            <w:r>
              <w:rPr>
                <w:sz w:val="20"/>
              </w:rPr>
              <w:t>extinction à gaz</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Composants des dispositifs d</w:t>
            </w:r>
            <w:r w:rsidR="0090020F">
              <w:rPr>
                <w:sz w:val="20"/>
              </w:rPr>
              <w:t>’</w:t>
            </w:r>
            <w:r>
              <w:rPr>
                <w:sz w:val="20"/>
              </w:rPr>
              <w:t>extinction à poudre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Composants des dispositifs d</w:t>
            </w:r>
            <w:r w:rsidR="0090020F">
              <w:rPr>
                <w:sz w:val="20"/>
              </w:rPr>
              <w:t>’</w:t>
            </w:r>
            <w:r>
              <w:rPr>
                <w:sz w:val="20"/>
              </w:rPr>
              <w:t>extinction à mousse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Composants des dispositifs d</w:t>
            </w:r>
            <w:r w:rsidR="0090020F">
              <w:rPr>
                <w:sz w:val="20"/>
              </w:rPr>
              <w:t>’</w:t>
            </w:r>
            <w:r>
              <w:rPr>
                <w:sz w:val="20"/>
              </w:rPr>
              <w:t>extinction à aérosol</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lastRenderedPageBreak/>
              <w:t>Composants et dispositifs de signalisation d</w:t>
            </w:r>
            <w:r w:rsidR="0090020F">
              <w:rPr>
                <w:b/>
                <w:sz w:val="20"/>
              </w:rPr>
              <w:t>’</w:t>
            </w:r>
            <w:r>
              <w:rPr>
                <w:b/>
                <w:sz w:val="20"/>
              </w:rPr>
              <w:t>incendie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Signalisation d</w:t>
            </w:r>
            <w:r w:rsidR="0090020F">
              <w:rPr>
                <w:sz w:val="20"/>
              </w:rPr>
              <w:t>’</w:t>
            </w:r>
            <w:r>
              <w:rPr>
                <w:sz w:val="20"/>
              </w:rPr>
              <w:t>incendie électrique – dispositifs d</w:t>
            </w:r>
            <w:r w:rsidR="0090020F">
              <w:rPr>
                <w:sz w:val="20"/>
              </w:rPr>
              <w:t>’</w:t>
            </w:r>
            <w:r>
              <w:rPr>
                <w:sz w:val="20"/>
              </w:rPr>
              <w:t>alarme acoustique pour la signalisation d</w:t>
            </w:r>
            <w:r w:rsidR="0090020F">
              <w:rPr>
                <w:sz w:val="20"/>
              </w:rPr>
              <w:t>’</w:t>
            </w:r>
            <w:r>
              <w:rPr>
                <w:sz w:val="20"/>
              </w:rPr>
              <w:t>un incendie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Signalisation d</w:t>
            </w:r>
            <w:r w:rsidR="0090020F">
              <w:rPr>
                <w:sz w:val="20"/>
              </w:rPr>
              <w:t>’</w:t>
            </w:r>
            <w:r>
              <w:rPr>
                <w:sz w:val="20"/>
              </w:rPr>
              <w:t>incendie électrique – dispositifs d</w:t>
            </w:r>
            <w:r w:rsidR="0090020F">
              <w:rPr>
                <w:sz w:val="20"/>
              </w:rPr>
              <w:t>’</w:t>
            </w:r>
            <w:r>
              <w:rPr>
                <w:sz w:val="20"/>
              </w:rPr>
              <w:t>alimentation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Signalisation d</w:t>
            </w:r>
            <w:r w:rsidR="0090020F">
              <w:rPr>
                <w:sz w:val="20"/>
              </w:rPr>
              <w:t>’</w:t>
            </w:r>
            <w:r>
              <w:rPr>
                <w:sz w:val="20"/>
              </w:rPr>
              <w:t>incendie électrique – détecteurs de chaleur</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Signalisation d</w:t>
            </w:r>
            <w:r w:rsidR="0090020F">
              <w:rPr>
                <w:sz w:val="20"/>
              </w:rPr>
              <w:t>’</w:t>
            </w:r>
            <w:r>
              <w:rPr>
                <w:sz w:val="20"/>
              </w:rPr>
              <w:t>incendie électrique – détecteurs de fumée utilisant la diffusion de la lumière, la lumière pénétrante ou l</w:t>
            </w:r>
            <w:r w:rsidR="0090020F">
              <w:rPr>
                <w:sz w:val="20"/>
              </w:rPr>
              <w:t>’</w:t>
            </w:r>
            <w:r>
              <w:rPr>
                <w:sz w:val="20"/>
              </w:rPr>
              <w:t>ionisation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Signalisation d</w:t>
            </w:r>
            <w:r w:rsidR="0090020F">
              <w:rPr>
                <w:sz w:val="20"/>
              </w:rPr>
              <w:t>’</w:t>
            </w:r>
            <w:r>
              <w:rPr>
                <w:sz w:val="20"/>
              </w:rPr>
              <w:t>incendie électrique – détecteurs de fumée linéaires utilisant un faisceau optique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4206</w:t>
            </w:r>
          </w:p>
        </w:tc>
        <w:tc>
          <w:tcPr>
            <w:tcW w:w="5436" w:type="dxa"/>
          </w:tcPr>
          <w:p w:rsidR="00C155AB" w:rsidRPr="004363D5" w:rsidRDefault="00C155AB" w:rsidP="00A358E1">
            <w:pPr>
              <w:pStyle w:val="TableParagraph"/>
              <w:spacing w:before="0" w:line="276" w:lineRule="auto"/>
              <w:ind w:left="0" w:right="30"/>
              <w:jc w:val="both"/>
              <w:rPr>
                <w:sz w:val="20"/>
                <w:szCs w:val="20"/>
              </w:rPr>
            </w:pPr>
            <w:r>
              <w:rPr>
                <w:sz w:val="20"/>
              </w:rPr>
              <w:t>Composants des dispositifs de signalisation d</w:t>
            </w:r>
            <w:r w:rsidR="0090020F">
              <w:rPr>
                <w:sz w:val="20"/>
              </w:rPr>
              <w:t>’</w:t>
            </w:r>
            <w:r>
              <w:rPr>
                <w:sz w:val="20"/>
              </w:rPr>
              <w:t>incendie qui ne sont pas inclus dans les groupes 4201 à 4205 – détecteurs de fumée, de chaleur et de flammes, signalisation d</w:t>
            </w:r>
            <w:r w:rsidR="0090020F">
              <w:rPr>
                <w:sz w:val="20"/>
              </w:rPr>
              <w:t>’</w:t>
            </w:r>
            <w:r>
              <w:rPr>
                <w:sz w:val="20"/>
              </w:rPr>
              <w:t>incendie centrale, dispositif pour le transport du signal d</w:t>
            </w:r>
            <w:r w:rsidR="0090020F">
              <w:rPr>
                <w:sz w:val="20"/>
              </w:rPr>
              <w:t>’</w:t>
            </w:r>
            <w:r>
              <w:rPr>
                <w:sz w:val="20"/>
              </w:rPr>
              <w:t>alarme, y compris les protections contre les courts-circuits des voies de communication, dispositifs d</w:t>
            </w:r>
            <w:r w:rsidR="0090020F">
              <w:rPr>
                <w:sz w:val="20"/>
              </w:rPr>
              <w:t>’</w:t>
            </w:r>
            <w:r>
              <w:rPr>
                <w:sz w:val="20"/>
              </w:rPr>
              <w:t>alarme, dispositifs d</w:t>
            </w:r>
            <w:r w:rsidR="0090020F">
              <w:rPr>
                <w:sz w:val="20"/>
              </w:rPr>
              <w:t>’</w:t>
            </w:r>
            <w:r>
              <w:rPr>
                <w:sz w:val="20"/>
              </w:rPr>
              <w:t>entrée et de sortie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p>
        </w:tc>
        <w:tc>
          <w:tcPr>
            <w:tcW w:w="5436" w:type="dxa"/>
          </w:tcPr>
          <w:p w:rsidR="00C155AB" w:rsidRPr="004363D5" w:rsidRDefault="00C155AB" w:rsidP="00A358E1">
            <w:pPr>
              <w:pStyle w:val="TableParagraph"/>
              <w:spacing w:before="0" w:line="276" w:lineRule="auto"/>
              <w:ind w:left="0" w:right="30"/>
              <w:rPr>
                <w:sz w:val="20"/>
                <w:szCs w:val="20"/>
              </w:rPr>
            </w:pPr>
            <w:r>
              <w:rPr>
                <w:sz w:val="20"/>
              </w:rPr>
              <w:t>alarme à bouton-poussoir et leurs dispositifs d</w:t>
            </w:r>
            <w:r w:rsidR="0090020F">
              <w:rPr>
                <w:sz w:val="20"/>
              </w:rPr>
              <w:t>’</w:t>
            </w:r>
            <w:r>
              <w:rPr>
                <w:sz w:val="20"/>
              </w:rPr>
              <w:t>alimentation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4207</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Dispositifs de signalisation d</w:t>
            </w:r>
            <w:r w:rsidR="0090020F">
              <w:rPr>
                <w:sz w:val="20"/>
              </w:rPr>
              <w:t>’</w:t>
            </w:r>
            <w:r>
              <w:rPr>
                <w:sz w:val="20"/>
              </w:rPr>
              <w:t>incendie et d</w:t>
            </w:r>
            <w:r w:rsidR="0090020F">
              <w:rPr>
                <w:sz w:val="20"/>
              </w:rPr>
              <w:t>’</w:t>
            </w:r>
            <w:r>
              <w:rPr>
                <w:sz w:val="20"/>
              </w:rPr>
              <w:t>alarme combinés, systèmes d</w:t>
            </w:r>
            <w:r w:rsidR="0090020F">
              <w:rPr>
                <w:sz w:val="20"/>
              </w:rPr>
              <w:t>’</w:t>
            </w:r>
            <w:r>
              <w:rPr>
                <w:sz w:val="20"/>
              </w:rPr>
              <w:t>avertissement d</w:t>
            </w:r>
            <w:r w:rsidR="0090020F">
              <w:rPr>
                <w:sz w:val="20"/>
              </w:rPr>
              <w:t>’</w:t>
            </w:r>
            <w:r>
              <w:rPr>
                <w:sz w:val="20"/>
              </w:rPr>
              <w:t>un incendie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Substances de revêtement et de pénétration et systèmes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4301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Default="00C155AB" w:rsidP="00A358E1">
            <w:pPr>
              <w:pStyle w:val="TableParagraph"/>
              <w:spacing w:before="0" w:line="276" w:lineRule="auto"/>
              <w:ind w:left="0" w:right="30"/>
              <w:rPr>
                <w:b/>
                <w:sz w:val="20"/>
                <w:szCs w:val="20"/>
              </w:rPr>
            </w:pPr>
          </w:p>
          <w:p w:rsidR="0090020F" w:rsidRPr="004363D5" w:rsidRDefault="0090020F"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4302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4303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Substances de revêtement et de pénétration et systèmes de protection des parties structurelles des bâtiments contre leur corrosion et leur dégradation, à l</w:t>
            </w:r>
            <w:r w:rsidR="0090020F">
              <w:rPr>
                <w:sz w:val="20"/>
              </w:rPr>
              <w:t>’</w:t>
            </w:r>
            <w:r>
              <w:rPr>
                <w:sz w:val="20"/>
              </w:rPr>
              <w:t>exception des protections des ouvrages en béton et des protections contre l</w:t>
            </w:r>
            <w:r w:rsidR="0090020F">
              <w:rPr>
                <w:sz w:val="20"/>
              </w:rPr>
              <w:t>’</w:t>
            </w:r>
            <w:r>
              <w:rPr>
                <w:sz w:val="20"/>
              </w:rPr>
              <w:t>incendie</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Systèmes de revêtement pour la protection des systèmes de tuyauteries métalliques et des réservoirs contre la corrosion</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Systèmes de revêtement pour la protection des isolations thermiques contre leur dégradation et systèmes de revêtement contre l</w:t>
            </w:r>
            <w:r w:rsidR="0090020F">
              <w:rPr>
                <w:sz w:val="20"/>
              </w:rPr>
              <w:t>’</w:t>
            </w:r>
            <w:r>
              <w:rPr>
                <w:sz w:val="20"/>
              </w:rPr>
              <w:t>humidité</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Produits d</w:t>
            </w:r>
            <w:r w:rsidR="0090020F">
              <w:rPr>
                <w:b/>
                <w:sz w:val="20"/>
              </w:rPr>
              <w:t>’</w:t>
            </w:r>
            <w:r>
              <w:rPr>
                <w:b/>
                <w:sz w:val="20"/>
              </w:rPr>
              <w:t>insonorisation et antivibratoires</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4401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4402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 xml:space="preserve">Systèmes pour sols flottants pour atténuer les vibrations et le bruit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rPr>
              <w:t>Systèmes pour parois pour atténuer les vibrations et le bruit</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4403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Éléments antivibratoires destinés à la fixation des installations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Produits de réparation et de protection des structures en béton </w:t>
            </w:r>
            <w:r>
              <w:rPr>
                <w:b/>
                <w:sz w:val="20"/>
                <w:vertAlign w:val="superscript"/>
              </w:rPr>
              <w:t>c</w:t>
            </w:r>
            <w:r>
              <w:rPr>
                <w:b/>
                <w:sz w:val="20"/>
              </w:rPr>
              <w:t>)</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4501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4502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4503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Produits pour la réparation des structures en béton </w:t>
            </w:r>
            <w:r>
              <w:rPr>
                <w:sz w:val="20"/>
                <w:vertAlign w:val="superscript"/>
              </w:rPr>
              <w:t>c</w:t>
            </w:r>
            <w:r>
              <w:rPr>
                <w:sz w:val="20"/>
              </w:rPr>
              <w:t>), par exemple pour le remplissage des cavités, le scellement des fissures, etc.</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Produits de renforcement supplémentaire des structures en béton </w:t>
            </w:r>
            <w:r>
              <w:rPr>
                <w:sz w:val="20"/>
                <w:vertAlign w:val="superscript"/>
              </w:rPr>
              <w:t>c</w:t>
            </w:r>
            <w:r>
              <w:rPr>
                <w:sz w:val="20"/>
              </w:rPr>
              <w:t>), par exemple des lamelles collantes métalliques ou composites pour les surfaces traitées des supports, etc.</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Produits pour la protection des structures en béton </w:t>
            </w:r>
            <w:r>
              <w:rPr>
                <w:sz w:val="20"/>
                <w:vertAlign w:val="superscript"/>
              </w:rPr>
              <w:t>c</w:t>
            </w:r>
            <w:r>
              <w:rPr>
                <w:sz w:val="20"/>
              </w:rPr>
              <w:t>), par exemple pour l</w:t>
            </w:r>
            <w:r w:rsidR="0090020F">
              <w:rPr>
                <w:sz w:val="20"/>
              </w:rPr>
              <w:t>’</w:t>
            </w:r>
            <w:r>
              <w:rPr>
                <w:sz w:val="20"/>
              </w:rPr>
              <w:t>imprégnation de la surface du béton, protection anticorrosion de l</w:t>
            </w:r>
            <w:r w:rsidR="0090020F">
              <w:rPr>
                <w:sz w:val="20"/>
              </w:rPr>
              <w:t>’</w:t>
            </w:r>
            <w:r>
              <w:rPr>
                <w:sz w:val="20"/>
              </w:rPr>
              <w:t>armature, etc.</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la destination: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les parties structurelles </w:t>
            </w:r>
            <w:r>
              <w:rPr>
                <w:sz w:val="20"/>
                <w:vertAlign w:val="superscript"/>
              </w:rPr>
              <w:t>b</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les autres parties</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selon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Produits spéciaux</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Silos préfabriqués en béton </w:t>
            </w:r>
            <w:r>
              <w:rPr>
                <w:sz w:val="20"/>
                <w:vertAlign w:val="superscript"/>
              </w:rPr>
              <w:t>c</w:t>
            </w:r>
            <w:r>
              <w:rPr>
                <w:sz w:val="20"/>
              </w:rPr>
              <w:t>) destinés à recevoir des matériaux meubles et conteneurs pour déchets solides installés en surface ou sous la surface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Produits préfabriqués en béton </w:t>
            </w:r>
            <w:r>
              <w:rPr>
                <w:sz w:val="20"/>
                <w:vertAlign w:val="superscript"/>
              </w:rPr>
              <w:t>c</w:t>
            </w:r>
            <w:r>
              <w:rPr>
                <w:sz w:val="20"/>
              </w:rPr>
              <w:t>) destinés aux parties de bâtiments peu sollicitées et non porteuses, à l</w:t>
            </w:r>
            <w:r w:rsidR="0090020F">
              <w:rPr>
                <w:sz w:val="20"/>
              </w:rPr>
              <w:t>’</w:t>
            </w:r>
            <w:r>
              <w:rPr>
                <w:sz w:val="20"/>
              </w:rPr>
              <w:t>exception des tuyaux, réservoirs et éléments de clôtures, par exemple les boîtes de télécommunication, les petites bouches d</w:t>
            </w:r>
            <w:r w:rsidR="0090020F">
              <w:rPr>
                <w:sz w:val="20"/>
              </w:rPr>
              <w:t>’</w:t>
            </w:r>
            <w:r>
              <w:rPr>
                <w:sz w:val="20"/>
              </w:rPr>
              <w:t>entrée d</w:t>
            </w:r>
            <w:r w:rsidR="0090020F">
              <w:rPr>
                <w:sz w:val="20"/>
              </w:rPr>
              <w:t>’</w:t>
            </w:r>
            <w:r>
              <w:rPr>
                <w:sz w:val="20"/>
              </w:rPr>
              <w:t>eau, les éléments des parois non porteuses, les plaques de revêtement, etc.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Éléments préfabriqués en béton </w:t>
            </w:r>
            <w:r>
              <w:rPr>
                <w:sz w:val="20"/>
                <w:vertAlign w:val="superscript"/>
              </w:rPr>
              <w:t>c</w:t>
            </w:r>
            <w:r>
              <w:rPr>
                <w:sz w:val="20"/>
              </w:rPr>
              <w:t>) destinés aux clôtures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Salles de bain avec toilettes préfabriquées avec fermeture coupe-feu</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de protection des ouvrages du génie civil contre la chute de rochers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Ascenseurs en cas d</w:t>
            </w:r>
            <w:r w:rsidR="0090020F">
              <w:rPr>
                <w:sz w:val="20"/>
              </w:rPr>
              <w:t>’</w:t>
            </w:r>
            <w:r>
              <w:rPr>
                <w:sz w:val="20"/>
              </w:rPr>
              <w:t>incendie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4607</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w:t>
            </w:r>
            <w:r w:rsidR="0090020F">
              <w:rPr>
                <w:sz w:val="20"/>
              </w:rPr>
              <w:t>’</w:t>
            </w:r>
            <w:r>
              <w:rPr>
                <w:sz w:val="20"/>
              </w:rPr>
              <w:t>assainissement des maçonneries humides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4608</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de vitrage pour balcons et loggias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4609</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Produits de surface pour terrains de jeux</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utilisation intérieure selon les RSD:</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(A1FL, A2FL, </w:t>
            </w:r>
            <w:r>
              <w:rPr>
                <w:sz w:val="20"/>
              </w:rPr>
              <w:lastRenderedPageBreak/>
              <w:t>BFL, CFL) selon l</w:t>
            </w:r>
            <w:r w:rsidR="0090020F">
              <w:rPr>
                <w:sz w:val="20"/>
              </w:rPr>
              <w:t>’</w:t>
            </w:r>
            <w:r>
              <w:rPr>
                <w:sz w:val="20"/>
              </w:rPr>
              <w:t>article 4, paragraphe 2, point b), DFL, EFL, (A1FL à EFL) selon l</w:t>
            </w:r>
            <w:r w:rsidR="0090020F">
              <w:rPr>
                <w:sz w:val="20"/>
              </w:rPr>
              <w:t>’</w:t>
            </w:r>
            <w:r>
              <w:rPr>
                <w:sz w:val="20"/>
              </w:rPr>
              <w:t>article 4, paragraphe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Pour une utilisation externe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4610</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Systèmes de couches étanches ou de dallages des sols et des parois de pièces humides, par exemple, les salles de bain, d</w:t>
            </w:r>
            <w:r w:rsidR="0090020F">
              <w:rPr>
                <w:sz w:val="20"/>
              </w:rPr>
              <w:t>’</w:t>
            </w:r>
            <w:r>
              <w:rPr>
                <w:sz w:val="20"/>
              </w:rPr>
              <w:t>eau et les blanchisseries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4611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Ciments et produits destinés aux dilatations des parois extérieures des bâtiments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avec une classification conformément à la nature de 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selon l</w:t>
            </w:r>
            <w:r w:rsidR="0090020F">
              <w:rPr>
                <w:sz w:val="20"/>
              </w:rPr>
              <w:t>’</w:t>
            </w:r>
            <w:r>
              <w:rPr>
                <w:sz w:val="20"/>
              </w:rPr>
              <w:t>article 4, paragraphe 2, point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p>
        </w:tc>
        <w:tc>
          <w:tcPr>
            <w:tcW w:w="5436" w:type="dxa"/>
          </w:tcPr>
          <w:p w:rsidR="00C155AB" w:rsidRPr="004363D5" w:rsidRDefault="00C155AB" w:rsidP="00A358E1">
            <w:pPr>
              <w:pStyle w:val="TableParagraph"/>
              <w:spacing w:before="0" w:line="276" w:lineRule="auto"/>
              <w:ind w:left="0"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à E) selon l</w:t>
            </w:r>
            <w:r w:rsidR="0090020F">
              <w:rPr>
                <w:sz w:val="20"/>
              </w:rPr>
              <w:t>’</w:t>
            </w:r>
            <w:r>
              <w:rPr>
                <w:sz w:val="20"/>
              </w:rPr>
              <w:t>article 4, paragraphe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rPr>
              <w:t>4612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Garde-corps de protection pour les bâtiments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4613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Systèmes d</w:t>
            </w:r>
            <w:r w:rsidR="0090020F">
              <w:rPr>
                <w:sz w:val="20"/>
              </w:rPr>
              <w:t>’</w:t>
            </w:r>
            <w:r>
              <w:rPr>
                <w:sz w:val="20"/>
              </w:rPr>
              <w:t>étanchéité et d</w:t>
            </w:r>
            <w:r w:rsidR="0090020F">
              <w:rPr>
                <w:sz w:val="20"/>
              </w:rPr>
              <w:t>’</w:t>
            </w:r>
            <w:r>
              <w:rPr>
                <w:sz w:val="20"/>
              </w:rPr>
              <w:t>isolation thermique destinés à la construction et au ravalement des balcons, loggias et terrasses (systèmes pour balcons)</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(règlements de sécurité contre l</w:t>
            </w:r>
            <w:r w:rsidR="0090020F">
              <w:rPr>
                <w:sz w:val="20"/>
              </w:rPr>
              <w:t>’</w:t>
            </w:r>
            <w:r>
              <w:rPr>
                <w:sz w:val="20"/>
              </w:rPr>
              <w:t>incendie), avec une classification conformément à la nature de la CRF (classe de réaction au feu):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sensible au changement dans la production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classifiée sans essais selon l</w:t>
            </w:r>
            <w:r w:rsidR="0090020F">
              <w:rPr>
                <w:sz w:val="20"/>
              </w:rPr>
              <w:t>’</w:t>
            </w:r>
            <w:r>
              <w:rPr>
                <w:sz w:val="20"/>
              </w:rPr>
              <w:t xml:space="preserve">article 4, </w:t>
            </w:r>
            <w:r>
              <w:rPr>
                <w:sz w:val="20"/>
              </w:rPr>
              <w:lastRenderedPageBreak/>
              <w:t>paragraphe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w:t>
            </w:r>
            <w:r w:rsidR="0090020F">
              <w:rPr>
                <w:sz w:val="20"/>
              </w:rPr>
              <w:t>’</w:t>
            </w:r>
            <w:r>
              <w:rPr>
                <w:sz w:val="20"/>
              </w:rPr>
              <w:t>une autre nature que celle précitée selon l</w:t>
            </w:r>
            <w:r w:rsidR="0090020F">
              <w:rPr>
                <w:sz w:val="20"/>
              </w:rPr>
              <w:t>’</w:t>
            </w:r>
            <w:r>
              <w:rPr>
                <w:sz w:val="20"/>
              </w:rPr>
              <w:t>article 4, paragraphe 2, point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4614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Conduites d</w:t>
            </w:r>
            <w:r w:rsidR="0090020F">
              <w:rPr>
                <w:sz w:val="20"/>
              </w:rPr>
              <w:t>’</w:t>
            </w:r>
            <w:r>
              <w:rPr>
                <w:sz w:val="20"/>
              </w:rPr>
              <w:t>aération et tuyaux destinés à l</w:t>
            </w:r>
            <w:r w:rsidR="0090020F">
              <w:rPr>
                <w:sz w:val="20"/>
              </w:rPr>
              <w:t>’</w:t>
            </w:r>
            <w:r>
              <w:rPr>
                <w:sz w:val="20"/>
              </w:rPr>
              <w:t>aération des bâtiments et unités de récupération de chaleur</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Pour une destination de base </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Pour une destination à laquelle s</w:t>
            </w:r>
            <w:r w:rsidR="0090020F">
              <w:rPr>
                <w:sz w:val="20"/>
              </w:rPr>
              <w:t>’</w:t>
            </w:r>
            <w:r>
              <w:rPr>
                <w:sz w:val="20"/>
              </w:rPr>
              <w:t>appliquent les RSI (règlements de sécurité contre l</w:t>
            </w:r>
            <w:r w:rsidR="0090020F">
              <w:rPr>
                <w:sz w:val="20"/>
              </w:rPr>
              <w:t>’</w:t>
            </w:r>
            <w:r>
              <w:rPr>
                <w:sz w:val="20"/>
              </w:rPr>
              <w:t>incendie), avec une classification conformément à la nature de la CRF (classe de réaction au feu):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sensible au changement dans la production selon l</w:t>
            </w:r>
            <w:r w:rsidR="0090020F">
              <w:rPr>
                <w:sz w:val="20"/>
              </w:rPr>
              <w:t>’</w:t>
            </w:r>
            <w:r>
              <w:rPr>
                <w:sz w:val="20"/>
              </w:rPr>
              <w:t>article 4, paragraphe 2, point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classifiée sans essais selon l</w:t>
            </w:r>
            <w:r w:rsidR="0090020F">
              <w:rPr>
                <w:sz w:val="20"/>
              </w:rPr>
              <w:t>’</w:t>
            </w:r>
            <w:r>
              <w:rPr>
                <w:sz w:val="20"/>
              </w:rPr>
              <w:t>article 4, paragraphe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w:t>
            </w:r>
            <w:r w:rsidR="0090020F">
              <w:rPr>
                <w:sz w:val="20"/>
              </w:rPr>
              <w:t>’</w:t>
            </w:r>
            <w:r>
              <w:rPr>
                <w:sz w:val="20"/>
              </w:rPr>
              <w:t>une autre nature que celle précitée selon l</w:t>
            </w:r>
            <w:r w:rsidR="0090020F">
              <w:rPr>
                <w:sz w:val="20"/>
              </w:rPr>
              <w:t>’</w:t>
            </w:r>
            <w:r>
              <w:rPr>
                <w:sz w:val="20"/>
              </w:rPr>
              <w:t>article 4, paragraphe 2, point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bl>
    <w:p w:rsidR="00C202C6" w:rsidRPr="004363D5" w:rsidRDefault="00C202C6" w:rsidP="00A358E1">
      <w:pPr>
        <w:pStyle w:val="Corpsdetexte"/>
        <w:spacing w:line="276" w:lineRule="auto"/>
        <w:ind w:right="30"/>
        <w:rPr>
          <w:sz w:val="20"/>
          <w:szCs w:val="20"/>
        </w:rPr>
      </w:pPr>
    </w:p>
    <w:p w:rsidR="009A7616" w:rsidRPr="004363D5" w:rsidRDefault="00F72AF9" w:rsidP="00A358E1">
      <w:pPr>
        <w:pStyle w:val="Corpsdetexte"/>
        <w:spacing w:line="276" w:lineRule="auto"/>
        <w:ind w:left="450" w:right="30"/>
        <w:rPr>
          <w:sz w:val="20"/>
          <w:szCs w:val="20"/>
        </w:rPr>
      </w:pPr>
      <w:r>
        <w:rPr>
          <w:sz w:val="20"/>
        </w:rPr>
        <w:t>Abréviations utilisées:</w:t>
      </w:r>
    </w:p>
    <w:p w:rsidR="00814F6F" w:rsidRPr="004363D5" w:rsidRDefault="00F72AF9" w:rsidP="00A358E1">
      <w:pPr>
        <w:pStyle w:val="Corpsdetexte"/>
        <w:spacing w:line="276" w:lineRule="auto"/>
        <w:ind w:left="450" w:right="30"/>
        <w:rPr>
          <w:sz w:val="20"/>
          <w:szCs w:val="20"/>
        </w:rPr>
      </w:pPr>
      <w:r>
        <w:rPr>
          <w:sz w:val="20"/>
        </w:rPr>
        <w:t>ETICS – systèmes composites d</w:t>
      </w:r>
      <w:r w:rsidR="0090020F">
        <w:rPr>
          <w:sz w:val="20"/>
        </w:rPr>
        <w:t>’</w:t>
      </w:r>
      <w:r>
        <w:rPr>
          <w:sz w:val="20"/>
        </w:rPr>
        <w:t>isolation thermique par l</w:t>
      </w:r>
      <w:r w:rsidR="0090020F">
        <w:rPr>
          <w:sz w:val="20"/>
        </w:rPr>
        <w:t>’</w:t>
      </w:r>
      <w:r>
        <w:rPr>
          <w:sz w:val="20"/>
        </w:rPr>
        <w:t xml:space="preserve">extérieur; </w:t>
      </w:r>
    </w:p>
    <w:p w:rsidR="009A7616" w:rsidRPr="004363D5" w:rsidRDefault="00F72AF9" w:rsidP="00A358E1">
      <w:pPr>
        <w:pStyle w:val="Corpsdetexte"/>
        <w:spacing w:line="276" w:lineRule="auto"/>
        <w:ind w:left="450" w:right="30"/>
        <w:rPr>
          <w:sz w:val="20"/>
          <w:szCs w:val="20"/>
        </w:rPr>
      </w:pPr>
      <w:r>
        <w:rPr>
          <w:sz w:val="20"/>
        </w:rPr>
        <w:t>RSD – règlements sur les substances dangereuses;</w:t>
      </w:r>
    </w:p>
    <w:p w:rsidR="00814F6F" w:rsidRPr="004363D5" w:rsidRDefault="00F72AF9" w:rsidP="00A358E1">
      <w:pPr>
        <w:pStyle w:val="Corpsdetexte"/>
        <w:spacing w:line="276" w:lineRule="auto"/>
        <w:ind w:left="450" w:right="30"/>
        <w:rPr>
          <w:sz w:val="20"/>
          <w:szCs w:val="20"/>
        </w:rPr>
      </w:pPr>
      <w:r>
        <w:rPr>
          <w:sz w:val="20"/>
        </w:rPr>
        <w:t>RSI – règlements de sécurité contre l</w:t>
      </w:r>
      <w:r w:rsidR="0090020F">
        <w:rPr>
          <w:sz w:val="20"/>
        </w:rPr>
        <w:t>’</w:t>
      </w:r>
      <w:r>
        <w:rPr>
          <w:sz w:val="20"/>
        </w:rPr>
        <w:t xml:space="preserve">incendie; </w:t>
      </w:r>
    </w:p>
    <w:p w:rsidR="009A7616" w:rsidRPr="004363D5" w:rsidRDefault="00F72AF9" w:rsidP="00A358E1">
      <w:pPr>
        <w:pStyle w:val="Corpsdetexte"/>
        <w:spacing w:line="276" w:lineRule="auto"/>
        <w:ind w:left="450" w:right="30"/>
        <w:rPr>
          <w:sz w:val="20"/>
          <w:szCs w:val="20"/>
        </w:rPr>
      </w:pPr>
      <w:r>
        <w:rPr>
          <w:sz w:val="20"/>
        </w:rPr>
        <w:t xml:space="preserve">PTFE – </w:t>
      </w:r>
      <w:proofErr w:type="spellStart"/>
      <w:r>
        <w:rPr>
          <w:sz w:val="20"/>
        </w:rPr>
        <w:t>polytétrafluoroéthylène</w:t>
      </w:r>
      <w:proofErr w:type="spellEnd"/>
      <w:r>
        <w:rPr>
          <w:sz w:val="20"/>
        </w:rPr>
        <w:t>;</w:t>
      </w:r>
    </w:p>
    <w:p w:rsidR="009A7616" w:rsidRPr="004363D5" w:rsidRDefault="00F72AF9" w:rsidP="00A358E1">
      <w:pPr>
        <w:pStyle w:val="Corpsdetexte"/>
        <w:spacing w:line="276" w:lineRule="auto"/>
        <w:ind w:left="450" w:right="30"/>
        <w:rPr>
          <w:sz w:val="20"/>
          <w:szCs w:val="20"/>
        </w:rPr>
      </w:pPr>
      <w:r>
        <w:rPr>
          <w:sz w:val="20"/>
        </w:rPr>
        <w:t>REE – réaction à l</w:t>
      </w:r>
      <w:r w:rsidR="0090020F">
        <w:rPr>
          <w:sz w:val="20"/>
        </w:rPr>
        <w:t>’</w:t>
      </w:r>
      <w:r>
        <w:rPr>
          <w:sz w:val="20"/>
        </w:rPr>
        <w:t>environnement externe;</w:t>
      </w:r>
    </w:p>
    <w:p w:rsidR="00814F6F" w:rsidRPr="004363D5" w:rsidRDefault="00F72AF9" w:rsidP="00A358E1">
      <w:pPr>
        <w:pStyle w:val="Corpsdetexte"/>
        <w:spacing w:line="276" w:lineRule="auto"/>
        <w:ind w:left="450" w:right="30"/>
        <w:rPr>
          <w:sz w:val="20"/>
          <w:szCs w:val="20"/>
        </w:rPr>
      </w:pPr>
      <w:r>
        <w:rPr>
          <w:sz w:val="20"/>
        </w:rPr>
        <w:t>SEP – système d</w:t>
      </w:r>
      <w:r w:rsidR="0090020F">
        <w:rPr>
          <w:sz w:val="20"/>
        </w:rPr>
        <w:t>’</w:t>
      </w:r>
      <w:r>
        <w:rPr>
          <w:sz w:val="20"/>
        </w:rPr>
        <w:t xml:space="preserve">évaluation des performances; </w:t>
      </w:r>
    </w:p>
    <w:p w:rsidR="009A7616" w:rsidRPr="004363D5" w:rsidRDefault="00F72AF9" w:rsidP="00A358E1">
      <w:pPr>
        <w:pStyle w:val="Corpsdetexte"/>
        <w:spacing w:line="276" w:lineRule="auto"/>
        <w:ind w:left="450" w:right="30"/>
        <w:rPr>
          <w:sz w:val="20"/>
          <w:szCs w:val="20"/>
        </w:rPr>
      </w:pPr>
      <w:r>
        <w:rPr>
          <w:sz w:val="20"/>
        </w:rPr>
        <w:t>CRF – classe de réaction au feu;</w:t>
      </w:r>
    </w:p>
    <w:p w:rsidR="009A7616" w:rsidRPr="004363D5" w:rsidRDefault="009A7616" w:rsidP="00A358E1">
      <w:pPr>
        <w:pStyle w:val="Corpsdetexte"/>
        <w:spacing w:line="276" w:lineRule="auto"/>
        <w:ind w:left="450" w:right="30"/>
        <w:rPr>
          <w:sz w:val="20"/>
          <w:szCs w:val="20"/>
        </w:rPr>
      </w:pPr>
    </w:p>
    <w:p w:rsidR="009A7616" w:rsidRPr="004363D5" w:rsidRDefault="00F72AF9" w:rsidP="00A358E1">
      <w:pPr>
        <w:pStyle w:val="Corpsdetexte"/>
        <w:spacing w:line="276" w:lineRule="auto"/>
        <w:ind w:left="450" w:right="30"/>
        <w:rPr>
          <w:sz w:val="20"/>
          <w:szCs w:val="20"/>
        </w:rPr>
      </w:pPr>
      <w:r>
        <w:rPr>
          <w:sz w:val="20"/>
        </w:rPr>
        <w:t>Notes explicatives:</w:t>
      </w:r>
    </w:p>
    <w:p w:rsidR="009A7616" w:rsidRPr="004363D5" w:rsidRDefault="00F72AF9" w:rsidP="00A358E1">
      <w:pPr>
        <w:pStyle w:val="Corpsdetexte"/>
        <w:spacing w:line="276" w:lineRule="auto"/>
        <w:ind w:left="450" w:right="30"/>
        <w:jc w:val="both"/>
        <w:rPr>
          <w:sz w:val="20"/>
          <w:szCs w:val="20"/>
        </w:rPr>
      </w:pPr>
      <w:r>
        <w:rPr>
          <w:sz w:val="20"/>
          <w:vertAlign w:val="superscript"/>
        </w:rPr>
        <w:t>a</w:t>
      </w:r>
      <w:r>
        <w:rPr>
          <w:sz w:val="20"/>
        </w:rPr>
        <w:t>) Les systèmes d</w:t>
      </w:r>
      <w:r w:rsidR="0090020F">
        <w:rPr>
          <w:sz w:val="20"/>
        </w:rPr>
        <w:t>’</w:t>
      </w:r>
      <w:r>
        <w:rPr>
          <w:sz w:val="20"/>
        </w:rPr>
        <w:t>évaluation des performances I+, I, II+, III et IV sont les systèmes prévus par l</w:t>
      </w:r>
      <w:r w:rsidR="0090020F">
        <w:rPr>
          <w:sz w:val="20"/>
        </w:rPr>
        <w:t>’</w:t>
      </w:r>
      <w:r>
        <w:rPr>
          <w:sz w:val="20"/>
        </w:rPr>
        <w:t>article 3, paragraphe 1 et qui s</w:t>
      </w:r>
      <w:r w:rsidR="0090020F">
        <w:rPr>
          <w:sz w:val="20"/>
        </w:rPr>
        <w:t>’</w:t>
      </w:r>
      <w:r>
        <w:rPr>
          <w:sz w:val="20"/>
        </w:rPr>
        <w:t>appliquent lorsque des normes techniques définies ou des normes slovaques s</w:t>
      </w:r>
      <w:r w:rsidR="0090020F">
        <w:rPr>
          <w:sz w:val="20"/>
        </w:rPr>
        <w:t>’</w:t>
      </w:r>
      <w:r>
        <w:rPr>
          <w:sz w:val="20"/>
        </w:rPr>
        <w:t>appliquent aux produits. Lorsque des normes harmonisées ou des évaluations techniques européennes s</w:t>
      </w:r>
      <w:r w:rsidR="0090020F">
        <w:rPr>
          <w:sz w:val="20"/>
        </w:rPr>
        <w:t>’</w:t>
      </w:r>
      <w:r>
        <w:rPr>
          <w:sz w:val="20"/>
        </w:rPr>
        <w:t>appliquent aux produits, les systèmes d</w:t>
      </w:r>
      <w:r w:rsidR="0090020F">
        <w:rPr>
          <w:sz w:val="20"/>
        </w:rPr>
        <w:t>’</w:t>
      </w:r>
      <w:r>
        <w:rPr>
          <w:sz w:val="20"/>
        </w:rPr>
        <w:t>évaluation des performances selon l</w:t>
      </w:r>
      <w:r w:rsidR="0090020F">
        <w:rPr>
          <w:sz w:val="20"/>
        </w:rPr>
        <w:t>’</w:t>
      </w:r>
      <w:r>
        <w:rPr>
          <w:sz w:val="20"/>
        </w:rPr>
        <w:t>article 3, paragraphe 4, s</w:t>
      </w:r>
      <w:r w:rsidR="0090020F">
        <w:rPr>
          <w:sz w:val="20"/>
        </w:rPr>
        <w:t>’</w:t>
      </w:r>
      <w:r>
        <w:rPr>
          <w:sz w:val="20"/>
        </w:rPr>
        <w:t>appliquent. Concernant les produits issus des groupes auxquels s</w:t>
      </w:r>
      <w:r w:rsidR="0090020F">
        <w:rPr>
          <w:sz w:val="20"/>
        </w:rPr>
        <w:t>’</w:t>
      </w:r>
      <w:r>
        <w:rPr>
          <w:sz w:val="20"/>
        </w:rPr>
        <w:t>appliquent les documents d</w:t>
      </w:r>
      <w:r w:rsidR="0090020F">
        <w:rPr>
          <w:sz w:val="20"/>
        </w:rPr>
        <w:t>’</w:t>
      </w:r>
      <w:r>
        <w:rPr>
          <w:sz w:val="20"/>
        </w:rPr>
        <w:t>évaluation européens selon l</w:t>
      </w:r>
      <w:r w:rsidR="0090020F">
        <w:rPr>
          <w:sz w:val="20"/>
        </w:rPr>
        <w:t>’</w:t>
      </w:r>
      <w:r>
        <w:rPr>
          <w:sz w:val="20"/>
        </w:rPr>
        <w:t>article 2, paragraphe 12, du règlement (UE) nº 305/2011, les systèmes d</w:t>
      </w:r>
      <w:r w:rsidR="0090020F">
        <w:rPr>
          <w:sz w:val="20"/>
        </w:rPr>
        <w:t>’</w:t>
      </w:r>
      <w:r>
        <w:rPr>
          <w:sz w:val="20"/>
        </w:rPr>
        <w:t>évaluation des performances pertinents selon l</w:t>
      </w:r>
      <w:r w:rsidR="0090020F">
        <w:rPr>
          <w:sz w:val="20"/>
        </w:rPr>
        <w:t>’</w:t>
      </w:r>
      <w:r>
        <w:rPr>
          <w:sz w:val="20"/>
        </w:rPr>
        <w:t>article 3, paragraphe 4 sont indiqués entre parenthèses et s</w:t>
      </w:r>
      <w:r w:rsidR="0090020F">
        <w:rPr>
          <w:sz w:val="20"/>
        </w:rPr>
        <w:t>’</w:t>
      </w:r>
      <w:r>
        <w:rPr>
          <w:sz w:val="20"/>
        </w:rPr>
        <w:t xml:space="preserve">appliquent dès </w:t>
      </w:r>
      <w:r>
        <w:rPr>
          <w:sz w:val="20"/>
        </w:rPr>
        <w:lastRenderedPageBreak/>
        <w:t>lors que le produit est conforme à l</w:t>
      </w:r>
      <w:r w:rsidR="0090020F">
        <w:rPr>
          <w:sz w:val="20"/>
        </w:rPr>
        <w:t>’</w:t>
      </w:r>
      <w:r>
        <w:rPr>
          <w:sz w:val="20"/>
        </w:rPr>
        <w:t>évaluation technique européenne publiée conformément au document d</w:t>
      </w:r>
      <w:r w:rsidR="0090020F">
        <w:rPr>
          <w:sz w:val="20"/>
        </w:rPr>
        <w:t>’</w:t>
      </w:r>
      <w:r>
        <w:rPr>
          <w:sz w:val="20"/>
        </w:rPr>
        <w:t>évaluation européen. Toutefois, si un tel produit est conforme à l</w:t>
      </w:r>
      <w:r w:rsidR="0090020F">
        <w:rPr>
          <w:sz w:val="20"/>
        </w:rPr>
        <w:t>’</w:t>
      </w:r>
      <w:r>
        <w:rPr>
          <w:sz w:val="20"/>
        </w:rPr>
        <w:t>évaluation technique slovaque, les systèmes d</w:t>
      </w:r>
      <w:r w:rsidR="0090020F">
        <w:rPr>
          <w:sz w:val="20"/>
        </w:rPr>
        <w:t>’</w:t>
      </w:r>
      <w:r>
        <w:rPr>
          <w:sz w:val="20"/>
        </w:rPr>
        <w:t>évaluation des performances pertinentes selon l</w:t>
      </w:r>
      <w:r w:rsidR="0090020F">
        <w:rPr>
          <w:sz w:val="20"/>
        </w:rPr>
        <w:t>’</w:t>
      </w:r>
      <w:r>
        <w:rPr>
          <w:sz w:val="20"/>
        </w:rPr>
        <w:t>article 3, paragraphe 1, s</w:t>
      </w:r>
      <w:r w:rsidR="0090020F">
        <w:rPr>
          <w:sz w:val="20"/>
        </w:rPr>
        <w:t>’</w:t>
      </w:r>
      <w:r>
        <w:rPr>
          <w:sz w:val="20"/>
        </w:rPr>
        <w:t>appliquent.</w:t>
      </w:r>
    </w:p>
    <w:p w:rsidR="009A7616" w:rsidRPr="004363D5" w:rsidRDefault="00F72AF9" w:rsidP="00A358E1">
      <w:pPr>
        <w:pStyle w:val="Corpsdetexte"/>
        <w:spacing w:line="276" w:lineRule="auto"/>
        <w:ind w:left="450" w:right="30"/>
        <w:jc w:val="both"/>
        <w:rPr>
          <w:sz w:val="20"/>
          <w:szCs w:val="20"/>
        </w:rPr>
      </w:pPr>
      <w:r>
        <w:rPr>
          <w:sz w:val="20"/>
          <w:vertAlign w:val="superscript"/>
        </w:rPr>
        <w:t>b</w:t>
      </w:r>
      <w:r>
        <w:rPr>
          <w:sz w:val="20"/>
        </w:rPr>
        <w:t>) L</w:t>
      </w:r>
      <w:r w:rsidR="0090020F">
        <w:rPr>
          <w:sz w:val="20"/>
        </w:rPr>
        <w:t>’</w:t>
      </w:r>
      <w:r>
        <w:rPr>
          <w:sz w:val="20"/>
        </w:rPr>
        <w:t>expression «structurel» caractérise la destination du produit au sein du bâtiment en tant que pièce intégrée à la structure du bâtiment assurant la stabilité de l</w:t>
      </w:r>
      <w:r w:rsidR="0090020F">
        <w:rPr>
          <w:sz w:val="20"/>
        </w:rPr>
        <w:t>’</w:t>
      </w:r>
      <w:r>
        <w:rPr>
          <w:sz w:val="20"/>
        </w:rPr>
        <w:t>ouvrage (élément de soutien) ou en tant qu</w:t>
      </w:r>
      <w:r w:rsidR="0090020F">
        <w:rPr>
          <w:sz w:val="20"/>
        </w:rPr>
        <w:t>’</w:t>
      </w:r>
      <w:r>
        <w:rPr>
          <w:sz w:val="20"/>
        </w:rPr>
        <w:t>élément autonome qui transfère également la charge extérieure (par exemple, la charge résultant de la pression exercée par le vent).</w:t>
      </w:r>
    </w:p>
    <w:p w:rsidR="009A7616" w:rsidRPr="004363D5" w:rsidRDefault="00F72AF9" w:rsidP="00A358E1">
      <w:pPr>
        <w:pStyle w:val="Corpsdetexte"/>
        <w:spacing w:line="276" w:lineRule="auto"/>
        <w:ind w:left="450" w:right="30"/>
        <w:jc w:val="both"/>
        <w:rPr>
          <w:sz w:val="20"/>
          <w:szCs w:val="20"/>
        </w:rPr>
      </w:pPr>
      <w:r>
        <w:rPr>
          <w:sz w:val="20"/>
          <w:vertAlign w:val="superscript"/>
        </w:rPr>
        <w:t>c</w:t>
      </w:r>
      <w:r>
        <w:rPr>
          <w:sz w:val="20"/>
        </w:rPr>
        <w:t>) Les expressions «en béton» ou «pour béton» caractérisent un produit fabriqué à partir d</w:t>
      </w:r>
      <w:r w:rsidR="0090020F">
        <w:rPr>
          <w:sz w:val="20"/>
        </w:rPr>
        <w:t>’</w:t>
      </w:r>
      <w:r>
        <w:rPr>
          <w:sz w:val="20"/>
        </w:rPr>
        <w:t>un béton dense, léger ou d</w:t>
      </w:r>
      <w:r w:rsidR="0090020F">
        <w:rPr>
          <w:sz w:val="20"/>
        </w:rPr>
        <w:t>’</w:t>
      </w:r>
      <w:r>
        <w:rPr>
          <w:sz w:val="20"/>
        </w:rPr>
        <w:t xml:space="preserve">un béton cellulaire </w:t>
      </w:r>
      <w:proofErr w:type="spellStart"/>
      <w:r>
        <w:rPr>
          <w:sz w:val="20"/>
        </w:rPr>
        <w:t>autoclavé</w:t>
      </w:r>
      <w:proofErr w:type="spellEnd"/>
      <w:r>
        <w:rPr>
          <w:sz w:val="20"/>
        </w:rPr>
        <w:t>, avec ou sans armature.</w:t>
      </w:r>
    </w:p>
    <w:p w:rsidR="009A7616" w:rsidRPr="004363D5" w:rsidRDefault="00F72AF9" w:rsidP="00A358E1">
      <w:pPr>
        <w:pStyle w:val="Corpsdetexte"/>
        <w:spacing w:line="276" w:lineRule="auto"/>
        <w:ind w:left="450" w:right="30"/>
        <w:jc w:val="both"/>
        <w:rPr>
          <w:sz w:val="20"/>
          <w:szCs w:val="20"/>
        </w:rPr>
      </w:pPr>
      <w:r>
        <w:rPr>
          <w:sz w:val="20"/>
          <w:vertAlign w:val="superscript"/>
        </w:rPr>
        <w:t>d</w:t>
      </w:r>
      <w:r>
        <w:rPr>
          <w:sz w:val="20"/>
        </w:rPr>
        <w:t>) Une destination de base est une destination du produit au sein d</w:t>
      </w:r>
      <w:r w:rsidR="0090020F">
        <w:rPr>
          <w:sz w:val="20"/>
        </w:rPr>
        <w:t>’</w:t>
      </w:r>
      <w:r>
        <w:rPr>
          <w:sz w:val="20"/>
        </w:rPr>
        <w:t>un ouvrage pour lequel, pour le ou les groupes de produits concernés, une destination spécifique ou une utilisation spécifique n</w:t>
      </w:r>
      <w:r w:rsidR="0090020F">
        <w:rPr>
          <w:sz w:val="20"/>
        </w:rPr>
        <w:t>’</w:t>
      </w:r>
      <w:r>
        <w:rPr>
          <w:sz w:val="20"/>
        </w:rPr>
        <w:t>est pas déclarée pour cet ouvrage ou cette partie d</w:t>
      </w:r>
      <w:r w:rsidR="0090020F">
        <w:rPr>
          <w:sz w:val="20"/>
        </w:rPr>
        <w:t>’</w:t>
      </w:r>
      <w:r>
        <w:rPr>
          <w:sz w:val="20"/>
        </w:rPr>
        <w:t>ouvrage, auquel ouvrage s</w:t>
      </w:r>
      <w:r w:rsidR="0090020F">
        <w:rPr>
          <w:sz w:val="20"/>
        </w:rPr>
        <w:t>’</w:t>
      </w:r>
      <w:r>
        <w:rPr>
          <w:sz w:val="20"/>
        </w:rPr>
        <w:t>appliquent des règlements, des exigences ou des propriétés spécifiques indiquées dans le texte sous la destination de base. Lorsqu</w:t>
      </w:r>
      <w:r w:rsidR="0090020F">
        <w:rPr>
          <w:sz w:val="20"/>
        </w:rPr>
        <w:t>’</w:t>
      </w:r>
      <w:r>
        <w:rPr>
          <w:sz w:val="20"/>
        </w:rPr>
        <w:t>un ou plusieurs systèmes d</w:t>
      </w:r>
      <w:r w:rsidR="0090020F">
        <w:rPr>
          <w:sz w:val="20"/>
        </w:rPr>
        <w:t>’</w:t>
      </w:r>
      <w:r>
        <w:rPr>
          <w:sz w:val="20"/>
        </w:rPr>
        <w:t>évaluation des performances s</w:t>
      </w:r>
      <w:r w:rsidR="0090020F">
        <w:rPr>
          <w:sz w:val="20"/>
        </w:rPr>
        <w:t>’</w:t>
      </w:r>
      <w:r>
        <w:rPr>
          <w:sz w:val="20"/>
        </w:rPr>
        <w:t>appliquent dans le but de respecter des spécifications, ce ou ces systèmes sont appliqués ensemble avec le système défini pour une destination de base et le fabricant ne délivre qu</w:t>
      </w:r>
      <w:r w:rsidR="0090020F">
        <w:rPr>
          <w:sz w:val="20"/>
        </w:rPr>
        <w:t>’</w:t>
      </w:r>
      <w:r>
        <w:rPr>
          <w:sz w:val="20"/>
        </w:rPr>
        <w:t>une seule déclaration des performances.</w:t>
      </w:r>
    </w:p>
    <w:p w:rsidR="009A7616" w:rsidRPr="004363D5" w:rsidRDefault="00F72AF9" w:rsidP="00A358E1">
      <w:pPr>
        <w:pStyle w:val="Corpsdetexte"/>
        <w:spacing w:line="276" w:lineRule="auto"/>
        <w:ind w:left="450" w:right="30"/>
        <w:jc w:val="both"/>
        <w:rPr>
          <w:sz w:val="20"/>
          <w:szCs w:val="20"/>
        </w:rPr>
      </w:pPr>
      <w:r>
        <w:rPr>
          <w:sz w:val="20"/>
          <w:vertAlign w:val="superscript"/>
        </w:rPr>
        <w:t>e</w:t>
      </w:r>
      <w:r>
        <w:rPr>
          <w:sz w:val="20"/>
        </w:rPr>
        <w:t>) S</w:t>
      </w:r>
      <w:r w:rsidR="0090020F">
        <w:rPr>
          <w:sz w:val="20"/>
        </w:rPr>
        <w:t>’</w:t>
      </w:r>
      <w:r>
        <w:rPr>
          <w:sz w:val="20"/>
        </w:rPr>
        <w:t>applique aux groupes 0401 et 0404.</w:t>
      </w:r>
    </w:p>
    <w:p w:rsidR="009A7616" w:rsidRPr="004363D5" w:rsidRDefault="00F72AF9" w:rsidP="00A358E1">
      <w:pPr>
        <w:pStyle w:val="Corpsdetexte"/>
        <w:spacing w:line="276" w:lineRule="auto"/>
        <w:ind w:left="450" w:right="30"/>
        <w:jc w:val="both"/>
        <w:rPr>
          <w:sz w:val="20"/>
          <w:szCs w:val="20"/>
        </w:rPr>
      </w:pPr>
      <w:r>
        <w:rPr>
          <w:sz w:val="20"/>
          <w:vertAlign w:val="superscript"/>
        </w:rPr>
        <w:t>f</w:t>
      </w:r>
      <w:r>
        <w:rPr>
          <w:sz w:val="20"/>
        </w:rPr>
        <w:t>) S</w:t>
      </w:r>
      <w:r w:rsidR="0090020F">
        <w:rPr>
          <w:sz w:val="20"/>
        </w:rPr>
        <w:t>’</w:t>
      </w:r>
      <w:r>
        <w:rPr>
          <w:sz w:val="20"/>
        </w:rPr>
        <w:t>applique aux groupes 0404 et 0405.</w:t>
      </w:r>
    </w:p>
    <w:p w:rsidR="009A7616" w:rsidRPr="004363D5" w:rsidRDefault="00F72AF9" w:rsidP="00A358E1">
      <w:pPr>
        <w:pStyle w:val="Corpsdetexte"/>
        <w:spacing w:line="276" w:lineRule="auto"/>
        <w:ind w:left="450" w:right="30"/>
        <w:jc w:val="both"/>
        <w:rPr>
          <w:sz w:val="20"/>
          <w:szCs w:val="20"/>
        </w:rPr>
      </w:pPr>
      <w:r>
        <w:rPr>
          <w:sz w:val="20"/>
          <w:vertAlign w:val="superscript"/>
        </w:rPr>
        <w:t>g</w:t>
      </w:r>
      <w:r>
        <w:rPr>
          <w:sz w:val="20"/>
        </w:rPr>
        <w:t>) La composition du mortier proposé et le mode de production sont choisis dans le but d</w:t>
      </w:r>
      <w:r w:rsidR="0090020F">
        <w:rPr>
          <w:sz w:val="20"/>
        </w:rPr>
        <w:t>’</w:t>
      </w:r>
      <w:r>
        <w:rPr>
          <w:sz w:val="20"/>
        </w:rPr>
        <w:t>atteindre les propriétés spécifiées (conception de la qualité). Un mortier dont la composition est prescrite est produit conformément à la formule prescrite (conception de la formule).</w:t>
      </w:r>
    </w:p>
    <w:p w:rsidR="009A7616" w:rsidRPr="004363D5" w:rsidRDefault="00F72AF9" w:rsidP="00A358E1">
      <w:pPr>
        <w:pStyle w:val="Corpsdetexte"/>
        <w:spacing w:line="276" w:lineRule="auto"/>
        <w:ind w:left="450" w:right="30"/>
        <w:jc w:val="both"/>
        <w:rPr>
          <w:sz w:val="20"/>
          <w:szCs w:val="20"/>
        </w:rPr>
      </w:pPr>
      <w:r>
        <w:rPr>
          <w:sz w:val="20"/>
          <w:vertAlign w:val="superscript"/>
        </w:rPr>
        <w:t>h</w:t>
      </w:r>
      <w:r>
        <w:rPr>
          <w:sz w:val="20"/>
        </w:rPr>
        <w:t>) Le type I inclut l</w:t>
      </w:r>
      <w:r w:rsidR="0090020F">
        <w:rPr>
          <w:sz w:val="20"/>
        </w:rPr>
        <w:t>’</w:t>
      </w:r>
      <w:r>
        <w:rPr>
          <w:sz w:val="20"/>
        </w:rPr>
        <w:t>ajout de matériaux inertes ou quasi inertes. Le type II inclut l</w:t>
      </w:r>
      <w:r w:rsidR="0090020F">
        <w:rPr>
          <w:sz w:val="20"/>
        </w:rPr>
        <w:t>’</w:t>
      </w:r>
      <w:r>
        <w:rPr>
          <w:sz w:val="20"/>
        </w:rPr>
        <w:t>ajout de matériaux</w:t>
      </w:r>
    </w:p>
    <w:p w:rsidR="009A7616" w:rsidRPr="004363D5" w:rsidRDefault="00F72AF9" w:rsidP="00A358E1">
      <w:pPr>
        <w:pStyle w:val="Corpsdetexte"/>
        <w:spacing w:line="276" w:lineRule="auto"/>
        <w:ind w:left="450" w:right="30"/>
        <w:rPr>
          <w:sz w:val="20"/>
          <w:szCs w:val="20"/>
        </w:rPr>
      </w:pPr>
      <w:proofErr w:type="gramStart"/>
      <w:r>
        <w:rPr>
          <w:sz w:val="20"/>
        </w:rPr>
        <w:t>actifs</w:t>
      </w:r>
      <w:proofErr w:type="gramEnd"/>
      <w:r>
        <w:rPr>
          <w:sz w:val="20"/>
        </w:rPr>
        <w:t>.</w:t>
      </w:r>
    </w:p>
    <w:p w:rsidR="009A7616" w:rsidRPr="004363D5" w:rsidRDefault="00F72AF9" w:rsidP="00A358E1">
      <w:pPr>
        <w:pStyle w:val="Corpsdetexte"/>
        <w:spacing w:line="276" w:lineRule="auto"/>
        <w:ind w:left="450" w:right="30"/>
        <w:rPr>
          <w:sz w:val="20"/>
          <w:szCs w:val="20"/>
        </w:rPr>
      </w:pPr>
      <w:r>
        <w:rPr>
          <w:sz w:val="20"/>
          <w:vertAlign w:val="superscript"/>
        </w:rPr>
        <w:t>i</w:t>
      </w:r>
      <w:r>
        <w:rPr>
          <w:sz w:val="20"/>
        </w:rPr>
        <w:t>) Les éléments de maçonnerie de la catégorie I disposent d</w:t>
      </w:r>
      <w:r w:rsidR="0090020F">
        <w:rPr>
          <w:sz w:val="20"/>
        </w:rPr>
        <w:t>’</w:t>
      </w:r>
      <w:r>
        <w:rPr>
          <w:sz w:val="20"/>
        </w:rPr>
        <w:t>une résistance à la pression garantie avec une probabilité d</w:t>
      </w:r>
      <w:r w:rsidR="0090020F">
        <w:rPr>
          <w:sz w:val="20"/>
        </w:rPr>
        <w:t>’</w:t>
      </w:r>
      <w:r>
        <w:rPr>
          <w:sz w:val="20"/>
        </w:rPr>
        <w:t>endommagement qui n</w:t>
      </w:r>
      <w:r w:rsidR="0090020F">
        <w:rPr>
          <w:sz w:val="20"/>
        </w:rPr>
        <w:t>’</w:t>
      </w:r>
      <w:r>
        <w:rPr>
          <w:sz w:val="20"/>
        </w:rPr>
        <w:t>est pas supérieure à 5 %, à la différence de la catégorie II dont le niveau de fiabilité n</w:t>
      </w:r>
      <w:r w:rsidR="0090020F">
        <w:rPr>
          <w:sz w:val="20"/>
        </w:rPr>
        <w:t>’</w:t>
      </w:r>
      <w:r>
        <w:rPr>
          <w:sz w:val="20"/>
        </w:rPr>
        <w:t>est pas garanti.</w:t>
      </w:r>
    </w:p>
    <w:p w:rsidR="009A7616" w:rsidRPr="004363D5" w:rsidRDefault="00F72AF9" w:rsidP="00A358E1">
      <w:pPr>
        <w:pStyle w:val="Corpsdetexte"/>
        <w:spacing w:line="276" w:lineRule="auto"/>
        <w:ind w:left="450" w:right="30"/>
        <w:rPr>
          <w:sz w:val="20"/>
          <w:szCs w:val="20"/>
        </w:rPr>
      </w:pPr>
      <w:r>
        <w:rPr>
          <w:sz w:val="20"/>
          <w:vertAlign w:val="superscript"/>
        </w:rPr>
        <w:t>j</w:t>
      </w:r>
      <w:r>
        <w:rPr>
          <w:sz w:val="20"/>
        </w:rPr>
        <w:t>) Ne s</w:t>
      </w:r>
      <w:r w:rsidR="0090020F">
        <w:rPr>
          <w:sz w:val="20"/>
        </w:rPr>
        <w:t>’</w:t>
      </w:r>
      <w:r>
        <w:rPr>
          <w:sz w:val="20"/>
        </w:rPr>
        <w:t>applique qu</w:t>
      </w:r>
      <w:r w:rsidR="0090020F">
        <w:rPr>
          <w:sz w:val="20"/>
        </w:rPr>
        <w:t>’</w:t>
      </w:r>
      <w:r>
        <w:rPr>
          <w:sz w:val="20"/>
        </w:rPr>
        <w:t>aux éléments intégrant des matériaux d</w:t>
      </w:r>
      <w:r w:rsidR="0090020F">
        <w:rPr>
          <w:sz w:val="20"/>
        </w:rPr>
        <w:t>’</w:t>
      </w:r>
      <w:r>
        <w:rPr>
          <w:sz w:val="20"/>
        </w:rPr>
        <w:t>isolation thermique et le système d</w:t>
      </w:r>
      <w:r w:rsidR="0090020F">
        <w:rPr>
          <w:sz w:val="20"/>
        </w:rPr>
        <w:t>’</w:t>
      </w:r>
      <w:r>
        <w:rPr>
          <w:sz w:val="20"/>
        </w:rPr>
        <w:t>évaluation des performances s</w:t>
      </w:r>
      <w:r w:rsidR="0090020F">
        <w:rPr>
          <w:sz w:val="20"/>
        </w:rPr>
        <w:t>’</w:t>
      </w:r>
      <w:r>
        <w:rPr>
          <w:sz w:val="20"/>
        </w:rPr>
        <w:t>applique</w:t>
      </w:r>
    </w:p>
    <w:p w:rsidR="009A7616" w:rsidRPr="004363D5" w:rsidRDefault="00F72AF9" w:rsidP="00A358E1">
      <w:pPr>
        <w:pStyle w:val="Corpsdetexte"/>
        <w:spacing w:line="276" w:lineRule="auto"/>
        <w:ind w:left="450" w:right="30"/>
        <w:rPr>
          <w:sz w:val="20"/>
          <w:szCs w:val="20"/>
        </w:rPr>
      </w:pPr>
      <w:proofErr w:type="gramStart"/>
      <w:r>
        <w:rPr>
          <w:sz w:val="20"/>
        </w:rPr>
        <w:t>en</w:t>
      </w:r>
      <w:proofErr w:type="gramEnd"/>
      <w:r>
        <w:rPr>
          <w:sz w:val="20"/>
        </w:rPr>
        <w:t xml:space="preserve"> fonction de la catégorie de l</w:t>
      </w:r>
      <w:r w:rsidR="0090020F">
        <w:rPr>
          <w:sz w:val="20"/>
        </w:rPr>
        <w:t>’</w:t>
      </w:r>
      <w:r>
        <w:rPr>
          <w:sz w:val="20"/>
        </w:rPr>
        <w:t>élément.</w:t>
      </w:r>
    </w:p>
    <w:p w:rsidR="009A7616" w:rsidRPr="004363D5" w:rsidRDefault="00F72AF9" w:rsidP="00A358E1">
      <w:pPr>
        <w:pStyle w:val="Corpsdetexte"/>
        <w:spacing w:line="276" w:lineRule="auto"/>
        <w:ind w:left="450" w:right="30"/>
        <w:rPr>
          <w:sz w:val="20"/>
          <w:szCs w:val="20"/>
        </w:rPr>
      </w:pPr>
      <w:r>
        <w:rPr>
          <w:sz w:val="20"/>
          <w:vertAlign w:val="superscript"/>
        </w:rPr>
        <w:t>k</w:t>
      </w:r>
      <w:r>
        <w:rPr>
          <w:sz w:val="20"/>
        </w:rPr>
        <w:t>) À la différence des systèmes du type II et IV, les systèmes du type I et III contiennent des éléments réduisant le risque en cas de défaillance des joints collés.</w:t>
      </w:r>
    </w:p>
    <w:p w:rsidR="009A7616" w:rsidRPr="004363D5" w:rsidRDefault="00F72AF9" w:rsidP="00A358E1">
      <w:pPr>
        <w:pStyle w:val="Corpsdetexte"/>
        <w:spacing w:line="276" w:lineRule="auto"/>
        <w:ind w:left="450" w:right="30"/>
        <w:rPr>
          <w:sz w:val="20"/>
          <w:szCs w:val="20"/>
        </w:rPr>
      </w:pPr>
      <w:r>
        <w:rPr>
          <w:sz w:val="20"/>
          <w:vertAlign w:val="superscript"/>
        </w:rPr>
        <w:t>l</w:t>
      </w:r>
      <w:r>
        <w:rPr>
          <w:sz w:val="20"/>
        </w:rPr>
        <w:t>) S</w:t>
      </w:r>
      <w:r w:rsidR="0090020F">
        <w:rPr>
          <w:sz w:val="20"/>
        </w:rPr>
        <w:t>’</w:t>
      </w:r>
      <w:r>
        <w:rPr>
          <w:sz w:val="20"/>
        </w:rPr>
        <w:t>applique au groupe 2104.</w:t>
      </w:r>
    </w:p>
    <w:p w:rsidR="009A7616" w:rsidRPr="004363D5" w:rsidRDefault="00F72AF9" w:rsidP="00A358E1">
      <w:pPr>
        <w:pStyle w:val="Corpsdetexte"/>
        <w:spacing w:line="276" w:lineRule="auto"/>
        <w:ind w:left="450" w:right="30"/>
        <w:rPr>
          <w:sz w:val="20"/>
          <w:szCs w:val="20"/>
        </w:rPr>
      </w:pPr>
      <w:r>
        <w:rPr>
          <w:sz w:val="20"/>
          <w:vertAlign w:val="superscript"/>
        </w:rPr>
        <w:t>m</w:t>
      </w:r>
      <w:r>
        <w:rPr>
          <w:sz w:val="20"/>
        </w:rPr>
        <w:t>) Ne s</w:t>
      </w:r>
      <w:r w:rsidR="0090020F">
        <w:rPr>
          <w:sz w:val="20"/>
        </w:rPr>
        <w:t>’</w:t>
      </w:r>
      <w:r>
        <w:rPr>
          <w:sz w:val="20"/>
        </w:rPr>
        <w:t>applique qu</w:t>
      </w:r>
      <w:r w:rsidR="0090020F">
        <w:rPr>
          <w:sz w:val="20"/>
        </w:rPr>
        <w:t>’</w:t>
      </w:r>
      <w:r>
        <w:rPr>
          <w:sz w:val="20"/>
        </w:rPr>
        <w:t>aux panneaux et aux plafonds suspendus.</w:t>
      </w:r>
    </w:p>
    <w:p w:rsidR="009A7616" w:rsidRPr="004363D5" w:rsidRDefault="00F72AF9" w:rsidP="00A358E1">
      <w:pPr>
        <w:pStyle w:val="Corpsdetexte"/>
        <w:spacing w:line="276" w:lineRule="auto"/>
        <w:ind w:left="450" w:right="30"/>
        <w:rPr>
          <w:sz w:val="20"/>
          <w:szCs w:val="20"/>
        </w:rPr>
      </w:pPr>
      <w:r>
        <w:rPr>
          <w:sz w:val="20"/>
          <w:vertAlign w:val="superscript"/>
        </w:rPr>
        <w:t>n</w:t>
      </w:r>
      <w:r>
        <w:rPr>
          <w:sz w:val="20"/>
        </w:rPr>
        <w:t>) Ne s</w:t>
      </w:r>
      <w:r w:rsidR="0090020F">
        <w:rPr>
          <w:sz w:val="20"/>
        </w:rPr>
        <w:t>’</w:t>
      </w:r>
      <w:r>
        <w:rPr>
          <w:sz w:val="20"/>
        </w:rPr>
        <w:t>applique qu</w:t>
      </w:r>
      <w:r w:rsidR="0090020F">
        <w:rPr>
          <w:sz w:val="20"/>
        </w:rPr>
        <w:t>’</w:t>
      </w:r>
      <w:r>
        <w:rPr>
          <w:sz w:val="20"/>
        </w:rPr>
        <w:t>aux panneaux qui en même temps agissent en tant qu</w:t>
      </w:r>
      <w:r w:rsidR="0090020F">
        <w:rPr>
          <w:sz w:val="20"/>
        </w:rPr>
        <w:t>’</w:t>
      </w:r>
      <w:r>
        <w:rPr>
          <w:sz w:val="20"/>
        </w:rPr>
        <w:t>élément de renforcement des parois ou des plafonds.</w:t>
      </w:r>
    </w:p>
    <w:p w:rsidR="009A7616" w:rsidRPr="004363D5" w:rsidRDefault="00F72AF9" w:rsidP="00A358E1">
      <w:pPr>
        <w:pStyle w:val="Corpsdetexte"/>
        <w:spacing w:line="276" w:lineRule="auto"/>
        <w:ind w:left="450" w:right="30"/>
        <w:rPr>
          <w:sz w:val="20"/>
          <w:szCs w:val="20"/>
        </w:rPr>
      </w:pPr>
      <w:r>
        <w:rPr>
          <w:sz w:val="20"/>
          <w:vertAlign w:val="superscript"/>
        </w:rPr>
        <w:t>o</w:t>
      </w:r>
      <w:r>
        <w:rPr>
          <w:sz w:val="20"/>
        </w:rPr>
        <w:t>) Ne s</w:t>
      </w:r>
      <w:r w:rsidR="0090020F">
        <w:rPr>
          <w:sz w:val="20"/>
        </w:rPr>
        <w:t>’</w:t>
      </w:r>
      <w:r>
        <w:rPr>
          <w:sz w:val="20"/>
        </w:rPr>
        <w:t>applique qu</w:t>
      </w:r>
      <w:r w:rsidR="0090020F">
        <w:rPr>
          <w:sz w:val="20"/>
        </w:rPr>
        <w:t>’</w:t>
      </w:r>
      <w:r>
        <w:rPr>
          <w:sz w:val="20"/>
        </w:rPr>
        <w:t>aux carrelages et aux panneaux conçus avec une matière fragile et aux carrelages et aux panneaux destinés aux plafonds suspendus.</w:t>
      </w:r>
    </w:p>
    <w:p w:rsidR="009A7616" w:rsidRPr="004363D5" w:rsidRDefault="00F72AF9" w:rsidP="00A358E1">
      <w:pPr>
        <w:pStyle w:val="Corpsdetexte"/>
        <w:spacing w:line="276" w:lineRule="auto"/>
        <w:ind w:left="450" w:right="30"/>
        <w:rPr>
          <w:sz w:val="20"/>
          <w:szCs w:val="20"/>
        </w:rPr>
      </w:pPr>
      <w:r>
        <w:rPr>
          <w:sz w:val="20"/>
          <w:vertAlign w:val="superscript"/>
        </w:rPr>
        <w:t>p</w:t>
      </w:r>
      <w:r>
        <w:rPr>
          <w:sz w:val="20"/>
        </w:rPr>
        <w:t>) Ne s</w:t>
      </w:r>
      <w:r w:rsidR="0090020F">
        <w:rPr>
          <w:sz w:val="20"/>
        </w:rPr>
        <w:t>’</w:t>
      </w:r>
      <w:r>
        <w:rPr>
          <w:sz w:val="20"/>
        </w:rPr>
        <w:t>applique qu</w:t>
      </w:r>
      <w:r w:rsidR="0090020F">
        <w:rPr>
          <w:sz w:val="20"/>
        </w:rPr>
        <w:t>’</w:t>
      </w:r>
      <w:r>
        <w:rPr>
          <w:sz w:val="20"/>
        </w:rPr>
        <w:t>aux porte-tuyaux, à la robinetterie et aux appareils de sécurité.</w:t>
      </w:r>
    </w:p>
    <w:p w:rsidR="009A7616" w:rsidRPr="004363D5" w:rsidRDefault="00F72AF9" w:rsidP="00A358E1">
      <w:pPr>
        <w:pStyle w:val="Corpsdetexte"/>
        <w:spacing w:line="276" w:lineRule="auto"/>
        <w:ind w:left="450" w:right="30"/>
        <w:rPr>
          <w:sz w:val="20"/>
          <w:szCs w:val="20"/>
        </w:rPr>
      </w:pPr>
      <w:r>
        <w:rPr>
          <w:sz w:val="20"/>
          <w:vertAlign w:val="superscript"/>
        </w:rPr>
        <w:t>q</w:t>
      </w:r>
      <w:r>
        <w:rPr>
          <w:sz w:val="20"/>
        </w:rPr>
        <w:t>) Ne s</w:t>
      </w:r>
      <w:r w:rsidR="0090020F">
        <w:rPr>
          <w:sz w:val="20"/>
        </w:rPr>
        <w:t>’</w:t>
      </w:r>
      <w:r>
        <w:rPr>
          <w:sz w:val="20"/>
        </w:rPr>
        <w:t>applique qu</w:t>
      </w:r>
      <w:r w:rsidR="0090020F">
        <w:rPr>
          <w:sz w:val="20"/>
        </w:rPr>
        <w:t>’</w:t>
      </w:r>
      <w:r>
        <w:rPr>
          <w:sz w:val="20"/>
        </w:rPr>
        <w:t>aux réservoirs.</w:t>
      </w:r>
    </w:p>
    <w:p w:rsidR="009A7616" w:rsidRPr="004363D5" w:rsidRDefault="00F72AF9" w:rsidP="00A358E1">
      <w:pPr>
        <w:pStyle w:val="Corpsdetexte"/>
        <w:spacing w:line="276" w:lineRule="auto"/>
        <w:ind w:left="450" w:right="30"/>
        <w:rPr>
          <w:sz w:val="20"/>
          <w:szCs w:val="20"/>
        </w:rPr>
      </w:pPr>
      <w:proofErr w:type="gramStart"/>
      <w:r>
        <w:rPr>
          <w:sz w:val="20"/>
          <w:vertAlign w:val="superscript"/>
        </w:rPr>
        <w:t>r</w:t>
      </w:r>
      <w:proofErr w:type="gramEnd"/>
      <w:r>
        <w:rPr>
          <w:sz w:val="20"/>
        </w:rPr>
        <w:t>) S</w:t>
      </w:r>
      <w:r w:rsidR="0090020F">
        <w:rPr>
          <w:sz w:val="20"/>
        </w:rPr>
        <w:t>’</w:t>
      </w:r>
      <w:r>
        <w:rPr>
          <w:sz w:val="20"/>
        </w:rPr>
        <w:t>applique aux rallonges de cheminées.»</w:t>
      </w:r>
    </w:p>
    <w:p w:rsidR="0026606D" w:rsidRPr="004363D5" w:rsidRDefault="0026606D" w:rsidP="00A358E1">
      <w:pPr>
        <w:spacing w:line="276" w:lineRule="auto"/>
        <w:ind w:right="30"/>
        <w:rPr>
          <w:sz w:val="20"/>
          <w:szCs w:val="20"/>
        </w:rPr>
      </w:pPr>
    </w:p>
    <w:p w:rsidR="009A7616" w:rsidRPr="004363D5" w:rsidRDefault="00F72AF9" w:rsidP="00A358E1">
      <w:pPr>
        <w:pStyle w:val="Titre1"/>
        <w:spacing w:before="0" w:line="276" w:lineRule="auto"/>
        <w:ind w:left="0" w:right="30"/>
        <w:jc w:val="both"/>
        <w:rPr>
          <w:rFonts w:ascii="Times New Roman" w:hAnsi="Times New Roman" w:cs="Times New Roman"/>
        </w:rPr>
      </w:pPr>
      <w:r>
        <w:rPr>
          <w:rFonts w:ascii="Times New Roman" w:hAnsi="Times New Roman"/>
        </w:rPr>
        <w:t>Les appels de notes nº 9 à 12 sont rédigés comme suit:</w:t>
      </w:r>
    </w:p>
    <w:p w:rsidR="009A7616" w:rsidRPr="004363D5" w:rsidRDefault="00F72AF9" w:rsidP="00A358E1">
      <w:pPr>
        <w:spacing w:line="276" w:lineRule="auto"/>
        <w:ind w:right="30"/>
        <w:jc w:val="both"/>
        <w:rPr>
          <w:sz w:val="20"/>
          <w:szCs w:val="20"/>
        </w:rPr>
      </w:pPr>
      <w:r>
        <w:rPr>
          <w:sz w:val="20"/>
        </w:rPr>
        <w:t>«</w:t>
      </w:r>
      <w:r>
        <w:rPr>
          <w:sz w:val="20"/>
          <w:vertAlign w:val="superscript"/>
        </w:rPr>
        <w:t>9</w:t>
      </w:r>
      <w:r>
        <w:rPr>
          <w:sz w:val="20"/>
        </w:rPr>
        <w:t>) Arrêté du ministère de l</w:t>
      </w:r>
      <w:r w:rsidR="0090020F">
        <w:rPr>
          <w:sz w:val="20"/>
        </w:rPr>
        <w:t>’</w:t>
      </w:r>
      <w:r>
        <w:rPr>
          <w:sz w:val="20"/>
        </w:rPr>
        <w:t>environnement de la République slovaque nº 119/2016 du recueil des lois établissant les modalités de l</w:t>
      </w:r>
      <w:r w:rsidR="0090020F">
        <w:rPr>
          <w:sz w:val="20"/>
        </w:rPr>
        <w:t>’</w:t>
      </w:r>
      <w:r>
        <w:rPr>
          <w:sz w:val="20"/>
        </w:rPr>
        <w:t>exercice de la supervision technique et de sécurité des ouvrages hydrauliques et de l</w:t>
      </w:r>
      <w:r w:rsidR="0090020F">
        <w:rPr>
          <w:sz w:val="20"/>
        </w:rPr>
        <w:t>’</w:t>
      </w:r>
      <w:r>
        <w:rPr>
          <w:sz w:val="20"/>
        </w:rPr>
        <w:t>exercice de la surveillance technique et de sécurité.</w:t>
      </w:r>
    </w:p>
    <w:p w:rsidR="009A7616" w:rsidRPr="004363D5" w:rsidRDefault="00F72AF9" w:rsidP="00A358E1">
      <w:pPr>
        <w:spacing w:line="276" w:lineRule="auto"/>
        <w:ind w:right="30"/>
        <w:rPr>
          <w:sz w:val="20"/>
          <w:szCs w:val="20"/>
        </w:rPr>
      </w:pPr>
      <w:r>
        <w:rPr>
          <w:sz w:val="20"/>
          <w:vertAlign w:val="superscript"/>
        </w:rPr>
        <w:t>10</w:t>
      </w:r>
      <w:r>
        <w:rPr>
          <w:sz w:val="20"/>
        </w:rPr>
        <w:t>) STN 73 6114 Chaussées des voies de communication terrestres. Dispositions de base pour la conception (73 6114).</w:t>
      </w:r>
    </w:p>
    <w:p w:rsidR="009A7616" w:rsidRPr="004363D5" w:rsidRDefault="00F72AF9" w:rsidP="00A358E1">
      <w:pPr>
        <w:spacing w:line="276" w:lineRule="auto"/>
        <w:ind w:right="30"/>
        <w:rPr>
          <w:sz w:val="20"/>
          <w:szCs w:val="20"/>
        </w:rPr>
      </w:pPr>
      <w:r>
        <w:rPr>
          <w:sz w:val="20"/>
          <w:vertAlign w:val="superscript"/>
        </w:rPr>
        <w:t>11</w:t>
      </w:r>
      <w:r>
        <w:rPr>
          <w:sz w:val="20"/>
        </w:rPr>
        <w:t>) STN 75 0150 Gestion de l</w:t>
      </w:r>
      <w:r w:rsidR="0090020F">
        <w:rPr>
          <w:sz w:val="20"/>
        </w:rPr>
        <w:t>’</w:t>
      </w:r>
      <w:r>
        <w:rPr>
          <w:sz w:val="20"/>
        </w:rPr>
        <w:t>eau. Terminologie de l</w:t>
      </w:r>
      <w:r w:rsidR="0090020F">
        <w:rPr>
          <w:sz w:val="20"/>
        </w:rPr>
        <w:t>’</w:t>
      </w:r>
      <w:r>
        <w:rPr>
          <w:sz w:val="20"/>
        </w:rPr>
        <w:t>approvisionnement en eau (75 0150).</w:t>
      </w:r>
    </w:p>
    <w:p w:rsidR="009A7616" w:rsidRPr="004363D5" w:rsidRDefault="00F72AF9" w:rsidP="00A358E1">
      <w:pPr>
        <w:spacing w:line="276" w:lineRule="auto"/>
        <w:ind w:right="30"/>
        <w:rPr>
          <w:sz w:val="20"/>
          <w:szCs w:val="20"/>
        </w:rPr>
      </w:pPr>
      <w:r>
        <w:rPr>
          <w:sz w:val="20"/>
          <w:vertAlign w:val="superscript"/>
        </w:rPr>
        <w:t>12</w:t>
      </w:r>
      <w:r>
        <w:rPr>
          <w:sz w:val="20"/>
        </w:rPr>
        <w:t>) Arrêté du ministère de l</w:t>
      </w:r>
      <w:r w:rsidR="0090020F">
        <w:rPr>
          <w:sz w:val="20"/>
        </w:rPr>
        <w:t>’</w:t>
      </w:r>
      <w:r>
        <w:rPr>
          <w:sz w:val="20"/>
        </w:rPr>
        <w:t>intérieur de la République slovaque nº 478/2008 du recueil des lois sur les propriétés, les conditions spécifiques de fonctionnement et l</w:t>
      </w:r>
      <w:r w:rsidR="0090020F">
        <w:rPr>
          <w:sz w:val="20"/>
        </w:rPr>
        <w:t>’</w:t>
      </w:r>
      <w:r>
        <w:rPr>
          <w:sz w:val="20"/>
        </w:rPr>
        <w:t>assurance de l</w:t>
      </w:r>
      <w:r w:rsidR="0090020F">
        <w:rPr>
          <w:sz w:val="20"/>
        </w:rPr>
        <w:t>’</w:t>
      </w:r>
      <w:r>
        <w:rPr>
          <w:sz w:val="20"/>
        </w:rPr>
        <w:t>inspection régulière des fermetures coupe-feu.»</w:t>
      </w:r>
    </w:p>
    <w:p w:rsidR="00814F6F" w:rsidRPr="004363D5" w:rsidRDefault="00814F6F" w:rsidP="00A358E1">
      <w:pPr>
        <w:spacing w:line="276" w:lineRule="auto"/>
        <w:ind w:right="30"/>
        <w:jc w:val="center"/>
        <w:rPr>
          <w:b/>
          <w:sz w:val="20"/>
          <w:szCs w:val="20"/>
        </w:rPr>
      </w:pPr>
    </w:p>
    <w:p w:rsidR="009A7616" w:rsidRPr="004363D5" w:rsidRDefault="00F72AF9" w:rsidP="00A358E1">
      <w:pPr>
        <w:spacing w:line="276" w:lineRule="auto"/>
        <w:ind w:right="30"/>
        <w:jc w:val="center"/>
        <w:rPr>
          <w:b/>
          <w:sz w:val="20"/>
          <w:szCs w:val="20"/>
        </w:rPr>
      </w:pPr>
      <w:r>
        <w:rPr>
          <w:b/>
          <w:sz w:val="20"/>
        </w:rPr>
        <w:lastRenderedPageBreak/>
        <w:t>Article II</w:t>
      </w:r>
    </w:p>
    <w:p w:rsidR="009A7616" w:rsidRPr="004363D5" w:rsidRDefault="00F72AF9" w:rsidP="00A358E1">
      <w:pPr>
        <w:spacing w:line="276" w:lineRule="auto"/>
        <w:ind w:right="30"/>
        <w:rPr>
          <w:sz w:val="20"/>
          <w:szCs w:val="20"/>
        </w:rPr>
      </w:pPr>
      <w:r>
        <w:rPr>
          <w:sz w:val="20"/>
        </w:rPr>
        <w:t>Le présent arrêté entre en vigueur le 1</w:t>
      </w:r>
      <w:r>
        <w:rPr>
          <w:sz w:val="20"/>
          <w:vertAlign w:val="superscript"/>
        </w:rPr>
        <w:t>er</w:t>
      </w:r>
      <w:r>
        <w:rPr>
          <w:sz w:val="20"/>
        </w:rPr>
        <w:t> mars 2020.</w:t>
      </w:r>
    </w:p>
    <w:p w:rsidR="009A7616" w:rsidRPr="004363D5" w:rsidRDefault="009A7616" w:rsidP="00A358E1">
      <w:pPr>
        <w:pStyle w:val="Corpsdetexte"/>
        <w:spacing w:line="276" w:lineRule="auto"/>
        <w:ind w:right="30"/>
        <w:rPr>
          <w:sz w:val="20"/>
          <w:szCs w:val="20"/>
        </w:rPr>
      </w:pPr>
    </w:p>
    <w:p w:rsidR="009A7616" w:rsidRPr="004363D5" w:rsidRDefault="00F72AF9" w:rsidP="00A358E1">
      <w:pPr>
        <w:spacing w:line="276" w:lineRule="auto"/>
        <w:ind w:right="30"/>
        <w:jc w:val="center"/>
        <w:rPr>
          <w:b/>
          <w:sz w:val="20"/>
          <w:szCs w:val="20"/>
        </w:rPr>
      </w:pPr>
      <w:proofErr w:type="spellStart"/>
      <w:r>
        <w:rPr>
          <w:b/>
          <w:sz w:val="20"/>
        </w:rPr>
        <w:t>Arpád</w:t>
      </w:r>
      <w:proofErr w:type="spellEnd"/>
      <w:r>
        <w:rPr>
          <w:b/>
          <w:sz w:val="20"/>
        </w:rPr>
        <w:t xml:space="preserve"> </w:t>
      </w:r>
      <w:proofErr w:type="spellStart"/>
      <w:r>
        <w:rPr>
          <w:b/>
          <w:sz w:val="20"/>
        </w:rPr>
        <w:t>Érsek</w:t>
      </w:r>
      <w:proofErr w:type="spellEnd"/>
    </w:p>
    <w:p w:rsidR="0026606D" w:rsidRPr="004363D5" w:rsidRDefault="0026606D" w:rsidP="00A358E1">
      <w:pPr>
        <w:spacing w:line="276" w:lineRule="auto"/>
        <w:ind w:right="30"/>
        <w:jc w:val="center"/>
        <w:rPr>
          <w:sz w:val="20"/>
          <w:szCs w:val="20"/>
        </w:rPr>
      </w:pPr>
    </w:p>
    <w:p w:rsidR="009A7616" w:rsidRPr="004363D5" w:rsidRDefault="009A7616" w:rsidP="00A358E1">
      <w:pPr>
        <w:pStyle w:val="Corpsdetexte"/>
        <w:spacing w:line="276" w:lineRule="auto"/>
        <w:ind w:right="30"/>
        <w:rPr>
          <w:b/>
          <w:sz w:val="20"/>
          <w:szCs w:val="20"/>
        </w:rPr>
      </w:pPr>
    </w:p>
    <w:p w:rsidR="00814F6F" w:rsidRPr="004363D5" w:rsidRDefault="00814F6F" w:rsidP="00A358E1">
      <w:pPr>
        <w:pStyle w:val="Corpsdetexte"/>
        <w:spacing w:line="276" w:lineRule="auto"/>
        <w:ind w:right="30"/>
        <w:rPr>
          <w:b/>
          <w:sz w:val="20"/>
          <w:szCs w:val="20"/>
        </w:rPr>
      </w:pPr>
      <w:r>
        <w:br w:type="page"/>
      </w: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A7616" w:rsidP="00A358E1">
      <w:pPr>
        <w:pStyle w:val="Corpsdetexte"/>
        <w:spacing w:line="276" w:lineRule="auto"/>
        <w:ind w:right="30"/>
        <w:rPr>
          <w:b/>
          <w:sz w:val="20"/>
          <w:szCs w:val="20"/>
        </w:rPr>
      </w:pPr>
    </w:p>
    <w:p w:rsidR="009A7616" w:rsidRPr="004363D5" w:rsidRDefault="00964104" w:rsidP="00A358E1">
      <w:pPr>
        <w:pStyle w:val="Corpsdetexte"/>
        <w:spacing w:line="276" w:lineRule="auto"/>
        <w:ind w:right="30"/>
        <w:rPr>
          <w:b/>
          <w:sz w:val="20"/>
          <w:szCs w:val="20"/>
        </w:rPr>
      </w:pPr>
      <w:r>
        <w:rPr>
          <w:sz w:val="20"/>
        </w:rPr>
        <w:pict>
          <v:shape id="_x0000_s1026" style="position:absolute;margin-left:55.25pt;margin-top:11.85pt;width:484.7pt;height:.1pt;z-index:-251658752;mso-wrap-distance-left:0;mso-wrap-distance-right:0;mso-position-horizontal-relative:page" coordorigin="1105,237" coordsize="9694,0" path="m1105,237r9694,e" filled="f" strokeweight=".39969mm">
            <v:path arrowok="t"/>
            <w10:wrap type="topAndBottom" anchorx="page"/>
          </v:shape>
        </w:pict>
      </w:r>
    </w:p>
    <w:p w:rsidR="009A7616" w:rsidRPr="004363D5" w:rsidRDefault="009A7616" w:rsidP="00A358E1">
      <w:pPr>
        <w:pStyle w:val="Corpsdetexte"/>
        <w:spacing w:line="276" w:lineRule="auto"/>
        <w:ind w:right="30"/>
        <w:rPr>
          <w:b/>
          <w:sz w:val="20"/>
          <w:szCs w:val="20"/>
        </w:rPr>
      </w:pPr>
    </w:p>
    <w:p w:rsidR="009A7616" w:rsidRPr="004363D5" w:rsidRDefault="00F72AF9" w:rsidP="00A358E1">
      <w:pPr>
        <w:spacing w:line="276" w:lineRule="auto"/>
        <w:ind w:right="30"/>
        <w:jc w:val="center"/>
        <w:rPr>
          <w:sz w:val="20"/>
          <w:szCs w:val="20"/>
        </w:rPr>
      </w:pPr>
      <w:r>
        <w:rPr>
          <w:sz w:val="20"/>
        </w:rPr>
        <w:t>L</w:t>
      </w:r>
      <w:r w:rsidR="0090020F">
        <w:rPr>
          <w:sz w:val="20"/>
        </w:rPr>
        <w:t>’</w:t>
      </w:r>
      <w:r>
        <w:rPr>
          <w:sz w:val="20"/>
        </w:rPr>
        <w:t>éditeur du Journal officiel de la République slovaque, administrateur de contenu et opérateur du portail juridique et d</w:t>
      </w:r>
      <w:r w:rsidR="0090020F">
        <w:rPr>
          <w:sz w:val="20"/>
        </w:rPr>
        <w:t>’</w:t>
      </w:r>
      <w:r>
        <w:rPr>
          <w:sz w:val="20"/>
        </w:rPr>
        <w:t xml:space="preserve">information </w:t>
      </w:r>
      <w:proofErr w:type="spellStart"/>
      <w:r>
        <w:rPr>
          <w:sz w:val="20"/>
        </w:rPr>
        <w:t>Slov-Lex</w:t>
      </w:r>
      <w:proofErr w:type="spellEnd"/>
      <w:r>
        <w:rPr>
          <w:sz w:val="20"/>
        </w:rPr>
        <w:t>, disponible sur le site internet</w:t>
      </w:r>
      <w:hyperlink r:id="rId12">
        <w:r>
          <w:rPr>
            <w:sz w:val="20"/>
          </w:rPr>
          <w:t xml:space="preserve">www.slov-lex.sk </w:t>
        </w:r>
      </w:hyperlink>
      <w:r>
        <w:rPr>
          <w:sz w:val="20"/>
        </w:rPr>
        <w:t>est</w:t>
      </w:r>
    </w:p>
    <w:p w:rsidR="009A7616" w:rsidRPr="004363D5" w:rsidRDefault="00F72AF9" w:rsidP="00A358E1">
      <w:pPr>
        <w:spacing w:line="276" w:lineRule="auto"/>
        <w:ind w:right="30"/>
        <w:jc w:val="center"/>
        <w:rPr>
          <w:sz w:val="20"/>
          <w:szCs w:val="20"/>
        </w:rPr>
      </w:pPr>
      <w:proofErr w:type="gramStart"/>
      <w:r>
        <w:rPr>
          <w:sz w:val="20"/>
        </w:rPr>
        <w:t>le</w:t>
      </w:r>
      <w:proofErr w:type="gramEnd"/>
      <w:r>
        <w:rPr>
          <w:sz w:val="20"/>
        </w:rPr>
        <w:t xml:space="preserve"> ministère de la justice de la République slovaque, </w:t>
      </w:r>
      <w:proofErr w:type="spellStart"/>
      <w:r>
        <w:rPr>
          <w:sz w:val="20"/>
        </w:rPr>
        <w:t>Župné</w:t>
      </w:r>
      <w:proofErr w:type="spellEnd"/>
      <w:r>
        <w:rPr>
          <w:sz w:val="20"/>
        </w:rPr>
        <w:t xml:space="preserve"> </w:t>
      </w:r>
      <w:proofErr w:type="spellStart"/>
      <w:r>
        <w:rPr>
          <w:sz w:val="20"/>
        </w:rPr>
        <w:t>námestie</w:t>
      </w:r>
      <w:proofErr w:type="spellEnd"/>
      <w:r>
        <w:rPr>
          <w:sz w:val="20"/>
        </w:rPr>
        <w:t xml:space="preserve"> 13, 813 11 Bratislava, téléphone: 02 888 91 131, courriel: </w:t>
      </w:r>
      <w:hyperlink r:id="rId13">
        <w:r>
          <w:rPr>
            <w:sz w:val="20"/>
          </w:rPr>
          <w:t>helpdesk@slov-lex.sk.</w:t>
        </w:r>
      </w:hyperlink>
    </w:p>
    <w:sectPr w:rsidR="009A7616" w:rsidRPr="004363D5" w:rsidSect="003E0348">
      <w:headerReference w:type="even" r:id="rId14"/>
      <w:headerReference w:type="default" r:id="rId15"/>
      <w:footerReference w:type="even" r:id="rId16"/>
      <w:footerReference w:type="default" r:id="rId17"/>
      <w:headerReference w:type="first" r:id="rId18"/>
      <w:footerReference w:type="first" r:id="rId19"/>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04" w:rsidRDefault="00964104">
      <w:r>
        <w:separator/>
      </w:r>
    </w:p>
  </w:endnote>
  <w:endnote w:type="continuationSeparator" w:id="0">
    <w:p w:rsidR="00964104" w:rsidRDefault="0096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1" w:rsidRDefault="003703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1" w:rsidRDefault="003703E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1" w:rsidRDefault="003703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04" w:rsidRDefault="00964104">
      <w:r>
        <w:separator/>
      </w:r>
    </w:p>
  </w:footnote>
  <w:footnote w:type="continuationSeparator" w:id="0">
    <w:p w:rsidR="00964104" w:rsidRDefault="00964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2F5637" w:rsidTr="001800E3">
      <w:tc>
        <w:tcPr>
          <w:tcW w:w="1728" w:type="dxa"/>
        </w:tcPr>
        <w:p w:rsidR="002F5637" w:rsidRPr="003703E1" w:rsidRDefault="002F5637" w:rsidP="003E0348">
          <w:pPr>
            <w:spacing w:before="24"/>
            <w:ind w:left="20"/>
            <w:rPr>
              <w:rFonts w:ascii="Palatino Linotype" w:hAnsi="Palatino Linotype"/>
              <w:w w:val="110"/>
              <w:sz w:val="20"/>
            </w:rPr>
          </w:pPr>
          <w:r>
            <w:rPr>
              <w:rFonts w:ascii="Palatino Linotype" w:hAnsi="Palatino Linotype"/>
              <w:sz w:val="20"/>
            </w:rPr>
            <w:t>Page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523E5B">
            <w:rPr>
              <w:rFonts w:ascii="Palatino Linotype" w:hAnsi="Palatino Linotype"/>
              <w:noProof/>
              <w:sz w:val="20"/>
            </w:rPr>
            <w:t>24</w:t>
          </w:r>
          <w:r w:rsidRPr="003703E1">
            <w:rPr>
              <w:rFonts w:ascii="Palatino Linotype" w:hAnsi="Palatino Linotype"/>
              <w:sz w:val="20"/>
            </w:rPr>
            <w:fldChar w:fldCharType="end"/>
          </w:r>
        </w:p>
      </w:tc>
      <w:tc>
        <w:tcPr>
          <w:tcW w:w="5310" w:type="dxa"/>
        </w:tcPr>
        <w:p w:rsidR="002F5637" w:rsidRPr="003703E1" w:rsidRDefault="002F5637" w:rsidP="003E0348">
          <w:pPr>
            <w:spacing w:before="24"/>
            <w:ind w:left="20"/>
            <w:jc w:val="center"/>
            <w:rPr>
              <w:rFonts w:ascii="Palatino Linotype" w:hAnsi="Palatino Linotype"/>
              <w:w w:val="110"/>
              <w:sz w:val="20"/>
            </w:rPr>
          </w:pPr>
          <w:r>
            <w:rPr>
              <w:rFonts w:ascii="Palatino Linotype" w:hAnsi="Palatino Linotype"/>
              <w:sz w:val="20"/>
            </w:rPr>
            <w:t>Recueil des lois de la République slovaque</w:t>
          </w:r>
        </w:p>
      </w:tc>
      <w:tc>
        <w:tcPr>
          <w:tcW w:w="2208" w:type="dxa"/>
        </w:tcPr>
        <w:p w:rsidR="002F5637" w:rsidRPr="003E0348" w:rsidRDefault="002F5637" w:rsidP="003E0348">
          <w:pPr>
            <w:spacing w:before="60"/>
            <w:ind w:left="20"/>
            <w:jc w:val="right"/>
            <w:rPr>
              <w:b/>
              <w:sz w:val="20"/>
            </w:rPr>
          </w:pPr>
          <w:r>
            <w:rPr>
              <w:b/>
              <w:sz w:val="20"/>
            </w:rPr>
            <w:t>17/2020 du Recueil des lois</w:t>
          </w:r>
        </w:p>
      </w:tc>
    </w:tr>
  </w:tbl>
  <w:p w:rsidR="002F5637" w:rsidRDefault="002F563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2F5637" w:rsidTr="001800E3">
      <w:tc>
        <w:tcPr>
          <w:tcW w:w="2538" w:type="dxa"/>
        </w:tcPr>
        <w:p w:rsidR="002F5637" w:rsidRPr="003E0348" w:rsidRDefault="002F5637" w:rsidP="003E0348">
          <w:pPr>
            <w:spacing w:before="24"/>
            <w:ind w:left="20"/>
            <w:rPr>
              <w:rFonts w:ascii="Palatino Linotype"/>
              <w:sz w:val="20"/>
            </w:rPr>
          </w:pPr>
          <w:r>
            <w:rPr>
              <w:b/>
              <w:sz w:val="20"/>
            </w:rPr>
            <w:t>17/2020 du recueil des lois</w:t>
          </w:r>
        </w:p>
      </w:tc>
      <w:tc>
        <w:tcPr>
          <w:tcW w:w="4500" w:type="dxa"/>
        </w:tcPr>
        <w:p w:rsidR="002F5637" w:rsidRPr="003703E1" w:rsidRDefault="002F5637" w:rsidP="003E0348">
          <w:pPr>
            <w:spacing w:before="24"/>
            <w:ind w:left="20"/>
            <w:jc w:val="center"/>
            <w:rPr>
              <w:rFonts w:ascii="Palatino Linotype" w:hAnsi="Palatino Linotype"/>
              <w:w w:val="110"/>
              <w:sz w:val="20"/>
            </w:rPr>
          </w:pPr>
          <w:r>
            <w:rPr>
              <w:rFonts w:ascii="Palatino Linotype" w:hAnsi="Palatino Linotype"/>
              <w:sz w:val="20"/>
            </w:rPr>
            <w:t>Recueil des lois de la République slovaque</w:t>
          </w:r>
        </w:p>
      </w:tc>
      <w:tc>
        <w:tcPr>
          <w:tcW w:w="2208" w:type="dxa"/>
        </w:tcPr>
        <w:p w:rsidR="002F5637" w:rsidRPr="003703E1" w:rsidRDefault="002F5637" w:rsidP="003E0348">
          <w:pPr>
            <w:spacing w:before="60"/>
            <w:ind w:left="20"/>
            <w:jc w:val="right"/>
            <w:rPr>
              <w:rFonts w:ascii="Palatino Linotype" w:hAnsi="Palatino Linotype"/>
              <w:w w:val="110"/>
              <w:sz w:val="20"/>
            </w:rPr>
          </w:pPr>
          <w:r>
            <w:rPr>
              <w:rFonts w:ascii="Palatino Linotype" w:hAnsi="Palatino Linotype"/>
              <w:sz w:val="20"/>
            </w:rPr>
            <w:t>Page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523E5B">
            <w:rPr>
              <w:rFonts w:ascii="Palatino Linotype" w:hAnsi="Palatino Linotype"/>
              <w:noProof/>
              <w:sz w:val="20"/>
            </w:rPr>
            <w:t>25</w:t>
          </w:r>
          <w:r w:rsidRPr="003703E1">
            <w:rPr>
              <w:rFonts w:ascii="Palatino Linotype" w:hAnsi="Palatino Linotype"/>
              <w:sz w:val="20"/>
            </w:rPr>
            <w:fldChar w:fldCharType="end"/>
          </w:r>
        </w:p>
      </w:tc>
    </w:tr>
  </w:tbl>
  <w:p w:rsidR="002F5637" w:rsidRDefault="002F5637" w:rsidP="003E034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1" w:rsidRDefault="003703E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040C9"/>
    <w:rsid w:val="000E3FFC"/>
    <w:rsid w:val="00111869"/>
    <w:rsid w:val="001800E3"/>
    <w:rsid w:val="001C343E"/>
    <w:rsid w:val="002266FA"/>
    <w:rsid w:val="0026606D"/>
    <w:rsid w:val="00285C62"/>
    <w:rsid w:val="002954D2"/>
    <w:rsid w:val="002F5637"/>
    <w:rsid w:val="003173AE"/>
    <w:rsid w:val="003703E1"/>
    <w:rsid w:val="003D70E5"/>
    <w:rsid w:val="003E0348"/>
    <w:rsid w:val="004363D5"/>
    <w:rsid w:val="00523E5B"/>
    <w:rsid w:val="0060285B"/>
    <w:rsid w:val="0081408E"/>
    <w:rsid w:val="00814F6F"/>
    <w:rsid w:val="00856642"/>
    <w:rsid w:val="008C0386"/>
    <w:rsid w:val="008E04D0"/>
    <w:rsid w:val="0090020F"/>
    <w:rsid w:val="00930B99"/>
    <w:rsid w:val="00964104"/>
    <w:rsid w:val="009A7616"/>
    <w:rsid w:val="00A065E5"/>
    <w:rsid w:val="00A358E1"/>
    <w:rsid w:val="00A6117D"/>
    <w:rsid w:val="00A628A8"/>
    <w:rsid w:val="00AD3858"/>
    <w:rsid w:val="00B76517"/>
    <w:rsid w:val="00BE0393"/>
    <w:rsid w:val="00BE6967"/>
    <w:rsid w:val="00C155AB"/>
    <w:rsid w:val="00C202C6"/>
    <w:rsid w:val="00CB0C3B"/>
    <w:rsid w:val="00E73EEB"/>
    <w:rsid w:val="00E74E1E"/>
    <w:rsid w:val="00F43CFB"/>
    <w:rsid w:val="00F72AF9"/>
    <w:rsid w:val="00F90EC5"/>
    <w:rsid w:val="00FC2E47"/>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eastAsia="sk-SK" w:bidi="sk-SK"/>
    </w:rPr>
  </w:style>
  <w:style w:type="paragraph" w:styleId="Titre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16"/>
      <w:szCs w:val="16"/>
    </w:rPr>
  </w:style>
  <w:style w:type="paragraph" w:styleId="Paragraphedeliste">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En-tte">
    <w:name w:val="header"/>
    <w:basedOn w:val="Normal"/>
    <w:link w:val="En-tteCar"/>
    <w:uiPriority w:val="99"/>
    <w:unhideWhenUsed/>
    <w:rsid w:val="00F72AF9"/>
    <w:pPr>
      <w:tabs>
        <w:tab w:val="center" w:pos="4680"/>
        <w:tab w:val="right" w:pos="9360"/>
      </w:tabs>
    </w:pPr>
  </w:style>
  <w:style w:type="character" w:customStyle="1" w:styleId="En-tteCar">
    <w:name w:val="En-tête Car"/>
    <w:basedOn w:val="Policepardfaut"/>
    <w:link w:val="En-tte"/>
    <w:uiPriority w:val="99"/>
    <w:rsid w:val="00F72AF9"/>
    <w:rPr>
      <w:rFonts w:ascii="Times New Roman" w:eastAsia="Times New Roman" w:hAnsi="Times New Roman" w:cs="Times New Roman"/>
      <w:lang w:val="fr-FR" w:eastAsia="sk-SK" w:bidi="sk-SK"/>
    </w:rPr>
  </w:style>
  <w:style w:type="paragraph" w:styleId="Pieddepage">
    <w:name w:val="footer"/>
    <w:basedOn w:val="Normal"/>
    <w:link w:val="PieddepageCar"/>
    <w:uiPriority w:val="99"/>
    <w:unhideWhenUsed/>
    <w:rsid w:val="00F72AF9"/>
    <w:pPr>
      <w:tabs>
        <w:tab w:val="center" w:pos="4680"/>
        <w:tab w:val="right" w:pos="9360"/>
      </w:tabs>
    </w:pPr>
  </w:style>
  <w:style w:type="character" w:customStyle="1" w:styleId="PieddepageCar">
    <w:name w:val="Pied de page Car"/>
    <w:basedOn w:val="Policepardfaut"/>
    <w:link w:val="Pieddepage"/>
    <w:uiPriority w:val="99"/>
    <w:rsid w:val="00F72AF9"/>
    <w:rPr>
      <w:rFonts w:ascii="Times New Roman" w:eastAsia="Times New Roman" w:hAnsi="Times New Roman" w:cs="Times New Roman"/>
      <w:lang w:val="fr-FR" w:eastAsia="sk-SK" w:bidi="sk-SK"/>
    </w:rPr>
  </w:style>
  <w:style w:type="table" w:styleId="Grilledutableau">
    <w:name w:val="Table Grid"/>
    <w:basedOn w:val="Tableau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slov-lex.s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lov-lex.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71C393-C4D2-47C3-A1E1-AFD1DBC7B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39</Pages>
  <Words>10656</Words>
  <Characters>58612</Characters>
  <Application>Microsoft Office Word</Application>
  <DocSecurity>0</DocSecurity>
  <Lines>488</Lines>
  <Paragraphs>138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17</vt:lpstr>
      <vt:lpstr>Poznámky pod čiarou k odkazom 9 až 12 znejú:</vt:lpstr>
    </vt:vector>
  </TitlesOfParts>
  <Company>Microsoft</Company>
  <LinksUpToDate>false</LinksUpToDate>
  <CharactersWithSpaces>69130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Mathieu</cp:lastModifiedBy>
  <cp:revision>37</cp:revision>
  <dcterms:created xsi:type="dcterms:W3CDTF">2020-01-30T05:27:00Z</dcterms:created>
  <dcterms:modified xsi:type="dcterms:W3CDTF">2020-08-04T06:28:00Z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