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Default="00FA2F25" w:rsidP="00FA2F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---</w:t>
      </w:r>
      <w:r w:rsidR="007A2AE0">
        <w:rPr>
          <w:rFonts w:ascii="Courier New" w:hAnsi="Courier New"/>
          <w:sz w:val="20"/>
          <w:szCs w:val="20"/>
        </w:rPr>
        <w:t>-</w:t>
      </w:r>
      <w:r>
        <w:rPr>
          <w:rFonts w:ascii="Courier New" w:hAnsi="Courier New"/>
          <w:sz w:val="20"/>
          <w:szCs w:val="20"/>
        </w:rPr>
        <w:t xml:space="preserve">--IND- 2017 0370 IRL SV- ------ </w:t>
      </w:r>
      <w:r>
        <w:rPr>
          <w:rFonts w:ascii="Segoe UI" w:hAnsi="Segoe UI"/>
          <w:color w:val="000000"/>
          <w:sz w:val="20"/>
          <w:szCs w:val="20"/>
        </w:rPr>
        <w:t>20201030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Rättsligt instrument nr 260/2020 – 2020 års förordning om lagen om luftföroreningar (marknadsföring, försäljning, distribution och förbränning av specificerade bränslen) (ändring)</w:t>
      </w:r>
    </w:p>
    <w:p w:rsidR="006D4DC9" w:rsidRPr="00C42427" w:rsidRDefault="006D4DC9" w:rsidP="00225B28">
      <w:pPr>
        <w:jc w:val="both"/>
      </w:pPr>
      <w:bookmarkStart w:id="0" w:name="_GoBack"/>
      <w:bookmarkEnd w:id="0"/>
    </w:p>
    <w:p w:rsidR="006D4DC9" w:rsidRPr="00C42427" w:rsidRDefault="00C51FBC" w:rsidP="00225B28">
      <w:pPr>
        <w:jc w:val="both"/>
      </w:pPr>
      <w:r>
        <w:t xml:space="preserve">Jag, Eamon Ryan, minister för kommunikation, klimatpolitik och miljö, förordnar härmed genom utövande av de befogenheter som tilldelas ministern för miljö och lokalt styre i enlighet med </w:t>
      </w:r>
      <w:hyperlink r:id="rId10" w:anchor="sec10" w:history="1">
        <w:r>
          <w:rPr>
            <w:rStyle w:val="Hyperlink"/>
          </w:rPr>
          <w:t>avsnitt 10</w:t>
        </w:r>
      </w:hyperlink>
      <w:r>
        <w:t xml:space="preserve">, </w:t>
      </w:r>
      <w:hyperlink r:id="rId11" w:anchor="sec14" w:history="1">
        <w:r>
          <w:rPr>
            <w:rStyle w:val="Hyperlink"/>
          </w:rPr>
          <w:t>14</w:t>
        </w:r>
      </w:hyperlink>
      <w:r>
        <w:t xml:space="preserve"> och </w:t>
      </w:r>
      <w:hyperlink r:id="rId12" w:anchor="sec53" w:history="1">
        <w:r>
          <w:rPr>
            <w:rStyle w:val="Hyperlink"/>
          </w:rPr>
          <w:t>53</w:t>
        </w:r>
      </w:hyperlink>
      <w:r>
        <w:t xml:space="preserve"> i </w:t>
      </w:r>
      <w:hyperlink r:id="rId13" w:history="1">
        <w:r>
          <w:rPr>
            <w:rStyle w:val="Hyperlink"/>
          </w:rPr>
          <w:t>1987 års lag om luftföroreningar</w:t>
        </w:r>
      </w:hyperlink>
      <w:r>
        <w:rPr>
          <w:rStyle w:val="Hyperlink"/>
        </w:rPr>
        <w:t xml:space="preserve"> </w:t>
      </w:r>
      <w:r>
        <w:t>(nr 6 av 1987) (enligt ändring), följande föreskrifter: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Benämning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Dessa regler kan benämnas som 2020 års förordning om lagen om luftföroreningar (marknadsföring, försäljning, distribution och förbränning av specificerade bränslen) (ändring).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Ikraftträdande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Dessa föreskrifter träder i kraft den 1 september 2020.</w:t>
      </w:r>
      <w:r w:rsidR="005248B7">
        <w:t xml:space="preserve"> 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Ändring av 2012 års föreskrifter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Tabell 1 i 2012 års förordning om lagen om luftföroreningar (marknadsföring, försäljning, distribution och förbränning av specificerade bränslen) (</w:t>
      </w:r>
      <w:hyperlink r:id="rId14" w:history="1">
        <w:r>
          <w:rPr>
            <w:rStyle w:val="Hyperlink"/>
          </w:rPr>
          <w:t>rättsligt instrument nr 326 från 2012</w:t>
        </w:r>
      </w:hyperlink>
      <w:r>
        <w:t>) (enligt ändring) ändras härmed genom tillägget av följande städer i det specificerade området Cork: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>I valdistriktet Carrigtwohill,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lastRenderedPageBreak/>
        <w:t>Tabell 2 i 2012 års förordning om lagen om luftföroreningar (marknadsföring, försäljning, distribution och förbränning av specificerade bränslen) (</w:t>
      </w:r>
      <w:hyperlink r:id="rId15" w:history="1">
        <w:r>
          <w:rPr>
            <w:rStyle w:val="Hyperlink"/>
          </w:rPr>
          <w:t>rättsligt instrument nr 326 från 2012</w:t>
        </w:r>
      </w:hyperlink>
      <w:r>
        <w:t>) (enligt ändring) ändras härmed genom tillägget av följande: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SPECIFICERADE OMRÅDEN DÄR FÖRBUDET MOT FÖRSÄLJNING, MARKNADSFÖRING, DISTRIBUTION OCH FÖRBRÄNNING AV SPECIFICERADE BRÄNSLEN GÄLLER FRPN OCH MED DEN 1 SEPTEMBER 2020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SPECIFICERAT OMRÅDE AV ASHBOURNE</w:t>
      </w:r>
    </w:p>
    <w:p w:rsidR="00AE64A3" w:rsidRPr="00C42427" w:rsidRDefault="00AE64A3" w:rsidP="00801569">
      <w:pPr>
        <w:keepNext/>
      </w:pPr>
      <w:r>
        <w:t>Staden Ashbourne och dess omgivningar i grevskapet Meath, som utgörs av följande områden: —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>I valdistriktet Kilbrew,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(Ratoath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(Skreen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Ratoath,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>I valdistriktet Donaghmore,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(del av)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(del av)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SPECIFICERAT OMRÅDE AV BALLINA</w:t>
      </w:r>
    </w:p>
    <w:p w:rsidR="00AE64A3" w:rsidRPr="00C42427" w:rsidRDefault="00AE64A3" w:rsidP="00801569">
      <w:pPr>
        <w:keepNext/>
      </w:pPr>
      <w:r>
        <w:t>Staden Ballina och dess omgivningar i grevskapet Mayo, som utgörs av följande områden: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Följande valdistrikt: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Ballina Rural,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>I valdistriktet Ardnaree South Rural,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 eller 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 eller 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norra Ardnaree, staden: —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SPECIFICERAT OMRÅDE AV CASTLEBAR</w:t>
      </w:r>
    </w:p>
    <w:p w:rsidR="00AE64A3" w:rsidRPr="00C42427" w:rsidRDefault="00AE64A3" w:rsidP="00801569">
      <w:pPr>
        <w:keepNext/>
      </w:pPr>
      <w:r>
        <w:t>Staden Castlebar och dess omgivningar i grevskapet Mayo, som utgörs av följande områden: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Följande valdistrikt: —</w:t>
      </w:r>
    </w:p>
    <w:p w:rsidR="00AE64A3" w:rsidRPr="00C42427" w:rsidRDefault="004B7B67" w:rsidP="00225B28">
      <w:r>
        <w:t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Castlebar Rural,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>I valdistriktet Breaghwy,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SPECIFICERAT OMRÅDE AV CAVAN TOWN</w:t>
      </w:r>
    </w:p>
    <w:p w:rsidR="00AE64A3" w:rsidRPr="00C42427" w:rsidRDefault="00AE64A3" w:rsidP="00801569">
      <w:pPr>
        <w:keepNext/>
      </w:pPr>
      <w:r>
        <w:t>Staden Cavan och dess omgivningar i grevskapet Cavan, som utgörs av följande områden: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Följande valdistrikt: —</w:t>
      </w:r>
    </w:p>
    <w:p w:rsidR="00AE64A3" w:rsidRPr="00C42427" w:rsidRDefault="00453EBD" w:rsidP="00225B28">
      <w:r>
        <w:t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Cavan Rural,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Billis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Cullies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Drumalee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Drumkeen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Del av Drumalee (Loughtee Upper By)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Del av Kinnypottle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>I valdistriktet Moynehall,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Corlurgan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 eller 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Glasdrumman (Loughtee Upper By)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SPECIFICERAT OMRÅDE AV COBH</w:t>
      </w:r>
    </w:p>
    <w:p w:rsidR="00AE64A3" w:rsidRPr="00C42427" w:rsidRDefault="00AE64A3" w:rsidP="00801569">
      <w:pPr>
        <w:keepNext/>
      </w:pPr>
      <w:r>
        <w:t>Staden Cobh och dess omgivningar i grevskapet Cork, som utgörs av följande områden: —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Följande valdistrikt:—</w:t>
      </w:r>
    </w:p>
    <w:p w:rsidR="00AE64A3" w:rsidRPr="00C42427" w:rsidRDefault="00453EBD" w:rsidP="00225B28">
      <w:r>
        <w:t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Cobh Rural,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7A2AE0" w:rsidRDefault="00453EBD" w:rsidP="00225B28">
            <w:pPr>
              <w:spacing w:after="200" w:line="276" w:lineRule="auto"/>
              <w:rPr>
                <w:lang w:val="en-US"/>
              </w:rPr>
            </w:pPr>
            <w:r w:rsidRPr="007A2AE0">
              <w:rPr>
                <w:lang w:val="en-US"/>
              </w:rPr>
              <w:t>Dean och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SPECIFICERAT OMRÅDE AV ENNISCORTHY</w:t>
      </w:r>
    </w:p>
    <w:p w:rsidR="00AE64A3" w:rsidRPr="00C42427" w:rsidRDefault="00AE64A3" w:rsidP="00801569">
      <w:pPr>
        <w:keepNext/>
      </w:pPr>
      <w:r>
        <w:t>Staden Enniscorthy och dess omgivningar i grevskapet Wexford, som utgörs av följande områden: —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Följande valdistrikt: —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>I valdistriktet The Leap,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Killoughrim, staden: —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>I valdistriktet Marshalstown,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SPECIFICERAT OMRÅDE AV KILLARNEY</w:t>
      </w:r>
    </w:p>
    <w:p w:rsidR="00203014" w:rsidRPr="00C42427" w:rsidRDefault="00203014" w:rsidP="00801569">
      <w:pPr>
        <w:keepNext/>
        <w:jc w:val="both"/>
      </w:pPr>
      <w:r>
        <w:t>Staden Killarney och dess omgivningar i grevskapet Kerry, som utgörs av följande områden: —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>Följande valdistrikt: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lastRenderedPageBreak/>
        <w:t>I valdistriktet Muckross, staden: —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>I valdistriktet Kilcummin, staden: —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SPECIFICERAT OMRÅDE AV LONGFORD</w:t>
      </w:r>
    </w:p>
    <w:p w:rsidR="00AE64A3" w:rsidRPr="00C42427" w:rsidRDefault="00AE64A3" w:rsidP="00801569">
      <w:pPr>
        <w:keepNext/>
      </w:pPr>
      <w:r>
        <w:t>Staden Longford och dess omgivningar i grevskapet Longford, som utgörs av följande områden: —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>Följande valdistrikt: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nr 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nr 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>I valdistriktet Longford Rural,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>I valdistriktet Caldragh,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SPECIFICERAT OMRÅDE AV MALLOW</w:t>
      </w:r>
    </w:p>
    <w:p w:rsidR="00AE64A3" w:rsidRPr="00C42427" w:rsidRDefault="00AE64A3" w:rsidP="00801569">
      <w:pPr>
        <w:keepNext/>
      </w:pPr>
      <w:r>
        <w:t>Staden Mallow och dess omgivningar i grevskapet Cork, som utgörs av följande områden: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Följande valdistrikt: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Mallow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Mallow Rural,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Ballyclogh,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Ballynamona, staden: —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>I valdistriktet Carrig,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Dromore,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lastRenderedPageBreak/>
              <w:t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Kilshannig,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SPECIFICERAT OMRÅDE AV MIDLETON</w:t>
      </w:r>
    </w:p>
    <w:p w:rsidR="00AE64A3" w:rsidRPr="00C42427" w:rsidRDefault="00AE64A3" w:rsidP="00801569">
      <w:pPr>
        <w:keepNext/>
      </w:pPr>
      <w:r>
        <w:t>Staden Midleton och dess omgivningar i grevskapet Cork, som utgörs av följande områden: —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Följande valdistrikt: —</w:t>
      </w:r>
    </w:p>
    <w:p w:rsidR="00AE64A3" w:rsidRPr="00C42427" w:rsidRDefault="00AE64A3" w:rsidP="00225B28">
      <w:r>
        <w:t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Midleton Rural,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I valdistriktet Cloyne,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lastRenderedPageBreak/>
        <w:t>SPECIFICERAT OMRÅDE AV TRAMORE</w:t>
      </w:r>
    </w:p>
    <w:p w:rsidR="002408DF" w:rsidRPr="00C42427" w:rsidRDefault="002408DF" w:rsidP="00801569">
      <w:pPr>
        <w:keepNext/>
      </w:pPr>
      <w:r>
        <w:t>Staden Tramore och dess omgivningar i grevskapet Waterford, som utgörs av följande områden: —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>Följande valdistrikt: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I valdistriktet Islandikane,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>I valdistriktet Kilmacleague,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>I valdistriktet Rathmoylan,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SPECIFICERAT OMRÅDE AV TULLAMORE</w:t>
      </w:r>
    </w:p>
    <w:p w:rsidR="002408DF" w:rsidRPr="00C42427" w:rsidRDefault="002408DF" w:rsidP="00801569">
      <w:pPr>
        <w:keepNext/>
      </w:pPr>
      <w:r>
        <w:t>Staden Tullamore och dess omgivningar i grevskapet Offaly, som utgörs av följande områden: —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>Följande valdistrikt: —</w:t>
      </w:r>
    </w:p>
    <w:p w:rsidR="002408DF" w:rsidRPr="00C42427" w:rsidRDefault="002408DF" w:rsidP="00225B28">
      <w:r>
        <w:t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I valdistriktet Tullamore Rural, städerna: 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lastRenderedPageBreak/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I valdistriktet Durrow, staden: —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I valdistriktet Cappancur, staden: —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>I valdistriktet Tinnycross, staden: —</w:t>
      </w:r>
    </w:p>
    <w:p w:rsidR="002408DF" w:rsidRPr="00C42427" w:rsidRDefault="002408DF" w:rsidP="00225B28">
      <w:r>
        <w:t>Derrynagall eller Ballydaly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>LS</w:t>
      </w:r>
    </w:p>
    <w:p w:rsidR="00B94CAB" w:rsidRPr="00C42427" w:rsidRDefault="00B94CAB" w:rsidP="00225B28">
      <w:pPr>
        <w:jc w:val="both"/>
      </w:pPr>
      <w:r>
        <w:t>UTFÄRDAT under ministerns för kommunikation, klimatpolitik och miljö officiella sigill</w:t>
      </w:r>
    </w:p>
    <w:p w:rsidR="00B94CAB" w:rsidRPr="00C42427" w:rsidRDefault="00765DBC" w:rsidP="00225B28">
      <w:pPr>
        <w:jc w:val="both"/>
      </w:pPr>
      <w:r>
        <w:t>22 juli 2020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Minister för kommunikation, klimatåtgärder och miljö</w:t>
      </w:r>
    </w:p>
    <w:p w:rsidR="00B94CAB" w:rsidRPr="00C42427" w:rsidRDefault="00B94CAB" w:rsidP="00C42427">
      <w:pPr>
        <w:pageBreakBefore/>
        <w:jc w:val="center"/>
      </w:pPr>
      <w:r>
        <w:lastRenderedPageBreak/>
        <w:t>FÖRKLARANDE ANMÄRKNING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(Denna anmärkning är inte del av instrumentet och innebär inte en rättslig tolkning.)</w:t>
      </w:r>
    </w:p>
    <w:p w:rsidR="00B94CAB" w:rsidRPr="00C42427" w:rsidRDefault="00B94CAB" w:rsidP="00225B28">
      <w:pPr>
        <w:jc w:val="both"/>
      </w:pPr>
      <w:r>
        <w:t>Genom dessa föreskrifter ändras förordningen om lagen om luftföroreningar (marknadsföring, försäljning, distribution och förbränning av specificerade bränslen) från 2012 (</w:t>
      </w:r>
      <w:hyperlink r:id="rId16" w:history="1">
        <w:r>
          <w:rPr>
            <w:rStyle w:val="Hyperlink"/>
          </w:rPr>
          <w:t>rättsligt instrument nr 326 från 2012</w:t>
        </w:r>
      </w:hyperlink>
      <w:r>
        <w:t>) (enligt ändring).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I föreskrifterna föreskrivs införandet av ett förbud mot marknadsföring, försäljning, distribution och förbränning av specificerade bränslen i de specificerade områdena Ashbourne, Ballina, Castlebar, Cavan, Cobh, Enniscorthy, Killarney, Longford, Mallow, Midleton, Tramore och Tullamore från och med den 1 september 2020.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Genom dessa föreskrifter utökas även det specificerade området Cork till att inbegripa andra anvisade städer i valdistriktet Carrigtwohill från och med den 1 september 2020.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87" w:rsidRDefault="005E1187" w:rsidP="006A6CB0">
      <w:pPr>
        <w:spacing w:after="0" w:line="240" w:lineRule="auto"/>
      </w:pPr>
      <w:r>
        <w:separator/>
      </w:r>
    </w:p>
  </w:endnote>
  <w:endnote w:type="continuationSeparator" w:id="0">
    <w:p w:rsidR="005E1187" w:rsidRDefault="005E1187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87" w:rsidRDefault="005E1187" w:rsidP="006A6CB0">
      <w:pPr>
        <w:spacing w:after="0" w:line="240" w:lineRule="auto"/>
      </w:pPr>
      <w:r>
        <w:separator/>
      </w:r>
    </w:p>
  </w:footnote>
  <w:footnote w:type="continuationSeparator" w:id="0">
    <w:p w:rsidR="005E1187" w:rsidRDefault="005E1187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2E12"/>
    <w:rsid w:val="00005D54"/>
    <w:rsid w:val="00053F80"/>
    <w:rsid w:val="00054860"/>
    <w:rsid w:val="000654BE"/>
    <w:rsid w:val="00073143"/>
    <w:rsid w:val="000752C1"/>
    <w:rsid w:val="0007536F"/>
    <w:rsid w:val="000D1D91"/>
    <w:rsid w:val="000F6EEF"/>
    <w:rsid w:val="00122432"/>
    <w:rsid w:val="0014326A"/>
    <w:rsid w:val="00145B15"/>
    <w:rsid w:val="00147255"/>
    <w:rsid w:val="00187D33"/>
    <w:rsid w:val="001A3681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B1AA6"/>
    <w:rsid w:val="003E0250"/>
    <w:rsid w:val="00400470"/>
    <w:rsid w:val="00410FC7"/>
    <w:rsid w:val="004214FD"/>
    <w:rsid w:val="00422264"/>
    <w:rsid w:val="00453EBD"/>
    <w:rsid w:val="004B7B67"/>
    <w:rsid w:val="004E7C2F"/>
    <w:rsid w:val="004F46CB"/>
    <w:rsid w:val="005248B7"/>
    <w:rsid w:val="00531AB3"/>
    <w:rsid w:val="005427D3"/>
    <w:rsid w:val="00556196"/>
    <w:rsid w:val="005E1187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2AE0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5304E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25C9B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143D63-269F-45BB-9D91-8511A1CA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rishstatutebook.ie/1987/en/act/pub/0006/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ishstatutebook.ie/1987/en/act/pub/0006/sec005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rishstatutebook.ie/eli/2012/si/326/made/en/pr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ishstatutebook.ie/1987/en/act/pub/0006/sec0014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2/si/326/made/en/print" TargetMode="External"/><Relationship Id="rId10" Type="http://schemas.openxmlformats.org/officeDocument/2006/relationships/hyperlink" Target="http://www.irishstatutebook.ie/1987/en/act/pub/0006/sec001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2/si/326/made/en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B624B-C12F-46A2-9F5B-C451BDD1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0A016-5006-4C22-B9F4-E8DC96B6F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45A1A-FC02-4AB4-8F61-306FED8126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Ke, Tingting</cp:lastModifiedBy>
  <cp:revision>13</cp:revision>
  <dcterms:created xsi:type="dcterms:W3CDTF">2020-08-28T10:25:00Z</dcterms:created>
  <dcterms:modified xsi:type="dcterms:W3CDTF">2020-10-21T11:27:00Z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