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7B501D" w:rsidRDefault="00AD7A1C" w:rsidP="00AD7A1C">
      <w:pPr>
        <w:ind w:left="-634" w:right="-778"/>
        <w:jc w:val="center"/>
        <w:textAlignment w:val="baseline"/>
        <w:rPr>
          <w:rFonts w:ascii="Courier New" w:hAnsi="Courier New"/>
          <w:sz w:val="20"/>
        </w:rPr>
      </w:pPr>
      <w:r w:rsidRPr="007B501D">
        <w:rPr>
          <w:rFonts w:ascii="Courier New" w:hAnsi="Courier New"/>
          <w:sz w:val="20"/>
        </w:rPr>
        <w:t>1. ------IND- 2018 0169 F-- ET- ------ 20180420 --- --- PROJET</w:t>
      </w:r>
    </w:p>
    <w:p w:rsidR="00AD7A1C" w:rsidRPr="007B501D" w:rsidRDefault="00AD7A1C"/>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BE1E1D" w:rsidRPr="007B501D" w:rsidTr="002E197B">
        <w:trPr>
          <w:cantSplit/>
        </w:trPr>
        <w:tc>
          <w:tcPr>
            <w:tcW w:w="3982" w:type="dxa"/>
            <w:gridSpan w:val="3"/>
            <w:shd w:val="clear" w:color="auto" w:fill="auto"/>
          </w:tcPr>
          <w:p w:rsidR="00073A3D" w:rsidRPr="007B501D" w:rsidRDefault="00D50503">
            <w:pPr>
              <w:pStyle w:val="SNREPUBLIQUE"/>
            </w:pPr>
            <w:r w:rsidRPr="007B501D">
              <w:t>PRANTSUSE VABARIIK</w:t>
            </w:r>
          </w:p>
        </w:tc>
      </w:tr>
      <w:tr w:rsidR="00BE1E1D" w:rsidRPr="007B501D" w:rsidTr="002E197B">
        <w:trPr>
          <w:cantSplit/>
        </w:trPr>
        <w:tc>
          <w:tcPr>
            <w:tcW w:w="1527" w:type="dxa"/>
            <w:shd w:val="clear" w:color="auto" w:fill="auto"/>
          </w:tcPr>
          <w:p w:rsidR="00073A3D" w:rsidRPr="007B501D" w:rsidRDefault="00073A3D">
            <w:pPr>
              <w:snapToGrid w:val="0"/>
              <w:rPr>
                <w:rFonts w:cs="Tahoma"/>
              </w:rPr>
            </w:pPr>
          </w:p>
        </w:tc>
        <w:tc>
          <w:tcPr>
            <w:tcW w:w="968" w:type="dxa"/>
            <w:tcBorders>
              <w:bottom w:val="single" w:sz="2" w:space="0" w:color="000000"/>
            </w:tcBorders>
            <w:shd w:val="clear" w:color="auto" w:fill="auto"/>
          </w:tcPr>
          <w:p w:rsidR="00073A3D" w:rsidRPr="007B501D" w:rsidRDefault="00073A3D">
            <w:pPr>
              <w:snapToGrid w:val="0"/>
              <w:rPr>
                <w:rFonts w:cs="Tahoma"/>
              </w:rPr>
            </w:pPr>
          </w:p>
        </w:tc>
        <w:tc>
          <w:tcPr>
            <w:tcW w:w="1487" w:type="dxa"/>
            <w:shd w:val="clear" w:color="auto" w:fill="auto"/>
          </w:tcPr>
          <w:p w:rsidR="00073A3D" w:rsidRPr="007B501D" w:rsidRDefault="00073A3D">
            <w:pPr>
              <w:snapToGrid w:val="0"/>
            </w:pPr>
          </w:p>
        </w:tc>
      </w:tr>
      <w:tr w:rsidR="00BE1E1D" w:rsidRPr="007B501D" w:rsidTr="002E197B">
        <w:trPr>
          <w:cantSplit/>
        </w:trPr>
        <w:tc>
          <w:tcPr>
            <w:tcW w:w="3982" w:type="dxa"/>
            <w:gridSpan w:val="3"/>
            <w:shd w:val="clear" w:color="auto" w:fill="auto"/>
          </w:tcPr>
          <w:p w:rsidR="00073A3D" w:rsidRPr="007B501D" w:rsidRDefault="00D50503">
            <w:pPr>
              <w:pStyle w:val="SNTimbre"/>
            </w:pPr>
            <w:r w:rsidRPr="007B501D">
              <w:t>Majandus- ja rahandusministeerium</w:t>
            </w:r>
          </w:p>
        </w:tc>
      </w:tr>
      <w:tr w:rsidR="00BE1E1D" w:rsidRPr="007B501D" w:rsidTr="002E197B">
        <w:trPr>
          <w:cantSplit/>
        </w:trPr>
        <w:tc>
          <w:tcPr>
            <w:tcW w:w="1527" w:type="dxa"/>
            <w:shd w:val="clear" w:color="auto" w:fill="auto"/>
          </w:tcPr>
          <w:p w:rsidR="00073A3D" w:rsidRPr="007B501D" w:rsidRDefault="00073A3D">
            <w:pPr>
              <w:snapToGrid w:val="0"/>
            </w:pPr>
          </w:p>
        </w:tc>
        <w:tc>
          <w:tcPr>
            <w:tcW w:w="968" w:type="dxa"/>
            <w:tcBorders>
              <w:bottom w:val="single" w:sz="2" w:space="0" w:color="000000"/>
            </w:tcBorders>
            <w:shd w:val="clear" w:color="auto" w:fill="auto"/>
          </w:tcPr>
          <w:p w:rsidR="00073A3D" w:rsidRPr="007B501D" w:rsidRDefault="00073A3D">
            <w:pPr>
              <w:snapToGrid w:val="0"/>
            </w:pPr>
          </w:p>
        </w:tc>
        <w:tc>
          <w:tcPr>
            <w:tcW w:w="1487" w:type="dxa"/>
            <w:shd w:val="clear" w:color="auto" w:fill="auto"/>
          </w:tcPr>
          <w:p w:rsidR="00073A3D" w:rsidRPr="007B501D" w:rsidRDefault="00073A3D">
            <w:pPr>
              <w:snapToGrid w:val="0"/>
            </w:pPr>
          </w:p>
        </w:tc>
      </w:tr>
      <w:tr w:rsidR="00BE1E1D" w:rsidRPr="007B501D" w:rsidTr="002E197B">
        <w:trPr>
          <w:cantSplit/>
        </w:trPr>
        <w:tc>
          <w:tcPr>
            <w:tcW w:w="1527" w:type="dxa"/>
            <w:shd w:val="clear" w:color="auto" w:fill="auto"/>
          </w:tcPr>
          <w:p w:rsidR="00073A3D" w:rsidRPr="007B501D" w:rsidRDefault="00073A3D">
            <w:pPr>
              <w:snapToGrid w:val="0"/>
            </w:pPr>
          </w:p>
        </w:tc>
        <w:tc>
          <w:tcPr>
            <w:tcW w:w="968" w:type="dxa"/>
            <w:shd w:val="clear" w:color="auto" w:fill="auto"/>
          </w:tcPr>
          <w:p w:rsidR="00073A3D" w:rsidRPr="007B501D" w:rsidRDefault="00073A3D">
            <w:pPr>
              <w:snapToGrid w:val="0"/>
            </w:pPr>
          </w:p>
        </w:tc>
        <w:tc>
          <w:tcPr>
            <w:tcW w:w="1487" w:type="dxa"/>
            <w:shd w:val="clear" w:color="auto" w:fill="auto"/>
          </w:tcPr>
          <w:p w:rsidR="00073A3D" w:rsidRPr="007B501D" w:rsidRDefault="00073A3D">
            <w:pPr>
              <w:snapToGrid w:val="0"/>
            </w:pPr>
          </w:p>
        </w:tc>
      </w:tr>
    </w:tbl>
    <w:p w:rsidR="00073A3D" w:rsidRPr="007B501D" w:rsidRDefault="00D50503">
      <w:pPr>
        <w:pStyle w:val="SNNature"/>
      </w:pPr>
      <w:r w:rsidRPr="007B501D">
        <w:t>Dekreet nr ..., milles sätestatakse mehitamata õhusõidukite signaalseadmete kasutamise eesmärgid ning posti ja elektroonilise side seadustiku artiklis L. 34-9-2 ette nähtud erandite tingimused</w:t>
      </w:r>
    </w:p>
    <w:p w:rsidR="00073A3D" w:rsidRPr="007B501D" w:rsidRDefault="00D50503">
      <w:pPr>
        <w:pStyle w:val="SNNORCentr"/>
      </w:pPr>
      <w:r w:rsidRPr="007B501D">
        <w:t>NOR: […]</w:t>
      </w:r>
    </w:p>
    <w:p w:rsidR="00073A3D" w:rsidRPr="007B501D" w:rsidRDefault="00D50503">
      <w:pPr>
        <w:pStyle w:val="SNAutorit"/>
        <w:spacing w:after="0"/>
        <w:jc w:val="both"/>
      </w:pPr>
      <w:r w:rsidRPr="007B501D">
        <w:rPr>
          <w:i/>
        </w:rPr>
        <w:t xml:space="preserve">Sihtrühmad: </w:t>
      </w:r>
      <w:r w:rsidRPr="007B501D">
        <w:rPr>
          <w:b w:val="0"/>
          <w:i/>
        </w:rPr>
        <w:t>kaugpiloodid, kes juhivad mehitamata õhusõidukit, mille massi piirmäär on kehtestatud õigusaktides, ja mehitamata õhusõidukite tootjad.</w:t>
      </w:r>
    </w:p>
    <w:p w:rsidR="00073A3D" w:rsidRPr="007B501D" w:rsidRDefault="00D50503">
      <w:pPr>
        <w:pStyle w:val="SNAutorit"/>
        <w:spacing w:before="120" w:after="0"/>
        <w:jc w:val="both"/>
      </w:pPr>
      <w:r w:rsidRPr="007B501D">
        <w:rPr>
          <w:i/>
        </w:rPr>
        <w:t xml:space="preserve">Eesmärk: </w:t>
      </w:r>
      <w:r w:rsidRPr="007B501D">
        <w:rPr>
          <w:b w:val="0"/>
          <w:i/>
        </w:rPr>
        <w:t xml:space="preserve">Käesolevas tekstis kehtestatakse eesmärgid elektrooniliste ja valgustussignaalseadmete kasutamiseks, millega peavad olema varustatud mehitamata õhusõidukid, mille massi piirmäär on õigusaktides kindlaks määratud, samuti kohustustest vabastamise tingimused ja nende täitmata jätmisest tulenevad karistused. </w:t>
      </w:r>
    </w:p>
    <w:p w:rsidR="00073A3D" w:rsidRPr="007B501D" w:rsidRDefault="00D50503">
      <w:pPr>
        <w:pStyle w:val="SNAutorit"/>
        <w:spacing w:before="120" w:after="0"/>
        <w:jc w:val="both"/>
      </w:pPr>
      <w:r w:rsidRPr="007B501D">
        <w:rPr>
          <w:i/>
        </w:rPr>
        <w:t>Jõustumine:</w:t>
      </w:r>
      <w:r w:rsidRPr="007B501D">
        <w:rPr>
          <w:b w:val="0"/>
          <w:i/>
        </w:rPr>
        <w:t xml:space="preserve"> Käesolev tekst jõustub järgmisel päeval pärast selle avaldamise kuupäeva, välja arvatud Prantsuse posti ja elektroonilise side seadustiku artiklite R. 20-25-1 ja R. 20-25-2 sätted, mis hakkavad kehtima 1 jaanuarist 2019.</w:t>
      </w:r>
    </w:p>
    <w:p w:rsidR="00073A3D" w:rsidRPr="007B501D" w:rsidRDefault="00D50503">
      <w:pPr>
        <w:pStyle w:val="SNAutorit"/>
        <w:spacing w:before="120" w:after="0"/>
        <w:jc w:val="both"/>
      </w:pPr>
      <w:r w:rsidRPr="007B501D">
        <w:rPr>
          <w:i/>
        </w:rPr>
        <w:t>Märkus:</w:t>
      </w:r>
      <w:r w:rsidRPr="007B501D">
        <w:rPr>
          <w:b w:val="0"/>
          <w:i/>
        </w:rPr>
        <w:t xml:space="preserve"> Kohaldades posti ja elektroonilise side seadustiku artiklit L. 34-9-2, mida muudeti 24. oktoobri 2016. aasta seadusega nr 2016-1428, milles käsitletakse julgeoleku tugevdamist tsiviildroonide kasutamisel, tuleb mehitamata õhusõidukid, v.a. riiklikud õhusõidukid, mille mass on suurem kui määruses kehtestatud piirmäär, varustada elektroonilise või digitaalse signaalseadme ja valgustussignaalseadmega. Käesolevas määruses kehtestatakse nii nende seadmete kasutamise eesmärgid kui ka nendest kohustustest vabastamise tingimused.</w:t>
      </w:r>
    </w:p>
    <w:p w:rsidR="00073A3D" w:rsidRPr="007B501D" w:rsidRDefault="00D50503">
      <w:pPr>
        <w:pStyle w:val="SNAutorit"/>
        <w:spacing w:before="120"/>
        <w:jc w:val="both"/>
      </w:pPr>
      <w:r w:rsidRPr="007B501D">
        <w:rPr>
          <w:i/>
        </w:rPr>
        <w:t xml:space="preserve">Viited: </w:t>
      </w:r>
      <w:r w:rsidRPr="007B501D">
        <w:rPr>
          <w:b w:val="0"/>
          <w:i/>
        </w:rPr>
        <w:t xml:space="preserve">Dekreet võeti vastu, et kohaldada 24. oktoobri 2016. aasta seaduse nr 2016-1428 (milles käsitletakse julgeoleku tugevdamist tsiviildroonide kasutamisel) I alajaotise artiklit 4. Prantsuse posti ja elektroonilise side seadustiku artiklitega saab tutvuda käesolevale muudatusele vastavates kehtivates versioonides Prantsuse õigusaktide veebisaidil Légifrance (http://www.legifrance.gouv.fr). </w:t>
      </w:r>
    </w:p>
    <w:p w:rsidR="00073A3D" w:rsidRPr="007B501D" w:rsidRDefault="00D50503">
      <w:pPr>
        <w:pStyle w:val="SNAutorit"/>
      </w:pPr>
      <w:r w:rsidRPr="007B501D">
        <w:t>Peaminister,</w:t>
      </w:r>
    </w:p>
    <w:p w:rsidR="00073A3D" w:rsidRPr="007B501D" w:rsidRDefault="00D50503">
      <w:pPr>
        <w:pStyle w:val="SNRapport"/>
      </w:pPr>
      <w:r w:rsidRPr="007B501D">
        <w:t>olles tutvunud majandus- ja rahandusministri aruandega,</w:t>
      </w:r>
    </w:p>
    <w:p w:rsidR="003B26B1" w:rsidRPr="007B501D" w:rsidRDefault="00D50503" w:rsidP="00E00F69">
      <w:pPr>
        <w:jc w:val="both"/>
      </w:pPr>
      <w:r w:rsidRPr="007B501D">
        <w:t>võttes arvesse Euroopa Parlamendi ja nõukogu 9. septembri 2015. aasta direktiivi (EL) 2015/1535, millega nähakse ette tehnilistest standarditest ja eeskirjadest ning infoühiskonna teenuste eeskirjadest teatamise kord (kodifitseeritud tekst), ja eelkõige teatist nr aaaa/XXX/F,</w:t>
      </w:r>
    </w:p>
    <w:p w:rsidR="00E00F69" w:rsidRDefault="00E00F69" w:rsidP="00E00F69">
      <w:pPr>
        <w:ind w:left="426" w:hanging="426"/>
        <w:jc w:val="both"/>
      </w:pPr>
    </w:p>
    <w:p w:rsidR="00073A3D" w:rsidRPr="007B501D" w:rsidRDefault="00D50503" w:rsidP="00E00F69">
      <w:pPr>
        <w:ind w:left="426" w:hanging="426"/>
        <w:jc w:val="both"/>
      </w:pPr>
      <w:r w:rsidRPr="007B501D">
        <w:t>võttes arvesse tsiviillennunduse seadustikku ja eelkõige selle artiklit D. 510-3,</w:t>
      </w:r>
    </w:p>
    <w:p w:rsidR="00073A3D" w:rsidRPr="007B501D" w:rsidRDefault="00073A3D" w:rsidP="00E00F69">
      <w:pPr>
        <w:ind w:left="426" w:hanging="426"/>
        <w:jc w:val="both"/>
      </w:pPr>
    </w:p>
    <w:p w:rsidR="00073A3D" w:rsidRPr="007B501D" w:rsidRDefault="00D50503" w:rsidP="00E00F69">
      <w:pPr>
        <w:ind w:left="426" w:hanging="426"/>
        <w:jc w:val="both"/>
      </w:pPr>
      <w:r w:rsidRPr="007B501D">
        <w:t>võttes arvesse Prantsuse posti ja elektroonilise side seadustikku, eriti selle artiklit L. 34-9-2,</w:t>
      </w:r>
    </w:p>
    <w:p w:rsidR="00073A3D" w:rsidRPr="007B501D" w:rsidRDefault="00073A3D" w:rsidP="00E00F69">
      <w:pPr>
        <w:ind w:left="426" w:hanging="426"/>
        <w:jc w:val="both"/>
      </w:pPr>
    </w:p>
    <w:p w:rsidR="00073A3D" w:rsidRPr="007B501D" w:rsidRDefault="00D50503" w:rsidP="00E00F69">
      <w:pPr>
        <w:ind w:left="426" w:hanging="426"/>
        <w:jc w:val="both"/>
      </w:pPr>
      <w:r w:rsidRPr="007B501D">
        <w:t>võttes arvesse Prantsuse sisejulgeoleku seadustikku, eriti VIII raamatu V jaotist,</w:t>
      </w:r>
    </w:p>
    <w:p w:rsidR="00073A3D" w:rsidRPr="007B501D" w:rsidRDefault="00073A3D" w:rsidP="00E00F69">
      <w:pPr>
        <w:ind w:left="426" w:hanging="426"/>
        <w:jc w:val="both"/>
      </w:pPr>
    </w:p>
    <w:p w:rsidR="00073A3D" w:rsidRPr="007B501D" w:rsidRDefault="00D50503" w:rsidP="00E00F69">
      <w:pPr>
        <w:ind w:left="426" w:hanging="426"/>
        <w:jc w:val="both"/>
      </w:pPr>
      <w:r w:rsidRPr="007B501D">
        <w:t>võttes arvesse Prantsuse transpordiseadustikku, eelkõige selle artikleid L. 6100-1 ja L. 6111-1,</w:t>
      </w:r>
    </w:p>
    <w:p w:rsidR="00073A3D" w:rsidRPr="007B501D" w:rsidRDefault="00073A3D" w:rsidP="00E00F69">
      <w:pPr>
        <w:jc w:val="both"/>
        <w:rPr>
          <w:sz w:val="22"/>
          <w:szCs w:val="20"/>
        </w:rPr>
      </w:pPr>
    </w:p>
    <w:p w:rsidR="00073A3D" w:rsidRPr="007B501D" w:rsidRDefault="00D50503" w:rsidP="00E00F69">
      <w:pPr>
        <w:pStyle w:val="SNVisa"/>
        <w:ind w:firstLine="0"/>
        <w:jc w:val="both"/>
      </w:pPr>
      <w:r w:rsidRPr="007B501D">
        <w:t>võttes arvesse Prantsuse elektroonilise side ja postiameti [kuupäev] arvamust,</w:t>
      </w:r>
    </w:p>
    <w:p w:rsidR="00073A3D" w:rsidRPr="007B501D" w:rsidRDefault="00073A3D">
      <w:pPr>
        <w:pStyle w:val="SNConsultation"/>
      </w:pPr>
    </w:p>
    <w:p w:rsidR="00073A3D" w:rsidRPr="007B501D" w:rsidRDefault="00D50503">
      <w:pPr>
        <w:pStyle w:val="SNConsultation"/>
      </w:pPr>
      <w:r w:rsidRPr="007B501D">
        <w:t>olles ära kuulanud riiginõukogu (... osakond) arvamuse,</w:t>
      </w:r>
    </w:p>
    <w:p w:rsidR="00073A3D" w:rsidRPr="007B501D" w:rsidRDefault="00D50503">
      <w:pPr>
        <w:pStyle w:val="SNActe"/>
      </w:pPr>
      <w:r w:rsidRPr="007B501D">
        <w:t>kehtestab järgneva dekreedi:</w:t>
      </w:r>
    </w:p>
    <w:p w:rsidR="00073A3D" w:rsidRPr="007B501D" w:rsidRDefault="00D50503">
      <w:pPr>
        <w:pStyle w:val="SNActe"/>
      </w:pPr>
      <w:r w:rsidRPr="007B501D">
        <w:t>1. peatükk: signaalseadmete kasutamise eesmärke käsitlevad sätted</w:t>
      </w:r>
    </w:p>
    <w:p w:rsidR="00073A3D" w:rsidRPr="007B501D" w:rsidRDefault="00D50503">
      <w:pPr>
        <w:pStyle w:val="SNArticle"/>
      </w:pPr>
      <w:r w:rsidRPr="007B501D">
        <w:t>Artikkel 1</w:t>
      </w:r>
    </w:p>
    <w:p w:rsidR="00073A3D" w:rsidRPr="007B501D" w:rsidRDefault="00D50503">
      <w:pPr>
        <w:pStyle w:val="BodyText"/>
      </w:pPr>
      <w:r w:rsidRPr="007B501D">
        <w:t>Prantsuse posti ja elektroonilise side seadustiku regulatiivosa (riiginõukogu dekreedid) II raamatu I jaotise II peatüki jao 5 alajagu 6 täiendatakse artikliga R. 20-24-2, mis on sõnastatud järgmiselt:</w:t>
      </w:r>
    </w:p>
    <w:p w:rsidR="00073A3D" w:rsidRPr="007B501D" w:rsidRDefault="00073A3D">
      <w:pPr>
        <w:pStyle w:val="BodyText"/>
      </w:pPr>
    </w:p>
    <w:p w:rsidR="00073A3D" w:rsidRPr="007B501D" w:rsidRDefault="00D50503">
      <w:pPr>
        <w:pStyle w:val="BodyText"/>
      </w:pPr>
      <w:r w:rsidRPr="007B501D">
        <w:t>„</w:t>
      </w:r>
      <w:r w:rsidRPr="007B501D">
        <w:rPr>
          <w:i/>
        </w:rPr>
        <w:t xml:space="preserve">Artikkel R. 20-24-2. </w:t>
      </w:r>
      <w:r w:rsidRPr="007B501D">
        <w:t>I – Artikli L. 34-9-2 esimeses lõigus osutatud elektroonilise või digitaalse signaalseadme kasutamise eesmärk on võimaldada julgeoleku, riigikaitse, pääste- ja tolliteenuste tagamisega seotud teenistustel tuvastada õhus olevaid õhusõidukeid, mille mass on suurem dekreedis sätestatud piirmäärast, ja teha kindlaks nende asukoht.</w:t>
      </w:r>
    </w:p>
    <w:p w:rsidR="00073A3D" w:rsidRPr="007B501D" w:rsidRDefault="00D50503">
      <w:pPr>
        <w:pStyle w:val="BodyText"/>
      </w:pPr>
      <w:r w:rsidRPr="007B501D">
        <w:t>Selleks edastatakse seadme kaudu elektrooniliselt järgmised andmed:</w:t>
      </w:r>
    </w:p>
    <w:p w:rsidR="00073A3D" w:rsidRPr="007B501D" w:rsidRDefault="00D50503">
      <w:pPr>
        <w:pStyle w:val="BodyText"/>
      </w:pPr>
      <w:r w:rsidRPr="007B501D">
        <w:t>1) elektroonilise või digitaalse signaalseadme identifitseerimisnumber;</w:t>
      </w:r>
    </w:p>
    <w:p w:rsidR="00073A3D" w:rsidRPr="007B501D" w:rsidRDefault="00D50503">
      <w:pPr>
        <w:pStyle w:val="BodyText"/>
      </w:pPr>
      <w:r w:rsidRPr="007B501D">
        <w:t xml:space="preserve">2) õhusõiduki geograafilise asukoha koordinaadid ja kõrgus; </w:t>
      </w:r>
    </w:p>
    <w:p w:rsidR="00073A3D" w:rsidRPr="007B501D" w:rsidRDefault="00D50503">
      <w:pPr>
        <w:pStyle w:val="BodyText"/>
      </w:pPr>
      <w:r w:rsidRPr="007B501D">
        <w:t>3) kuupäev ja kellaaeg selles geograafilises asukohas;</w:t>
      </w:r>
    </w:p>
    <w:p w:rsidR="00073A3D" w:rsidRPr="007B501D" w:rsidRDefault="00D50503">
      <w:pPr>
        <w:pStyle w:val="BodyText"/>
      </w:pPr>
      <w:r w:rsidRPr="007B501D">
        <w:t>4) õhusõiduki õhkutõusmise geograafilise asukoha koordinaadid;</w:t>
      </w:r>
    </w:p>
    <w:p w:rsidR="00073A3D" w:rsidRPr="007B501D" w:rsidRDefault="00D50503">
      <w:pPr>
        <w:pStyle w:val="BodyText"/>
      </w:pPr>
      <w:r w:rsidRPr="007B501D">
        <w:t>5) õhusõiduki marsruut ja kiirus.</w:t>
      </w:r>
    </w:p>
    <w:p w:rsidR="00073A3D" w:rsidRPr="007B501D" w:rsidRDefault="00D50503">
      <w:pPr>
        <w:pStyle w:val="BodyText"/>
      </w:pPr>
      <w:r w:rsidRPr="007B501D">
        <w:t>Seda teavet võivad vajaduse korral ning teadmisvajaduse piires kasutada kohtuliku ja haldusliku uurimise või teabekogumise ja statistika eesmärgil isikud, kellel on selleks volitus.</w:t>
      </w:r>
    </w:p>
    <w:p w:rsidR="00073A3D" w:rsidRPr="007B501D" w:rsidRDefault="00D50503">
      <w:pPr>
        <w:pStyle w:val="BodyText"/>
      </w:pPr>
      <w:r w:rsidRPr="007B501D">
        <w:t>II – Artikli L. 34-9-2 esimeses lõigus osutatud valgustussignaalseadme kasutamise eesmärk on võimaldada julgeoleku, riigikaitse, pääste- ja tolliteenuste tagamisega seotud teenistustel tuvastada paremini õhus olevaid õhusõidukeid, mille mass on suurem dekreedis sätestatud piirmäärast, ning eristada neid muudest õhusõidukitest.</w:t>
      </w:r>
    </w:p>
    <w:p w:rsidR="00073A3D" w:rsidRPr="007B501D" w:rsidRDefault="00D50503">
      <w:pPr>
        <w:pStyle w:val="BodyText"/>
      </w:pPr>
      <w:r w:rsidRPr="007B501D">
        <w:t>III – Elektroonilise või digitaalse signaalseadme tehnilised omadused ja edastatavate andmete vorm, samuti valgustussignaalseadme tehnilised omadused on sätestatud siseministri ning transpordi ja elektroonilise side eest va</w:t>
      </w:r>
      <w:r w:rsidR="007B501D">
        <w:t>stutavate ministrite määrusega.</w:t>
      </w:r>
      <w:r w:rsidRPr="007B501D">
        <w:t>“</w:t>
      </w:r>
    </w:p>
    <w:p w:rsidR="002E197B" w:rsidRPr="007B501D" w:rsidRDefault="002E197B">
      <w:pPr>
        <w:pStyle w:val="BodyText"/>
      </w:pPr>
    </w:p>
    <w:p w:rsidR="00073A3D" w:rsidRPr="007B501D" w:rsidRDefault="00D50503" w:rsidP="00E00F69">
      <w:pPr>
        <w:pStyle w:val="BodyText"/>
        <w:keepNext/>
        <w:keepLines/>
        <w:jc w:val="center"/>
        <w:rPr>
          <w:b/>
        </w:rPr>
      </w:pPr>
      <w:r w:rsidRPr="007B501D">
        <w:rPr>
          <w:b/>
        </w:rPr>
        <w:lastRenderedPageBreak/>
        <w:t>2. peatükk: signaalide edastamise kohustusest vabastamise tingimusi käsitlevad sätted</w:t>
      </w:r>
    </w:p>
    <w:p w:rsidR="00073A3D" w:rsidRPr="007B501D" w:rsidRDefault="00073A3D" w:rsidP="00E00F69">
      <w:pPr>
        <w:keepNext/>
        <w:keepLines/>
        <w:jc w:val="center"/>
        <w:rPr>
          <w:rFonts w:eastAsia="Calibri"/>
          <w:b/>
        </w:rPr>
      </w:pPr>
    </w:p>
    <w:p w:rsidR="00073A3D" w:rsidRPr="007B501D" w:rsidRDefault="00D50503" w:rsidP="00E00F69">
      <w:pPr>
        <w:keepNext/>
        <w:keepLines/>
        <w:jc w:val="center"/>
        <w:rPr>
          <w:rFonts w:eastAsia="Calibri"/>
          <w:b/>
        </w:rPr>
      </w:pPr>
      <w:r w:rsidRPr="007B501D">
        <w:rPr>
          <w:b/>
        </w:rPr>
        <w:t>Artikkel 2</w:t>
      </w:r>
    </w:p>
    <w:p w:rsidR="00073A3D" w:rsidRPr="007B501D" w:rsidRDefault="00073A3D" w:rsidP="00E00F69">
      <w:pPr>
        <w:pStyle w:val="BodyText"/>
        <w:keepNext/>
        <w:keepLines/>
        <w:jc w:val="center"/>
        <w:rPr>
          <w:b/>
        </w:rPr>
      </w:pPr>
    </w:p>
    <w:p w:rsidR="00073A3D" w:rsidRPr="007B501D" w:rsidRDefault="00D50503">
      <w:pPr>
        <w:pStyle w:val="BodyText"/>
      </w:pPr>
      <w:r w:rsidRPr="007B501D">
        <w:t>Prantsuse posti ja elektroonilise side seadustiku regulatiivosa (riiginõukogu dekreedid) II raamatu I jaotise II peatüki jao 5 alajagu 6 täiendatakse artikliga R. 20-24-3, mis on sõnastatud järgmiselt:</w:t>
      </w:r>
    </w:p>
    <w:p w:rsidR="00073A3D" w:rsidRPr="007B501D" w:rsidRDefault="00073A3D">
      <w:pPr>
        <w:pStyle w:val="BodyText"/>
      </w:pPr>
    </w:p>
    <w:p w:rsidR="00073A3D" w:rsidRPr="007B501D" w:rsidRDefault="00D50503">
      <w:pPr>
        <w:pStyle w:val="BodyText"/>
      </w:pPr>
      <w:r w:rsidRPr="007B501D">
        <w:t>„</w:t>
      </w:r>
      <w:r w:rsidRPr="007B501D">
        <w:rPr>
          <w:i/>
        </w:rPr>
        <w:t>Artikkel R. 20-24-3</w:t>
      </w:r>
      <w:r w:rsidRPr="007B501D">
        <w:t>. I – Mehitamata õhusõidukid on vabastatud elektroonilise või digitaalse signaalseadme kasutamise kohustusest siis:</w:t>
      </w:r>
    </w:p>
    <w:p w:rsidR="00073A3D" w:rsidRPr="007B501D" w:rsidRDefault="00D50503">
      <w:pPr>
        <w:pStyle w:val="BodyText"/>
      </w:pPr>
      <w:r w:rsidRPr="007B501D">
        <w:t xml:space="preserve">1) kui neid kasutatakse vaba aja veetmise, sealhulgas võistluste eesmärgil ning neid juhivad enda nägemisulatuses kaugpiloodid, kes on tsiviillennunduse seadustiku artiklis D. 510-3 nimetatud riiklikult tunnustatud mudellennunduse föderatsiooni kuuluva ühingu liikmed, või mitme spordiala föderatsiooni liikmed, mille on heaks kiitnud spordivaldkonna eest vastutav minister ning mille raames tegeletakse mudellennundusega, tegevuskohas, mis avaldatakse aeronavigatsioonialase teavitamisviisi kaudu, millega kaasneb selgelt kõnealuse erandi tegemise õigus; </w:t>
      </w:r>
    </w:p>
    <w:p w:rsidR="00073A3D" w:rsidRPr="007B501D" w:rsidRDefault="00D50503">
      <w:pPr>
        <w:pStyle w:val="BodyText"/>
        <w:spacing w:after="0"/>
      </w:pPr>
      <w:r w:rsidRPr="007B501D">
        <w:t>2) kui neid kasutatakse suletud ja kaetud ruumides;</w:t>
      </w:r>
    </w:p>
    <w:p w:rsidR="002E197B" w:rsidRPr="007B501D" w:rsidRDefault="002E197B">
      <w:pPr>
        <w:pStyle w:val="BodyText"/>
        <w:spacing w:after="0"/>
      </w:pPr>
    </w:p>
    <w:p w:rsidR="00073A3D" w:rsidRPr="007B501D" w:rsidRDefault="00BF6B0E">
      <w:pPr>
        <w:pStyle w:val="BodyText"/>
        <w:spacing w:after="0"/>
      </w:pPr>
      <w:r w:rsidRPr="007B501D">
        <w:t>3) kui nad kuuluvad transpordiseadustiku artikli L. 6100-1 teises lõigus nimetatud õhusõidukite kategooriatesse, ilma et see piiraks sõjaliste ja riigile kuuluvate õhusõidukite suhtes kohaldatavaid sätteid, ning neid kasutavad tolli-, avaliku julgeoleku ja tsiviiljulgeoleku asutused;</w:t>
      </w:r>
    </w:p>
    <w:p w:rsidR="00073A3D" w:rsidRPr="007B501D" w:rsidRDefault="00073A3D">
      <w:pPr>
        <w:pStyle w:val="BodyText"/>
        <w:spacing w:after="0"/>
      </w:pPr>
    </w:p>
    <w:p w:rsidR="00073A3D" w:rsidRPr="007B501D" w:rsidRDefault="00D50503">
      <w:pPr>
        <w:pStyle w:val="ListParagraph"/>
        <w:ind w:left="0"/>
        <w:jc w:val="both"/>
        <w:rPr>
          <w:color w:val="auto"/>
        </w:rPr>
      </w:pPr>
      <w:r w:rsidRPr="007B501D">
        <w:rPr>
          <w:color w:val="auto"/>
        </w:rPr>
        <w:t>4) kui nad ei kuulu transpordiseadustiku artikli L. 6100-1 teises lõigus nimetatud õhusõidukite kategooriasse, ent neid kasutatakse tolli-, politsei-, tsiviiljulgeolekuasutuste ülesannete täitmise raames või sisejulgeoleku seadustiku VIII raamatu V jaos nimetatud tehnoloogia rakendamiseks.“</w:t>
      </w:r>
    </w:p>
    <w:p w:rsidR="00073A3D" w:rsidRPr="007B501D" w:rsidRDefault="00073A3D">
      <w:pPr>
        <w:pStyle w:val="ListParagraph"/>
        <w:ind w:left="0"/>
        <w:jc w:val="both"/>
        <w:rPr>
          <w:color w:val="auto"/>
        </w:rPr>
      </w:pPr>
    </w:p>
    <w:p w:rsidR="00073A3D" w:rsidRPr="007B501D" w:rsidRDefault="00073A3D">
      <w:pPr>
        <w:pStyle w:val="BodyText"/>
        <w:spacing w:after="0"/>
        <w:jc w:val="left"/>
      </w:pPr>
    </w:p>
    <w:p w:rsidR="00073A3D" w:rsidRPr="007B501D" w:rsidRDefault="00D50503" w:rsidP="002E197B">
      <w:pPr>
        <w:pStyle w:val="BodyText"/>
        <w:tabs>
          <w:tab w:val="left" w:pos="0"/>
        </w:tabs>
      </w:pPr>
      <w:r w:rsidRPr="007B501D">
        <w:t>„II – Mehitamata õhusõidukid on vabastatud kohustusest kasutada töökorras valgustussignaalseadet siis:</w:t>
      </w:r>
    </w:p>
    <w:p w:rsidR="00073A3D" w:rsidRPr="007B501D" w:rsidRDefault="00D50503">
      <w:pPr>
        <w:pStyle w:val="BodyText"/>
      </w:pPr>
      <w:r w:rsidRPr="007B501D">
        <w:t xml:space="preserve">1) kui neid kasutatakse vaba aja veetmise, sealhulgas võistluste eesmärgil ning neid juhivad enda nägemisulatuses kaugpiloodid, kes on tsiviillennunduse seadustiku artiklis D. 510-3 nimetatud riiklikult tunnustatud mudellennunduse föderatsiooni kuuluva ühingu liikmed, või mitme spordiala föderatsiooni liikmed, mille on heaks kiitnud spordivaldkonna eest vastutav minister ning mille raames tegeletakse mudellennundusega, tegevuskohas, mis avaldatakse aeronavigatsioonialase teavitamisviisi kaudu, millega kaasneb selgelt kõnealuse erandi tegemise õigus; </w:t>
      </w:r>
    </w:p>
    <w:p w:rsidR="00073A3D" w:rsidRPr="007B501D" w:rsidRDefault="00D50503">
      <w:pPr>
        <w:pStyle w:val="BodyText"/>
        <w:tabs>
          <w:tab w:val="left" w:pos="0"/>
        </w:tabs>
        <w:jc w:val="left"/>
      </w:pPr>
      <w:r w:rsidRPr="007B501D">
        <w:t>2) kui neid kasutatakse suletud ja kaetud ruumides;</w:t>
      </w:r>
    </w:p>
    <w:p w:rsidR="00073A3D" w:rsidRPr="007B501D" w:rsidRDefault="00D50503" w:rsidP="002E197B">
      <w:pPr>
        <w:pStyle w:val="BodyText"/>
        <w:tabs>
          <w:tab w:val="left" w:pos="0"/>
        </w:tabs>
      </w:pPr>
      <w:r w:rsidRPr="007B501D">
        <w:t xml:space="preserve">3) kui nendega tehakse katse või kontrolli eesmärgil katselende tsiviillennunduse eest vastutava ministri sätestatud tingimustes; </w:t>
      </w:r>
    </w:p>
    <w:p w:rsidR="00073A3D" w:rsidRPr="007B501D" w:rsidRDefault="00BF6B0E">
      <w:pPr>
        <w:pStyle w:val="BodyText"/>
        <w:spacing w:after="0"/>
      </w:pPr>
      <w:r w:rsidRPr="007B501D">
        <w:t>4) kui nad kuuluvad transpordiseadustiku artikli L. 6100-1 teises lõigus nimetatud õhusõidukite kategooriatesse, ilma et see piiraks sõjaliste ja riigile kuuluvate õhusõidukite suhtes kohaldatavaid sätteid, ning neid kasutavad tolli-, avaliku julgeoleku ja tsiviiljulgeoleku asutused;</w:t>
      </w:r>
    </w:p>
    <w:p w:rsidR="00073A3D" w:rsidRPr="007B501D" w:rsidRDefault="00073A3D">
      <w:pPr>
        <w:pStyle w:val="BodyText"/>
        <w:spacing w:after="0"/>
      </w:pPr>
    </w:p>
    <w:p w:rsidR="00073A3D" w:rsidRPr="007B501D" w:rsidRDefault="00D50503">
      <w:pPr>
        <w:pStyle w:val="ListParagraph"/>
        <w:ind w:left="0"/>
        <w:jc w:val="both"/>
        <w:rPr>
          <w:color w:val="auto"/>
        </w:rPr>
      </w:pPr>
      <w:r w:rsidRPr="007B501D">
        <w:rPr>
          <w:color w:val="auto"/>
        </w:rPr>
        <w:t xml:space="preserve">5) kui nad ei kuulu transpordiseadustiku artikli L. 6100-1 teises lõigus nimetatud õhusõidukite kategooriasse, ent neid kasutatakse tolli-, politsei-, tsiviiljulgeolekuasutuste ülesannete täitmise </w:t>
      </w:r>
      <w:r w:rsidRPr="007B501D">
        <w:rPr>
          <w:color w:val="auto"/>
        </w:rPr>
        <w:lastRenderedPageBreak/>
        <w:t>raames või sisejulgeoleku seadustiku VIII raamatu V jaos nimetatud tehnoloogia rakendamiseks.“</w:t>
      </w:r>
    </w:p>
    <w:p w:rsidR="00073A3D" w:rsidRPr="007B501D" w:rsidRDefault="00073A3D">
      <w:pPr>
        <w:pStyle w:val="BodyText"/>
        <w:tabs>
          <w:tab w:val="left" w:pos="0"/>
        </w:tabs>
        <w:jc w:val="left"/>
      </w:pPr>
    </w:p>
    <w:p w:rsidR="00073A3D" w:rsidRPr="007B501D" w:rsidRDefault="00D50503">
      <w:pPr>
        <w:pStyle w:val="BodyText"/>
        <w:tabs>
          <w:tab w:val="left" w:pos="0"/>
        </w:tabs>
        <w:jc w:val="center"/>
        <w:rPr>
          <w:b/>
        </w:rPr>
      </w:pPr>
      <w:r w:rsidRPr="007B501D">
        <w:rPr>
          <w:b/>
        </w:rPr>
        <w:t>3. peatükk: karistused</w:t>
      </w:r>
    </w:p>
    <w:p w:rsidR="00073A3D" w:rsidRPr="007B501D" w:rsidRDefault="00073A3D">
      <w:pPr>
        <w:pStyle w:val="BodyText"/>
        <w:tabs>
          <w:tab w:val="left" w:pos="0"/>
        </w:tabs>
        <w:jc w:val="center"/>
        <w:rPr>
          <w:b/>
        </w:rPr>
      </w:pPr>
    </w:p>
    <w:p w:rsidR="00073A3D" w:rsidRPr="007B501D" w:rsidRDefault="00D50503">
      <w:pPr>
        <w:jc w:val="center"/>
        <w:rPr>
          <w:rFonts w:eastAsia="Calibri"/>
          <w:b/>
        </w:rPr>
      </w:pPr>
      <w:r w:rsidRPr="007B501D">
        <w:rPr>
          <w:b/>
        </w:rPr>
        <w:t>Artikkel 4</w:t>
      </w:r>
    </w:p>
    <w:p w:rsidR="00073A3D" w:rsidRPr="007B501D" w:rsidRDefault="00073A3D">
      <w:pPr>
        <w:jc w:val="center"/>
        <w:rPr>
          <w:rFonts w:eastAsia="Calibri"/>
          <w:b/>
        </w:rPr>
      </w:pPr>
    </w:p>
    <w:p w:rsidR="00073A3D" w:rsidRPr="007B501D" w:rsidRDefault="00D50503">
      <w:pPr>
        <w:jc w:val="both"/>
        <w:rPr>
          <w:rFonts w:eastAsia="Calibri"/>
        </w:rPr>
      </w:pPr>
      <w:r w:rsidRPr="007B501D">
        <w:t>Prantsuse posti ja elektroonilise side seadustiku regulatiivosa (riiginõukogu dekreedid) II raamatu I jaotise II peatüki jao 5 alajaole 7 lisatakse artiklid R .20-25-1 ja R. 20-25-2, mis on sõnastatud järgmiselt:</w:t>
      </w:r>
    </w:p>
    <w:p w:rsidR="00073A3D" w:rsidRPr="007B501D" w:rsidRDefault="00073A3D">
      <w:pPr>
        <w:rPr>
          <w:rFonts w:eastAsia="Calibri"/>
        </w:rPr>
      </w:pPr>
    </w:p>
    <w:p w:rsidR="00073A3D" w:rsidRPr="007B501D" w:rsidRDefault="00D50503">
      <w:r w:rsidRPr="007B501D">
        <w:t>„</w:t>
      </w:r>
      <w:r w:rsidRPr="007B501D">
        <w:rPr>
          <w:i/>
        </w:rPr>
        <w:t>Artikkel R. 20-25-1</w:t>
      </w:r>
      <w:r w:rsidRPr="007B501D">
        <w:t>. Neljanda astme rikkumise eest on ette nähtud trahviga karistus:</w:t>
      </w:r>
    </w:p>
    <w:p w:rsidR="00073A3D" w:rsidRPr="007B501D" w:rsidRDefault="00073A3D">
      <w:pPr>
        <w:rPr>
          <w:i/>
        </w:rPr>
      </w:pPr>
    </w:p>
    <w:p w:rsidR="00073A3D" w:rsidRPr="007B501D" w:rsidRDefault="00D50503">
      <w:pPr>
        <w:jc w:val="both"/>
      </w:pPr>
      <w:r w:rsidRPr="007B501D">
        <w:t>1) mehitamata õhusõiduki omanikule, kui tal puudub artikli L. 34-9-2 esimeses lõigus ja artikli R. 20-24-2 I alajaotises, nimetatud elektrooniline või digitaalne signaalseade või töökorras elektrooniline või digitaalne signaalseade;</w:t>
      </w:r>
    </w:p>
    <w:p w:rsidR="00073A3D" w:rsidRPr="007B501D" w:rsidRDefault="00073A3D"/>
    <w:p w:rsidR="00073A3D" w:rsidRPr="007B501D" w:rsidRDefault="00D50503">
      <w:pPr>
        <w:jc w:val="both"/>
        <w:rPr>
          <w:rFonts w:eastAsia="Calibri"/>
        </w:rPr>
      </w:pPr>
      <w:r w:rsidRPr="007B501D">
        <w:t>2) mehitamata õhusõiduki omanikule, kui tal puudub artikli L. 34-9-2 esimeses lõigus ja artikli R, 20-24-2 II alajaotises, nimetatud valgustussignaalseade või töökorras valgustussignaalseade. “</w:t>
      </w:r>
    </w:p>
    <w:p w:rsidR="00FA699A" w:rsidRPr="007B501D" w:rsidRDefault="00FA699A">
      <w:pPr>
        <w:jc w:val="both"/>
        <w:rPr>
          <w:rFonts w:eastAsia="Calibri"/>
        </w:rPr>
      </w:pPr>
    </w:p>
    <w:p w:rsidR="00FA699A" w:rsidRPr="007B501D" w:rsidRDefault="00FA699A" w:rsidP="00FA699A">
      <w:r w:rsidRPr="007B501D">
        <w:t>„</w:t>
      </w:r>
      <w:r w:rsidRPr="007B501D">
        <w:rPr>
          <w:i/>
        </w:rPr>
        <w:t>Artikkel R. 20-25-2.</w:t>
      </w:r>
      <w:r w:rsidRPr="007B501D">
        <w:t xml:space="preserve"> Viienda astme rikkumise eest on ette nähtud trahviga karistus:</w:t>
      </w:r>
    </w:p>
    <w:p w:rsidR="00FA699A" w:rsidRPr="007B501D" w:rsidRDefault="00FA699A" w:rsidP="00FA699A">
      <w:pPr>
        <w:rPr>
          <w:i/>
        </w:rPr>
      </w:pPr>
    </w:p>
    <w:p w:rsidR="00FA699A" w:rsidRPr="007B501D" w:rsidRDefault="00FA699A" w:rsidP="00FA699A">
      <w:pPr>
        <w:pStyle w:val="BodyText"/>
        <w:rPr>
          <w:rFonts w:ascii="Times New              Roman;se" w:eastAsia="Calibri" w:hAnsi="Times New              Roman;se"/>
        </w:rPr>
      </w:pPr>
      <w:r w:rsidRPr="007B501D">
        <w:rPr>
          <w:rFonts w:ascii="Times New              Roman;se" w:hAnsi="Times New              Roman;se"/>
        </w:rPr>
        <w:t>artikli L. 34-9-2 esimeses lõigus nimetatud elektroonilise või digitaalse signaali vabatahtlik saatmine, mis ei vasta saatmise ajal tegelikule lennule ning mis saadetakse mehitamata õhusõidukist, mis on registreeritud transpordi seadustiku arti</w:t>
      </w:r>
      <w:r w:rsidR="007B501D">
        <w:rPr>
          <w:rFonts w:ascii="Times New              Roman;se" w:hAnsi="Times New              Roman;se"/>
        </w:rPr>
        <w:t>klis XXX nimetatud andmebaasis.</w:t>
      </w:r>
      <w:r w:rsidRPr="007B501D">
        <w:rPr>
          <w:rFonts w:ascii="Times New              Roman;se" w:hAnsi="Times New              Roman;se"/>
        </w:rPr>
        <w:t>“</w:t>
      </w:r>
    </w:p>
    <w:p w:rsidR="00073A3D" w:rsidRPr="007B501D" w:rsidRDefault="00073A3D">
      <w:pPr>
        <w:jc w:val="center"/>
        <w:rPr>
          <w:rFonts w:eastAsia="Calibri"/>
          <w:b/>
          <w:lang w:eastAsia="fr-FR"/>
        </w:rPr>
      </w:pPr>
    </w:p>
    <w:p w:rsidR="00073A3D" w:rsidRPr="007B501D" w:rsidRDefault="00073A3D"/>
    <w:p w:rsidR="00073A3D" w:rsidRPr="007B501D" w:rsidRDefault="00D50503">
      <w:pPr>
        <w:jc w:val="center"/>
        <w:rPr>
          <w:b/>
          <w:bCs/>
        </w:rPr>
      </w:pPr>
      <w:r w:rsidRPr="007B501D">
        <w:rPr>
          <w:b/>
          <w:bCs/>
        </w:rPr>
        <w:t>Artikkel 5</w:t>
      </w:r>
    </w:p>
    <w:p w:rsidR="00073A3D" w:rsidRPr="007B501D" w:rsidRDefault="00073A3D"/>
    <w:p w:rsidR="00BE1E1D" w:rsidRPr="007B501D" w:rsidRDefault="00D50503">
      <w:pPr>
        <w:pStyle w:val="BodyText"/>
        <w:rPr>
          <w:rFonts w:ascii="Times New              Roman;se" w:eastAsia="Calibri" w:hAnsi="Times New              Roman;se"/>
        </w:rPr>
      </w:pPr>
      <w:r w:rsidRPr="007B501D">
        <w:rPr>
          <w:rFonts w:ascii="Times New              Roman;se" w:hAnsi="Times New              Roman;se"/>
        </w:rPr>
        <w:t>Kriminaalmenetluse seadustiku artikli R. 48-1 punktile 12 lisatakse pärast sõnu „tsiviillennunduse seadustik“ sõnad „ning posti ja elektroonilise side seadustiku artiklid R</w:t>
      </w:r>
      <w:r w:rsidR="002E62B9">
        <w:rPr>
          <w:rFonts w:ascii="Times New              Roman;se" w:hAnsi="Times New              Roman;se"/>
        </w:rPr>
        <w:t>. 20-25-1 ja R. 20-25-2</w:t>
      </w:r>
      <w:r w:rsidRPr="007B501D">
        <w:rPr>
          <w:rFonts w:ascii="Times New              Roman;se" w:hAnsi="Times New              Roman;se"/>
        </w:rPr>
        <w:t>“.</w:t>
      </w:r>
    </w:p>
    <w:p w:rsidR="00073A3D" w:rsidRPr="007B501D" w:rsidRDefault="00073A3D"/>
    <w:p w:rsidR="00073A3D" w:rsidRPr="007B501D" w:rsidRDefault="00D50503">
      <w:pPr>
        <w:jc w:val="center"/>
        <w:rPr>
          <w:b/>
        </w:rPr>
      </w:pPr>
      <w:r w:rsidRPr="007B501D">
        <w:rPr>
          <w:b/>
        </w:rPr>
        <w:t>4. peatükk: lõppsätted</w:t>
      </w:r>
    </w:p>
    <w:p w:rsidR="00073A3D" w:rsidRPr="007B501D" w:rsidRDefault="00073A3D">
      <w:pPr>
        <w:rPr>
          <w:b/>
        </w:rPr>
      </w:pPr>
    </w:p>
    <w:p w:rsidR="00073A3D" w:rsidRPr="007B501D" w:rsidRDefault="00D50503">
      <w:pPr>
        <w:jc w:val="center"/>
        <w:rPr>
          <w:b/>
        </w:rPr>
      </w:pPr>
      <w:r w:rsidRPr="007B501D">
        <w:rPr>
          <w:b/>
        </w:rPr>
        <w:t>Artikkel 6</w:t>
      </w:r>
    </w:p>
    <w:p w:rsidR="00697687" w:rsidRPr="007B501D" w:rsidRDefault="00697687">
      <w:pPr>
        <w:pStyle w:val="BodyText"/>
      </w:pPr>
    </w:p>
    <w:p w:rsidR="00073A3D" w:rsidRPr="007B501D" w:rsidRDefault="00D50503">
      <w:pPr>
        <w:pStyle w:val="BodyText"/>
        <w:rPr>
          <w:b/>
        </w:rPr>
      </w:pPr>
      <w:r w:rsidRPr="007B501D">
        <w:t>Käesoleva dekreedi sätteid kohaldatakse järgmistel territooriumidel: Prantsuse Polüneesia, Wallis ja Futuna ning Prantsuse Antarktilised ja Lõunaalad.</w:t>
      </w:r>
    </w:p>
    <w:p w:rsidR="00073A3D" w:rsidRPr="007B501D" w:rsidRDefault="00073A3D">
      <w:pPr>
        <w:jc w:val="center"/>
        <w:rPr>
          <w:b/>
        </w:rPr>
      </w:pPr>
    </w:p>
    <w:p w:rsidR="00073A3D" w:rsidRPr="007B501D" w:rsidRDefault="00D50503">
      <w:pPr>
        <w:pStyle w:val="BodyText"/>
        <w:jc w:val="center"/>
        <w:rPr>
          <w:b/>
        </w:rPr>
      </w:pPr>
      <w:r w:rsidRPr="007B501D">
        <w:rPr>
          <w:b/>
        </w:rPr>
        <w:t>Artikkel 7</w:t>
      </w:r>
    </w:p>
    <w:p w:rsidR="00073A3D" w:rsidRPr="007B501D" w:rsidRDefault="00D50503">
      <w:pPr>
        <w:pStyle w:val="SNAutorit"/>
        <w:spacing w:before="120" w:after="0"/>
        <w:ind w:firstLine="0"/>
        <w:jc w:val="both"/>
      </w:pPr>
      <w:r w:rsidRPr="007B501D">
        <w:rPr>
          <w:rFonts w:ascii="Times New              Roman;se" w:hAnsi="Times New              Roman;se"/>
          <w:b w:val="0"/>
        </w:rPr>
        <w:t>Käesolev dekreet jõustub järgmisel päeval pärast selle avaldamise kuupäeva, välja arvatud Prantsuse posti ja elektroonilise side seadustiku artiklite R. 20-25-1 ja R. 20-25-2 sätted, mis hakkavad kehtima 1 jaanuarist 2019.</w:t>
      </w:r>
    </w:p>
    <w:p w:rsidR="00073A3D" w:rsidRPr="007B501D" w:rsidRDefault="00D50503" w:rsidP="00E00F69">
      <w:pPr>
        <w:pStyle w:val="SNArticle"/>
        <w:keepNext/>
        <w:keepLines/>
      </w:pPr>
      <w:r w:rsidRPr="007B501D">
        <w:lastRenderedPageBreak/>
        <w:t>Artikkel 8</w:t>
      </w:r>
    </w:p>
    <w:p w:rsidR="00073A3D" w:rsidRPr="007B501D" w:rsidRDefault="00D50503">
      <w:pPr>
        <w:pStyle w:val="BodyText"/>
      </w:pPr>
      <w:r w:rsidRPr="007B501D">
        <w:t>Riigiministrist siseminister, riigiministrist ökoloogilise ja solidaarse ülemineku minister, Prantsusmaa pitsatihoidja, justiitsminister, majandus- ja rahandusminister, ülemeredepartemangude ja piirkondade minister ning ökoloogilise ja solidaarse ülemineku ministrist riigiministri alluvuses töötav transpordi eest vastutav minister vastutavad igaüks oma haldusalas käesoleva dekreedi rakendamise eest. Käesolev dekreet avaldatakse Prantsuse Vabariigi ametlikus väljaandes.</w:t>
      </w:r>
    </w:p>
    <w:p w:rsidR="00073A3D" w:rsidRPr="007B501D" w:rsidRDefault="00D50503">
      <w:pPr>
        <w:pStyle w:val="SNDate"/>
      </w:pPr>
      <w:r w:rsidRPr="007B501D">
        <w:t>[Koostamise koht ja kuupäev]</w:t>
      </w:r>
      <w:bookmarkStart w:id="0" w:name="_GoBack"/>
      <w:bookmarkEnd w:id="0"/>
    </w:p>
    <w:p w:rsidR="00073A3D" w:rsidRPr="007B501D" w:rsidRDefault="00D50503">
      <w:pPr>
        <w:pStyle w:val="SNDate"/>
      </w:pPr>
      <w:r w:rsidRPr="007B501D">
        <w:t>Peaministri nimel</w:t>
      </w:r>
    </w:p>
    <w:p w:rsidR="00073A3D" w:rsidRPr="007B501D" w:rsidRDefault="00D50503">
      <w:pPr>
        <w:pStyle w:val="SNSignatureGauche"/>
      </w:pPr>
      <w:r w:rsidRPr="007B501D">
        <w:t>Riigiministrist siseminister</w:t>
      </w:r>
    </w:p>
    <w:p w:rsidR="00073A3D" w:rsidRPr="007B501D" w:rsidRDefault="00D50503">
      <w:pPr>
        <w:pStyle w:val="SNSignatureprnomnomGauche"/>
        <w:rPr>
          <w:color w:val="auto"/>
        </w:rPr>
      </w:pPr>
      <w:r w:rsidRPr="007B501D">
        <w:rPr>
          <w:color w:val="auto"/>
        </w:rPr>
        <w:t>Gérard Collomb</w:t>
      </w:r>
    </w:p>
    <w:p w:rsidR="00073A3D" w:rsidRPr="007B501D" w:rsidRDefault="00D50503">
      <w:pPr>
        <w:pStyle w:val="SNSignatureDroite"/>
        <w:rPr>
          <w:color w:val="auto"/>
        </w:rPr>
      </w:pPr>
      <w:r w:rsidRPr="007B501D">
        <w:rPr>
          <w:color w:val="auto"/>
        </w:rPr>
        <w:t>Ökoloogilise ja solidaarse ülemineku ministrist riigiminister</w:t>
      </w:r>
    </w:p>
    <w:p w:rsidR="00073A3D" w:rsidRPr="007B501D" w:rsidRDefault="00D50503">
      <w:pPr>
        <w:pStyle w:val="SNSignatureDroite"/>
        <w:rPr>
          <w:color w:val="auto"/>
        </w:rPr>
      </w:pPr>
      <w:r w:rsidRPr="007B501D">
        <w:rPr>
          <w:color w:val="auto"/>
        </w:rPr>
        <w:t>Nicolas Hulot</w:t>
      </w:r>
    </w:p>
    <w:p w:rsidR="00000ECF" w:rsidRPr="007B501D" w:rsidRDefault="00000ECF" w:rsidP="00697687">
      <w:pPr>
        <w:pStyle w:val="SNSignatureprnomnomDroite"/>
        <w:ind w:left="0"/>
        <w:jc w:val="left"/>
        <w:rPr>
          <w:color w:val="auto"/>
        </w:rPr>
      </w:pPr>
      <w:r w:rsidRPr="007B501D">
        <w:rPr>
          <w:color w:val="auto"/>
        </w:rPr>
        <w:lastRenderedPageBreak/>
        <w:t>Justiitsminister</w:t>
      </w:r>
    </w:p>
    <w:p w:rsidR="00697687" w:rsidRPr="007B501D" w:rsidRDefault="00697687" w:rsidP="00697687">
      <w:pPr>
        <w:pStyle w:val="SNSignatureprnomnomGauche"/>
        <w:tabs>
          <w:tab w:val="left" w:pos="9354"/>
        </w:tabs>
        <w:ind w:left="0"/>
        <w:rPr>
          <w:color w:val="auto"/>
        </w:rPr>
      </w:pPr>
    </w:p>
    <w:p w:rsidR="00697687" w:rsidRPr="007B501D" w:rsidRDefault="00697687" w:rsidP="00697687">
      <w:pPr>
        <w:pStyle w:val="SNSignatureprnomnomGauche"/>
        <w:tabs>
          <w:tab w:val="left" w:pos="9354"/>
        </w:tabs>
        <w:ind w:left="0"/>
        <w:rPr>
          <w:color w:val="auto"/>
        </w:rPr>
      </w:pPr>
    </w:p>
    <w:p w:rsidR="00697687" w:rsidRPr="007B501D" w:rsidRDefault="00697687" w:rsidP="00697687">
      <w:pPr>
        <w:pStyle w:val="SNSignatureprnomnomGauche"/>
        <w:tabs>
          <w:tab w:val="left" w:pos="9354"/>
        </w:tabs>
        <w:ind w:left="0"/>
        <w:rPr>
          <w:color w:val="auto"/>
        </w:rPr>
      </w:pPr>
    </w:p>
    <w:p w:rsidR="00D47282" w:rsidRPr="007B501D" w:rsidRDefault="00000ECF" w:rsidP="00697687">
      <w:pPr>
        <w:pStyle w:val="SNSignatureprnomnomGauche"/>
        <w:tabs>
          <w:tab w:val="left" w:pos="9354"/>
        </w:tabs>
        <w:ind w:left="0"/>
        <w:rPr>
          <w:color w:val="auto"/>
        </w:rPr>
      </w:pPr>
      <w:r w:rsidRPr="007B501D">
        <w:rPr>
          <w:color w:val="auto"/>
        </w:rPr>
        <w:t>Nicole Belloubet</w:t>
      </w:r>
    </w:p>
    <w:p w:rsidR="00000ECF" w:rsidRPr="007B501D" w:rsidRDefault="00000ECF" w:rsidP="00000ECF">
      <w:pPr>
        <w:pStyle w:val="SNSignatureGauche"/>
      </w:pPr>
    </w:p>
    <w:p w:rsidR="00697687" w:rsidRPr="007B501D" w:rsidRDefault="00697687">
      <w:pPr>
        <w:pStyle w:val="SNSignatureGauche"/>
      </w:pPr>
    </w:p>
    <w:p w:rsidR="00073A3D" w:rsidRPr="007B501D" w:rsidRDefault="00D50503">
      <w:pPr>
        <w:pStyle w:val="SNSignatureGauche"/>
      </w:pPr>
      <w:r w:rsidRPr="007B501D">
        <w:t>Majandus- ja rahandusminister</w:t>
      </w:r>
    </w:p>
    <w:p w:rsidR="00073A3D" w:rsidRPr="007B501D" w:rsidRDefault="00D50503">
      <w:pPr>
        <w:pStyle w:val="SNSignatureGauche"/>
      </w:pPr>
      <w:r w:rsidRPr="007B501D">
        <w:t>Bruno Lemaire</w:t>
      </w:r>
    </w:p>
    <w:p w:rsidR="00073A3D" w:rsidRPr="007B501D"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rPr>
      </w:pPr>
      <w:r w:rsidRPr="007B501D">
        <w:rPr>
          <w:color w:val="auto"/>
        </w:rPr>
        <w:t>Ülemeredepartemangude ja piirkondade minister</w:t>
      </w:r>
    </w:p>
    <w:p w:rsidR="00073A3D" w:rsidRPr="007B501D" w:rsidRDefault="00073A3D">
      <w:pPr>
        <w:pStyle w:val="SNSignatureGauche"/>
        <w:tabs>
          <w:tab w:val="left" w:pos="8222"/>
        </w:tabs>
      </w:pPr>
    </w:p>
    <w:p w:rsidR="00073A3D" w:rsidRPr="007B501D" w:rsidRDefault="00D50503" w:rsidP="002E197B">
      <w:pPr>
        <w:pStyle w:val="SNSignatureGauche"/>
        <w:tabs>
          <w:tab w:val="left" w:pos="8222"/>
        </w:tabs>
        <w:ind w:left="0" w:right="0"/>
        <w:jc w:val="right"/>
      </w:pPr>
      <w:r w:rsidRPr="007B501D">
        <w:t>Annick Girardin</w:t>
      </w:r>
    </w:p>
    <w:p w:rsidR="00073A3D" w:rsidRPr="007B501D" w:rsidRDefault="00D50503">
      <w:pPr>
        <w:pStyle w:val="SNSignatureGauche"/>
      </w:pPr>
      <w:r w:rsidRPr="007B501D">
        <w:lastRenderedPageBreak/>
        <w:t>Ökoloogilise ja solidaarse ülemineku ministrist riigiministri alluvuses töötav transpordi eest vastutav minister</w:t>
      </w:r>
    </w:p>
    <w:p w:rsidR="00073A3D" w:rsidRPr="007B501D" w:rsidRDefault="00D50503">
      <w:pPr>
        <w:pStyle w:val="SNSignatureGauche"/>
      </w:pPr>
      <w:r w:rsidRPr="007B501D">
        <w:t>Elisabeth Borne</w:t>
      </w:r>
    </w:p>
    <w:sectPr w:rsidR="00073A3D" w:rsidRPr="007B501D"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DCE" w:rsidRDefault="001E7DCE" w:rsidP="00660ECB">
      <w:r>
        <w:separator/>
      </w:r>
    </w:p>
  </w:endnote>
  <w:endnote w:type="continuationSeparator" w:id="0">
    <w:p w:rsidR="001E7DCE" w:rsidRDefault="001E7DCE"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DCE" w:rsidRDefault="001E7DCE" w:rsidP="00660ECB">
      <w:r>
        <w:separator/>
      </w:r>
    </w:p>
  </w:footnote>
  <w:footnote w:type="continuationSeparator" w:id="0">
    <w:p w:rsidR="001E7DCE" w:rsidRDefault="001E7DCE"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ECF"/>
    <w:rsid w:val="000448F5"/>
    <w:rsid w:val="00073A3D"/>
    <w:rsid w:val="0014705D"/>
    <w:rsid w:val="001E7DCE"/>
    <w:rsid w:val="002E197B"/>
    <w:rsid w:val="002E62B9"/>
    <w:rsid w:val="00311055"/>
    <w:rsid w:val="003723F5"/>
    <w:rsid w:val="00397D5C"/>
    <w:rsid w:val="003B26B1"/>
    <w:rsid w:val="003D5A5C"/>
    <w:rsid w:val="003F769D"/>
    <w:rsid w:val="004D1C2C"/>
    <w:rsid w:val="005527AE"/>
    <w:rsid w:val="005F3DB6"/>
    <w:rsid w:val="00660ECB"/>
    <w:rsid w:val="006732B4"/>
    <w:rsid w:val="00697687"/>
    <w:rsid w:val="007B501D"/>
    <w:rsid w:val="0082741D"/>
    <w:rsid w:val="008E4588"/>
    <w:rsid w:val="009A32C8"/>
    <w:rsid w:val="009A4C69"/>
    <w:rsid w:val="00AD7A1C"/>
    <w:rsid w:val="00BE1E1D"/>
    <w:rsid w:val="00BF6B0E"/>
    <w:rsid w:val="00D47282"/>
    <w:rsid w:val="00D50503"/>
    <w:rsid w:val="00E00F69"/>
    <w:rsid w:val="00F54C64"/>
    <w:rsid w:val="00FA6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B853D-18B4-4C1E-9F3C-52D03DC4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et-E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et-EE" w:bidi="ar-SA"/>
    </w:rPr>
  </w:style>
  <w:style w:type="character" w:customStyle="1" w:styleId="SNDateCar">
    <w:name w:val="SNDate Car"/>
    <w:qFormat/>
    <w:rPr>
      <w:sz w:val="24"/>
      <w:szCs w:val="24"/>
      <w:lang w:val="et-EE" w:bidi="ar-SA"/>
    </w:rPr>
  </w:style>
  <w:style w:type="character" w:customStyle="1" w:styleId="SNArticleCar">
    <w:name w:val="SNArticle Car"/>
    <w:qFormat/>
    <w:rPr>
      <w:b/>
      <w:sz w:val="24"/>
      <w:szCs w:val="24"/>
      <w:lang w:val="et-EE" w:bidi="ar-SA"/>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zh-CN"/>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lang w:bidi="ar-SA"/>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ar-SA"/>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1542</Words>
  <Characters>8793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MINEFI</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6</cp:revision>
  <cp:lastPrinted>2018-03-29T14:13:00Z</cp:lastPrinted>
  <dcterms:created xsi:type="dcterms:W3CDTF">2018-03-28T11:38:00Z</dcterms:created>
  <dcterms:modified xsi:type="dcterms:W3CDTF">2018-04-20T11:41:00Z</dcterms:modified>
  <dc:language>fr-FR</dc:language>
</cp:coreProperties>
</file>