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7A1C" w:rsidRPr="003D25AA" w:rsidRDefault="00AD7A1C" w:rsidP="00AD7A1C">
      <w:pPr>
        <w:ind w:left="-634" w:right="-778"/>
        <w:jc w:val="center"/>
        <w:textAlignment w:val="baseline"/>
        <w:rPr>
          <w:rFonts w:ascii="Courier New" w:hAnsi="Courier New"/>
          <w:sz w:val="20"/>
        </w:rPr>
      </w:pPr>
      <w:r w:rsidRPr="003D25AA">
        <w:rPr>
          <w:rFonts w:ascii="Courier New" w:hAnsi="Courier New"/>
          <w:sz w:val="20"/>
        </w:rPr>
        <w:t>1. ------IND- 2018 0169 F-- NL- ------ 20180420 --- --- PROJET</w:t>
      </w:r>
    </w:p>
    <w:p w:rsidR="00AD7A1C" w:rsidRPr="003D25AA" w:rsidRDefault="00AD7A1C"/>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B73D02" w:rsidRPr="003D25AA" w:rsidTr="006516B7">
        <w:trPr>
          <w:cantSplit/>
        </w:trPr>
        <w:tc>
          <w:tcPr>
            <w:tcW w:w="3982" w:type="dxa"/>
            <w:gridSpan w:val="3"/>
          </w:tcPr>
          <w:p w:rsidR="00B73D02" w:rsidRPr="003D25AA" w:rsidRDefault="00B73D02" w:rsidP="006516B7">
            <w:pPr>
              <w:pStyle w:val="SNREPUBLIQUE"/>
            </w:pPr>
            <w:r w:rsidRPr="003D25AA">
              <w:t>FRANSE REPUBLIEK</w:t>
            </w:r>
          </w:p>
        </w:tc>
      </w:tr>
      <w:tr w:rsidR="00B73D02" w:rsidRPr="003D25AA" w:rsidTr="006516B7">
        <w:trPr>
          <w:cantSplit/>
          <w:trHeight w:val="42"/>
        </w:trPr>
        <w:tc>
          <w:tcPr>
            <w:tcW w:w="1527" w:type="dxa"/>
          </w:tcPr>
          <w:p w:rsidR="00B73D02" w:rsidRPr="003D25AA" w:rsidRDefault="00B73D02" w:rsidP="006516B7">
            <w:pPr>
              <w:rPr>
                <w:sz w:val="8"/>
              </w:rPr>
            </w:pPr>
          </w:p>
        </w:tc>
        <w:tc>
          <w:tcPr>
            <w:tcW w:w="968" w:type="dxa"/>
            <w:tcBorders>
              <w:bottom w:val="single" w:sz="4" w:space="0" w:color="auto"/>
            </w:tcBorders>
          </w:tcPr>
          <w:p w:rsidR="00B73D02" w:rsidRPr="003D25AA" w:rsidRDefault="00B73D02" w:rsidP="006516B7">
            <w:pPr>
              <w:rPr>
                <w:sz w:val="8"/>
              </w:rPr>
            </w:pPr>
          </w:p>
        </w:tc>
        <w:tc>
          <w:tcPr>
            <w:tcW w:w="1487" w:type="dxa"/>
          </w:tcPr>
          <w:p w:rsidR="00B73D02" w:rsidRPr="003D25AA" w:rsidRDefault="00B73D02" w:rsidP="006516B7">
            <w:pPr>
              <w:rPr>
                <w:sz w:val="8"/>
              </w:rPr>
            </w:pPr>
          </w:p>
        </w:tc>
      </w:tr>
      <w:tr w:rsidR="00B73D02" w:rsidRPr="003D25AA" w:rsidTr="006516B7">
        <w:trPr>
          <w:cantSplit/>
        </w:trPr>
        <w:tc>
          <w:tcPr>
            <w:tcW w:w="3982" w:type="dxa"/>
            <w:gridSpan w:val="3"/>
          </w:tcPr>
          <w:p w:rsidR="00B73D02" w:rsidRPr="003D25AA" w:rsidRDefault="00B73D02" w:rsidP="006516B7">
            <w:pPr>
              <w:pStyle w:val="SNTimbre"/>
            </w:pPr>
            <w:r w:rsidRPr="003D25AA">
              <w:t>Ministerie van Economie en Financiën</w:t>
            </w:r>
          </w:p>
        </w:tc>
      </w:tr>
      <w:tr w:rsidR="00B73D02" w:rsidRPr="003D25AA" w:rsidTr="006516B7">
        <w:trPr>
          <w:cantSplit/>
          <w:trHeight w:val="222"/>
        </w:trPr>
        <w:tc>
          <w:tcPr>
            <w:tcW w:w="1527" w:type="dxa"/>
          </w:tcPr>
          <w:p w:rsidR="00B73D02" w:rsidRPr="003D25AA" w:rsidRDefault="00B73D02" w:rsidP="006516B7">
            <w:pPr>
              <w:rPr>
                <w:sz w:val="16"/>
              </w:rPr>
            </w:pPr>
          </w:p>
        </w:tc>
        <w:tc>
          <w:tcPr>
            <w:tcW w:w="968" w:type="dxa"/>
            <w:tcBorders>
              <w:bottom w:val="single" w:sz="4" w:space="0" w:color="auto"/>
            </w:tcBorders>
          </w:tcPr>
          <w:p w:rsidR="00B73D02" w:rsidRPr="003D25AA" w:rsidRDefault="00B73D02" w:rsidP="006516B7">
            <w:pPr>
              <w:rPr>
                <w:sz w:val="16"/>
              </w:rPr>
            </w:pPr>
          </w:p>
        </w:tc>
        <w:tc>
          <w:tcPr>
            <w:tcW w:w="1487" w:type="dxa"/>
          </w:tcPr>
          <w:p w:rsidR="00B73D02" w:rsidRPr="003D25AA" w:rsidRDefault="00B73D02" w:rsidP="006516B7">
            <w:pPr>
              <w:rPr>
                <w:sz w:val="16"/>
              </w:rPr>
            </w:pPr>
          </w:p>
        </w:tc>
      </w:tr>
      <w:tr w:rsidR="00B73D02" w:rsidRPr="003D25AA" w:rsidTr="006516B7">
        <w:trPr>
          <w:cantSplit/>
        </w:trPr>
        <w:tc>
          <w:tcPr>
            <w:tcW w:w="1527" w:type="dxa"/>
          </w:tcPr>
          <w:p w:rsidR="00B73D02" w:rsidRPr="003D25AA" w:rsidRDefault="00B73D02" w:rsidP="006516B7">
            <w:pPr>
              <w:rPr>
                <w:sz w:val="16"/>
              </w:rPr>
            </w:pPr>
          </w:p>
        </w:tc>
        <w:tc>
          <w:tcPr>
            <w:tcW w:w="968" w:type="dxa"/>
            <w:tcBorders>
              <w:top w:val="single" w:sz="4" w:space="0" w:color="auto"/>
            </w:tcBorders>
          </w:tcPr>
          <w:p w:rsidR="00B73D02" w:rsidRPr="003D25AA" w:rsidRDefault="00B73D02" w:rsidP="006516B7">
            <w:pPr>
              <w:rPr>
                <w:sz w:val="16"/>
              </w:rPr>
            </w:pPr>
          </w:p>
        </w:tc>
        <w:tc>
          <w:tcPr>
            <w:tcW w:w="1487" w:type="dxa"/>
          </w:tcPr>
          <w:p w:rsidR="00B73D02" w:rsidRPr="003D25AA" w:rsidRDefault="00B73D02" w:rsidP="006516B7">
            <w:pPr>
              <w:rPr>
                <w:sz w:val="16"/>
              </w:rPr>
            </w:pPr>
          </w:p>
        </w:tc>
      </w:tr>
    </w:tbl>
    <w:p w:rsidR="00073A3D" w:rsidRPr="003D25AA" w:rsidRDefault="00D50503" w:rsidP="00B73D02">
      <w:pPr>
        <w:pStyle w:val="SNNature"/>
        <w:jc w:val="left"/>
      </w:pPr>
      <w:r w:rsidRPr="003D25AA">
        <w:t>Decreet nr.             tot vaststelling van de doelstellingen van signaleringsinrichtingen op onbemande luchtvaartuigen en de voorwaarden voor vrijstelling, zoals vermeld in artikel L. 34-9-2 van het wetboek post en elektronische communicatie</w:t>
      </w:r>
    </w:p>
    <w:p w:rsidR="00073A3D" w:rsidRPr="003D25AA" w:rsidRDefault="00D50503">
      <w:pPr>
        <w:pStyle w:val="SNNORCentr"/>
      </w:pPr>
      <w:r w:rsidRPr="003D25AA">
        <w:t>NOR: […]</w:t>
      </w:r>
    </w:p>
    <w:p w:rsidR="00073A3D" w:rsidRPr="003D25AA" w:rsidRDefault="00D50503">
      <w:pPr>
        <w:pStyle w:val="SNAutorit"/>
        <w:spacing w:after="0"/>
        <w:jc w:val="both"/>
      </w:pPr>
      <w:r w:rsidRPr="003D25AA">
        <w:rPr>
          <w:i/>
        </w:rPr>
        <w:t xml:space="preserve">Bedoeld voor: </w:t>
      </w:r>
      <w:r w:rsidRPr="003D25AA">
        <w:rPr>
          <w:b w:val="0"/>
          <w:i/>
        </w:rPr>
        <w:t>afstandspiloten van onbemande luchtvaartuigen waarvan het gewicht meer bedraagt dan een bij besluit vastgestelde grenswaarde - fabrikanten van onbemande luchtvaartuigen</w:t>
      </w:r>
    </w:p>
    <w:p w:rsidR="00073A3D" w:rsidRPr="003D25AA" w:rsidRDefault="00D50503">
      <w:pPr>
        <w:pStyle w:val="SNAutorit"/>
        <w:spacing w:before="120" w:after="0"/>
        <w:jc w:val="both"/>
      </w:pPr>
      <w:r w:rsidRPr="003D25AA">
        <w:rPr>
          <w:i/>
        </w:rPr>
        <w:t xml:space="preserve">Betreft: </w:t>
      </w:r>
      <w:r w:rsidRPr="003D25AA">
        <w:rPr>
          <w:b w:val="0"/>
          <w:i/>
        </w:rPr>
        <w:t xml:space="preserve">in deze tekst worden de doelstellingen vastgelegd van elektronische en lichtsignaleringsinrichtingen waarmee onbemande luchtvaartuigen waarvan het gewicht meer bedraagt dan een bij besluit vastgestelde grenswaarde moeten worden uitgerust, alsook de voorwaarden voor vrijstelling van deze verplichtingen en de hiermee verbonden sancties. </w:t>
      </w:r>
    </w:p>
    <w:p w:rsidR="00073A3D" w:rsidRPr="003D25AA" w:rsidRDefault="00D50503">
      <w:pPr>
        <w:pStyle w:val="SNAutorit"/>
        <w:spacing w:before="120" w:after="0"/>
        <w:jc w:val="both"/>
      </w:pPr>
      <w:r w:rsidRPr="003D25AA">
        <w:rPr>
          <w:i/>
        </w:rPr>
        <w:t>Inwerkingtreding:</w:t>
      </w:r>
      <w:r w:rsidR="003D25AA">
        <w:rPr>
          <w:b w:val="0"/>
          <w:i/>
        </w:rPr>
        <w:t xml:space="preserve"> d</w:t>
      </w:r>
      <w:r w:rsidRPr="003D25AA">
        <w:rPr>
          <w:b w:val="0"/>
          <w:i/>
        </w:rPr>
        <w:t>e tekst treedt in werking op de dag na de bekendmaking ervan, met uitzondering van de bepalingen van artikel R. 20-25-1 en artikel R. 20-25-2 van het wetboek post en elektronische communicatie die op 1 januari 2019 in werking treden.</w:t>
      </w:r>
    </w:p>
    <w:p w:rsidR="00073A3D" w:rsidRPr="003D25AA" w:rsidRDefault="00D50503">
      <w:pPr>
        <w:pStyle w:val="SNAutorit"/>
        <w:spacing w:before="120" w:after="0"/>
        <w:jc w:val="both"/>
      </w:pPr>
      <w:r w:rsidRPr="003D25AA">
        <w:rPr>
          <w:i/>
        </w:rPr>
        <w:t>Opmerking:</w:t>
      </w:r>
      <w:r w:rsidR="003D25AA">
        <w:rPr>
          <w:b w:val="0"/>
          <w:i/>
        </w:rPr>
        <w:t xml:space="preserve"> i</w:t>
      </w:r>
      <w:r w:rsidRPr="003D25AA">
        <w:rPr>
          <w:b w:val="0"/>
          <w:i/>
        </w:rPr>
        <w:t>n toepassing van artikel L. 34-9-2 van het wetboek post en elektronische communicatie, zoals gewijzigd bij wet nr. 2016-1428 van 24 oktober 2016 betreffende het versterken van de veiligheid van het gebruik van civiele drones, moeten onbemande luchtvaartuigen, die geen staatsdrones zijn, waarvan het gewicht meer bedraagt dan een bij besluit vastgestelde grenswaarde, zijn uitgerust met een elektronische of digitale signaleringsinrichting en met een lichtsignaleringsinrichting. In het decreet worden de doelstellingen met betrekking tot deze inrichtingen vastgelegd, alsook de voorwaarden voor vrijstelling van deze verplichtingen.</w:t>
      </w:r>
    </w:p>
    <w:p w:rsidR="00073A3D" w:rsidRPr="003D25AA" w:rsidRDefault="00D50503">
      <w:pPr>
        <w:pStyle w:val="SNAutorit"/>
        <w:spacing w:before="120"/>
        <w:jc w:val="both"/>
      </w:pPr>
      <w:r w:rsidRPr="003D25AA">
        <w:rPr>
          <w:i/>
        </w:rPr>
        <w:t xml:space="preserve">Referenties: </w:t>
      </w:r>
      <w:r w:rsidR="003D25AA">
        <w:rPr>
          <w:b w:val="0"/>
          <w:i/>
        </w:rPr>
        <w:t>h</w:t>
      </w:r>
      <w:r w:rsidRPr="003D25AA">
        <w:rPr>
          <w:b w:val="0"/>
          <w:i/>
        </w:rPr>
        <w:t xml:space="preserve">et decreet strekt tot toepassing van deel I van artikel 4 van wet nr. 2016-1428 van 24 oktober 2016 betreffende het versterken van de veiligheid van het gebruik van civiele drones. De artikelen van het wetboek post en elektronische communicatie die door onderhavig decreet worden gewijzigd, kunnen worden geraadpleegd in de versie waarin deze wijziging is opgenomen op de website van Légifrance (http://www.legifrance.gouv.fr). </w:t>
      </w:r>
    </w:p>
    <w:p w:rsidR="00073A3D" w:rsidRPr="003D25AA" w:rsidRDefault="00D50503">
      <w:pPr>
        <w:pStyle w:val="SNAutorit"/>
      </w:pPr>
      <w:r w:rsidRPr="003D25AA">
        <w:t>De eerste minister,</w:t>
      </w:r>
    </w:p>
    <w:p w:rsidR="00073A3D" w:rsidRPr="003D25AA" w:rsidRDefault="00D50503">
      <w:pPr>
        <w:pStyle w:val="SNRapport"/>
      </w:pPr>
      <w:r w:rsidRPr="003D25AA">
        <w:t>Naar aanleiding van het verslag van de minister van Economie en Financiën,</w:t>
      </w:r>
    </w:p>
    <w:p w:rsidR="003B26B1" w:rsidRPr="003D25AA" w:rsidRDefault="00D50503" w:rsidP="000F2A92">
      <w:pPr>
        <w:jc w:val="both"/>
      </w:pPr>
      <w:r w:rsidRPr="003D25AA">
        <w:t>Gezien Richtlijn (EU) 2015/1535 van het Europees Parlement en de Raad van 9 september 2015 betreffende een informatieprocedure op het gebied van technische voorschriften en regels betreffende de diensten van de informatiemaatschappij (codificatie), met name kennisgeving nr. jaar/XXX/F;</w:t>
      </w:r>
    </w:p>
    <w:p w:rsidR="000F2A92" w:rsidRDefault="000F2A92">
      <w:pPr>
        <w:ind w:left="426" w:hanging="426"/>
        <w:jc w:val="both"/>
      </w:pPr>
    </w:p>
    <w:p w:rsidR="00073A3D" w:rsidRPr="003D25AA" w:rsidRDefault="00D50503" w:rsidP="002C433F">
      <w:pPr>
        <w:ind w:left="426" w:hanging="426"/>
        <w:jc w:val="both"/>
      </w:pPr>
      <w:r w:rsidRPr="003D25AA">
        <w:t>Gezien het wetboek burgerluchtvaart, met name artikel D. 510-3;</w:t>
      </w:r>
    </w:p>
    <w:p w:rsidR="00073A3D" w:rsidRPr="003D25AA" w:rsidRDefault="00073A3D" w:rsidP="002C433F">
      <w:pPr>
        <w:ind w:left="426" w:hanging="426"/>
        <w:jc w:val="both"/>
      </w:pPr>
    </w:p>
    <w:p w:rsidR="00073A3D" w:rsidRPr="003D25AA" w:rsidRDefault="00D50503" w:rsidP="002C433F">
      <w:pPr>
        <w:ind w:left="426" w:hanging="426"/>
        <w:jc w:val="both"/>
      </w:pPr>
      <w:r w:rsidRPr="003D25AA">
        <w:t>Gezien het wetboek post en elektronische communicatie, met name artikel L. 34-9-2;</w:t>
      </w:r>
    </w:p>
    <w:p w:rsidR="00073A3D" w:rsidRPr="003D25AA" w:rsidRDefault="00073A3D" w:rsidP="002C433F">
      <w:pPr>
        <w:ind w:left="426" w:hanging="426"/>
        <w:jc w:val="both"/>
      </w:pPr>
    </w:p>
    <w:p w:rsidR="00073A3D" w:rsidRPr="003D25AA" w:rsidRDefault="00D50503" w:rsidP="002C433F">
      <w:pPr>
        <w:ind w:left="426" w:hanging="426"/>
        <w:jc w:val="both"/>
      </w:pPr>
      <w:r w:rsidRPr="003D25AA">
        <w:t>Gezien het wetboek binnenlandse veiligheid, met name titel V van boek VIII;</w:t>
      </w:r>
    </w:p>
    <w:p w:rsidR="00073A3D" w:rsidRPr="003D25AA" w:rsidRDefault="00073A3D" w:rsidP="002C433F">
      <w:pPr>
        <w:ind w:left="426" w:hanging="426"/>
        <w:jc w:val="both"/>
      </w:pPr>
    </w:p>
    <w:p w:rsidR="00073A3D" w:rsidRPr="003D25AA" w:rsidRDefault="00D50503" w:rsidP="002C433F">
      <w:pPr>
        <w:ind w:left="426" w:hanging="426"/>
        <w:jc w:val="both"/>
      </w:pPr>
      <w:r w:rsidRPr="003D25AA">
        <w:t>Gezien het wetboek vervoer, met name artikelen 6100-1 en L. 6111-1;</w:t>
      </w:r>
    </w:p>
    <w:p w:rsidR="00073A3D" w:rsidRPr="003D25AA" w:rsidRDefault="00073A3D" w:rsidP="002C433F">
      <w:pPr>
        <w:jc w:val="both"/>
        <w:rPr>
          <w:sz w:val="22"/>
          <w:szCs w:val="20"/>
        </w:rPr>
      </w:pPr>
      <w:bookmarkStart w:id="0" w:name="_GoBack"/>
      <w:bookmarkEnd w:id="0"/>
    </w:p>
    <w:p w:rsidR="00073A3D" w:rsidRPr="003D25AA" w:rsidRDefault="00D50503" w:rsidP="002C433F">
      <w:pPr>
        <w:pStyle w:val="SNVisa"/>
        <w:ind w:firstLine="0"/>
        <w:jc w:val="both"/>
      </w:pPr>
      <w:r w:rsidRPr="003D25AA">
        <w:t>Gezien het advies van de regelgevende instantie voor elektronische communicatie en posterijen van XXX;</w:t>
      </w:r>
    </w:p>
    <w:p w:rsidR="00073A3D" w:rsidRPr="003D25AA" w:rsidRDefault="00073A3D">
      <w:pPr>
        <w:pStyle w:val="SNConsultation"/>
      </w:pPr>
    </w:p>
    <w:p w:rsidR="00073A3D" w:rsidRPr="003D25AA" w:rsidRDefault="00D50503">
      <w:pPr>
        <w:pStyle w:val="SNConsultation"/>
      </w:pPr>
      <w:r w:rsidRPr="003D25AA">
        <w:t>Gehoord het advies van de Raad van State (afdeling ...),</w:t>
      </w:r>
    </w:p>
    <w:p w:rsidR="00073A3D" w:rsidRPr="003D25AA" w:rsidRDefault="00D50503">
      <w:pPr>
        <w:pStyle w:val="SNActe"/>
      </w:pPr>
      <w:r w:rsidRPr="003D25AA">
        <w:t>Decreteert:</w:t>
      </w:r>
    </w:p>
    <w:p w:rsidR="00073A3D" w:rsidRPr="003D25AA" w:rsidRDefault="00D50503">
      <w:pPr>
        <w:pStyle w:val="SNActe"/>
      </w:pPr>
      <w:r w:rsidRPr="003D25AA">
        <w:t>Hoofdstuk I: Bepalingen met betrekking tot de doelstellingen van signaleringsinrichtingen</w:t>
      </w:r>
    </w:p>
    <w:p w:rsidR="00073A3D" w:rsidRPr="003D25AA" w:rsidRDefault="00D50503">
      <w:pPr>
        <w:pStyle w:val="SNArticle"/>
      </w:pPr>
      <w:r w:rsidRPr="003D25AA">
        <w:t>Artikel 1</w:t>
      </w:r>
    </w:p>
    <w:p w:rsidR="00073A3D" w:rsidRPr="003D25AA" w:rsidRDefault="00D50503">
      <w:pPr>
        <w:pStyle w:val="BodyText"/>
      </w:pPr>
      <w:r w:rsidRPr="003D25AA">
        <w:t>Subsectie 6 van sectie 5 van hoofdstuk II van titel I van boek II van het regelgevende deel (decreten van de Raad van State) van het wetboek post en elektronische communicatie wordt aangevuld met een artikel R. 20-24-2 dat als volgt luidt:</w:t>
      </w:r>
    </w:p>
    <w:p w:rsidR="00073A3D" w:rsidRPr="003D25AA" w:rsidRDefault="00073A3D">
      <w:pPr>
        <w:pStyle w:val="BodyText"/>
      </w:pPr>
    </w:p>
    <w:p w:rsidR="00073A3D" w:rsidRPr="003D25AA" w:rsidRDefault="00D50503">
      <w:pPr>
        <w:pStyle w:val="BodyText"/>
      </w:pPr>
      <w:r w:rsidRPr="003D25AA">
        <w:t>„</w:t>
      </w:r>
      <w:r w:rsidRPr="003D25AA">
        <w:rPr>
          <w:i/>
        </w:rPr>
        <w:t>Art. R. 20-24-2.-</w:t>
      </w:r>
      <w:r w:rsidRPr="003D25AA">
        <w:t xml:space="preserve"> I- De elektronische of digitale signaleringsinrichting vermeld in artikel L. 34-9-2, eerste alinea, heeft tot doel de diensten die bijdragen tot de veiligheid, nationale defensie, de hulpdiensten en de douane in staat te stellen onbemande luchtvaartuigen waarvan het gewicht meer bedraagt dan een bij besluit vastgestelde grenswaarde, te identificeren en te lokaliseren wanneer ze vliegen.</w:t>
      </w:r>
    </w:p>
    <w:p w:rsidR="00073A3D" w:rsidRPr="003D25AA" w:rsidRDefault="00D50503">
      <w:pPr>
        <w:pStyle w:val="BodyText"/>
      </w:pPr>
      <w:r w:rsidRPr="003D25AA">
        <w:t>„Hiertoe stuurt de inrichting langs elektronische weg de volgende informatie door:</w:t>
      </w:r>
    </w:p>
    <w:p w:rsidR="00073A3D" w:rsidRPr="003D25AA" w:rsidRDefault="00D50503">
      <w:pPr>
        <w:pStyle w:val="BodyText"/>
      </w:pPr>
      <w:r w:rsidRPr="003D25AA">
        <w:t>„1° het identificatienummer van de elektronische of digitale signaleringsinrichting;</w:t>
      </w:r>
    </w:p>
    <w:p w:rsidR="00073A3D" w:rsidRPr="003D25AA" w:rsidRDefault="00D50503">
      <w:pPr>
        <w:pStyle w:val="BodyText"/>
      </w:pPr>
      <w:r w:rsidRPr="003D25AA">
        <w:t xml:space="preserve">„2° de coördinaten van de geografische positie van het luchtvaartuig en zijn hoogte; </w:t>
      </w:r>
    </w:p>
    <w:p w:rsidR="00073A3D" w:rsidRPr="003D25AA" w:rsidRDefault="00D50503">
      <w:pPr>
        <w:pStyle w:val="BodyText"/>
      </w:pPr>
      <w:r w:rsidRPr="003D25AA">
        <w:t>„3° het uur en de datum van deze geografische positie;</w:t>
      </w:r>
    </w:p>
    <w:p w:rsidR="00073A3D" w:rsidRPr="003D25AA" w:rsidRDefault="00D50503">
      <w:pPr>
        <w:pStyle w:val="BodyText"/>
      </w:pPr>
      <w:r w:rsidRPr="003D25AA">
        <w:t>„4° de coördinaten van de geografische positie van de plaats waar het luchtvaartuig is opgestegen;</w:t>
      </w:r>
    </w:p>
    <w:p w:rsidR="00073A3D" w:rsidRPr="003D25AA" w:rsidRDefault="00D50503">
      <w:pPr>
        <w:pStyle w:val="BodyText"/>
      </w:pPr>
      <w:r w:rsidRPr="003D25AA">
        <w:t>„5° de route en snelheid van het luchtvaartuig.</w:t>
      </w:r>
    </w:p>
    <w:p w:rsidR="00073A3D" w:rsidRPr="003D25AA" w:rsidRDefault="00D50503">
      <w:pPr>
        <w:pStyle w:val="BodyText"/>
      </w:pPr>
      <w:r w:rsidRPr="003D25AA">
        <w:t>„Deze gegevens kunnen, indien nodig en naargelang de behoefte om hiervan op de hoogte te zijn, door de hiertoe bevoegde personen worden gebruikt voor gerechtelijke, administratieve of informatieve, alsook voor statistische doeleinden.</w:t>
      </w:r>
    </w:p>
    <w:p w:rsidR="00073A3D" w:rsidRPr="003D25AA" w:rsidRDefault="00D50503">
      <w:pPr>
        <w:pStyle w:val="BodyText"/>
      </w:pPr>
      <w:r w:rsidRPr="003D25AA">
        <w:t>„II- De lichtsignaleringsinrichting vermeld in artikel L. 34-9-2, eerste alinea, heeft tot doel de diensten die bijdragen tot de veiligheid, nationale defensie, de hulpdiensten en de douane in staat te stellen onbemande luchtvaartuigen waarvan het gewicht meer bedraagt dan een bij besluit vastgestelde grenswaarde gemakkelijker op te sporen en te onderscheiden van andere luchtvaartuigen.</w:t>
      </w:r>
    </w:p>
    <w:p w:rsidR="00073A3D" w:rsidRPr="003D25AA" w:rsidRDefault="00525052">
      <w:pPr>
        <w:pStyle w:val="BodyText"/>
      </w:pPr>
      <w:r>
        <w:lastRenderedPageBreak/>
        <w:t>„</w:t>
      </w:r>
      <w:r w:rsidR="00D50503" w:rsidRPr="003D25AA">
        <w:t>III- In een besluit van de minister van Binnenlandse Zaken, de minister van Vervoer en de minister van Elektronische Communicatie worden de technische kenmerken van de elektronische of digitale signaleringsinrichting en het formaat van de verstrekte inlichtingen vastgelegd, alsook de technische kenmerken van de lichtsignaleringsinrichting. ”</w:t>
      </w:r>
    </w:p>
    <w:p w:rsidR="002E197B" w:rsidRPr="003D25AA" w:rsidRDefault="002E197B">
      <w:pPr>
        <w:pStyle w:val="BodyText"/>
      </w:pPr>
    </w:p>
    <w:p w:rsidR="00073A3D" w:rsidRPr="003D25AA" w:rsidRDefault="00D50503">
      <w:pPr>
        <w:pStyle w:val="BodyText"/>
        <w:jc w:val="center"/>
        <w:rPr>
          <w:b/>
        </w:rPr>
      </w:pPr>
      <w:r w:rsidRPr="003D25AA">
        <w:rPr>
          <w:b/>
        </w:rPr>
        <w:t>Hoofdstuk II: Bepalingen met betrekking tot de voorwaarden voor vrijstelling van de signaleringsverplichting</w:t>
      </w:r>
    </w:p>
    <w:p w:rsidR="00073A3D" w:rsidRPr="003D25AA" w:rsidRDefault="00073A3D">
      <w:pPr>
        <w:jc w:val="center"/>
        <w:rPr>
          <w:rFonts w:eastAsia="Calibri"/>
          <w:b/>
        </w:rPr>
      </w:pPr>
    </w:p>
    <w:p w:rsidR="00073A3D" w:rsidRPr="003D25AA" w:rsidRDefault="00D50503">
      <w:pPr>
        <w:jc w:val="center"/>
        <w:rPr>
          <w:rFonts w:eastAsia="Calibri"/>
          <w:b/>
        </w:rPr>
      </w:pPr>
      <w:r w:rsidRPr="003D25AA">
        <w:rPr>
          <w:b/>
        </w:rPr>
        <w:t>Artikel 2</w:t>
      </w:r>
    </w:p>
    <w:p w:rsidR="00073A3D" w:rsidRPr="003D25AA" w:rsidRDefault="00073A3D">
      <w:pPr>
        <w:pStyle w:val="BodyText"/>
        <w:jc w:val="center"/>
        <w:rPr>
          <w:b/>
        </w:rPr>
      </w:pPr>
    </w:p>
    <w:p w:rsidR="00073A3D" w:rsidRPr="003D25AA" w:rsidRDefault="00D50503">
      <w:pPr>
        <w:pStyle w:val="BodyText"/>
      </w:pPr>
      <w:r w:rsidRPr="003D25AA">
        <w:t>Subsectie 6 van sectie 5 van hoofdstuk II van titel I van boek II van het regelgevende deel (decreten van de Raad van State) van het wetboek post en elektronische communicatie wordt aangevuld met een artikel R. 20-24-3 dat als volgt luidt:</w:t>
      </w:r>
    </w:p>
    <w:p w:rsidR="00073A3D" w:rsidRPr="003D25AA" w:rsidRDefault="00073A3D">
      <w:pPr>
        <w:pStyle w:val="BodyText"/>
      </w:pPr>
    </w:p>
    <w:p w:rsidR="00073A3D" w:rsidRPr="003D25AA" w:rsidRDefault="00D50503">
      <w:pPr>
        <w:pStyle w:val="BodyText"/>
      </w:pPr>
      <w:r w:rsidRPr="003D25AA">
        <w:t>„</w:t>
      </w:r>
      <w:r w:rsidRPr="003D25AA">
        <w:rPr>
          <w:i/>
        </w:rPr>
        <w:t>Art. R. 20-24-3.-</w:t>
      </w:r>
      <w:r w:rsidRPr="003D25AA">
        <w:t xml:space="preserve"> I- In de volgende gevallen zijn onbemande luchtvaartuigen vrijgesteld van de verplichting om uitgerust te zijn met een elektronische of digitale signaleringsinrichting:</w:t>
      </w:r>
    </w:p>
    <w:p w:rsidR="00073A3D" w:rsidRPr="003D25AA" w:rsidRDefault="00D50503">
      <w:pPr>
        <w:pStyle w:val="BodyText"/>
      </w:pPr>
      <w:r w:rsidRPr="003D25AA">
        <w:t xml:space="preserve">„1° Ze worden gebruikt voor vrijetijdsdoeleinden, met inbegrip van wedstrijden, en worden op afstand in het gezichtsveld bestuurd door een afstandspiloot die lid is van een vereniging die is aangesloten bij de nationaal erkende federatie voor modelvliegen, vermeld in artikel D. 510-3 van het wetboek burgerluchtvaart, of door een multisportfederatie erkend door de minister van Sport die modelvliegen aanbiedt, op een activiteitenlocatie die via de luchtvaartinlichtingen is bekendgemaakt met de duidelijke identificatie dat zij recht geeft op deze vrijstelling; </w:t>
      </w:r>
    </w:p>
    <w:p w:rsidR="00073A3D" w:rsidRPr="003D25AA" w:rsidRDefault="00D50503">
      <w:pPr>
        <w:pStyle w:val="BodyText"/>
        <w:spacing w:after="0"/>
      </w:pPr>
      <w:r w:rsidRPr="003D25AA">
        <w:t>„2° Ze worden gebruikt in afgesloten en overdekte ruimten;</w:t>
      </w:r>
    </w:p>
    <w:p w:rsidR="002E197B" w:rsidRPr="003D25AA" w:rsidRDefault="002E197B">
      <w:pPr>
        <w:pStyle w:val="BodyText"/>
        <w:spacing w:after="0"/>
      </w:pPr>
    </w:p>
    <w:p w:rsidR="00073A3D" w:rsidRPr="003D25AA" w:rsidRDefault="00BF6B0E">
      <w:pPr>
        <w:pStyle w:val="BodyText"/>
        <w:spacing w:after="0"/>
      </w:pPr>
      <w:r w:rsidRPr="003D25AA">
        <w:t>„3° Ze behoren tot de categorieën luchtvaartuigen vermeld in artikel L. 6100-1, tweede alinea, van het wetboek vervoer, onverminderd de bepalingen die van toepassing zijn op militaire luchtvaartuigen en luchtvaartuigen die staatseigendom zijn, en die worden gebruikt door de douanediensten en door de diensten voor openbare en civiele veiligheid;</w:t>
      </w:r>
    </w:p>
    <w:p w:rsidR="00073A3D" w:rsidRPr="003D25AA" w:rsidRDefault="00073A3D">
      <w:pPr>
        <w:pStyle w:val="BodyText"/>
        <w:spacing w:after="0"/>
      </w:pPr>
    </w:p>
    <w:p w:rsidR="00073A3D" w:rsidRPr="003D25AA" w:rsidRDefault="00D50503">
      <w:pPr>
        <w:pStyle w:val="ListParagraph"/>
        <w:ind w:left="0"/>
        <w:jc w:val="both"/>
        <w:rPr>
          <w:color w:val="auto"/>
        </w:rPr>
      </w:pPr>
      <w:r w:rsidRPr="003D25AA">
        <w:rPr>
          <w:color w:val="auto"/>
        </w:rPr>
        <w:t>„4° Ze behoren niet tot de categorieën luchtvaartuigen vermeld in artikel L. 6100-1, tweede alinea, van het wetboek vervoer, maar worden gebruikt in het kader van missies van de douane, politie, civiele veiligheid of de toepassing van een techniek vermeld in boek VIII, titel V, van het wetboek binnenlandse veiligheid”.</w:t>
      </w:r>
    </w:p>
    <w:p w:rsidR="00073A3D" w:rsidRPr="003D25AA" w:rsidRDefault="00073A3D">
      <w:pPr>
        <w:pStyle w:val="ListParagraph"/>
        <w:ind w:left="0"/>
        <w:jc w:val="both"/>
        <w:rPr>
          <w:color w:val="auto"/>
        </w:rPr>
      </w:pPr>
    </w:p>
    <w:p w:rsidR="00073A3D" w:rsidRPr="003D25AA" w:rsidRDefault="00073A3D">
      <w:pPr>
        <w:pStyle w:val="BodyText"/>
        <w:spacing w:after="0"/>
        <w:jc w:val="left"/>
      </w:pPr>
    </w:p>
    <w:p w:rsidR="00073A3D" w:rsidRPr="003D25AA" w:rsidRDefault="00D50503" w:rsidP="002E197B">
      <w:pPr>
        <w:pStyle w:val="BodyText"/>
        <w:tabs>
          <w:tab w:val="left" w:pos="0"/>
        </w:tabs>
      </w:pPr>
      <w:r w:rsidRPr="003D25AA">
        <w:t>„II- In de volgende gevallen zijn onbemande luchtvaartuigen vrijgesteld van de verplichting om uitgerust te zijn met een werkende lichtsignaleringsinrichting:</w:t>
      </w:r>
    </w:p>
    <w:p w:rsidR="00073A3D" w:rsidRPr="003D25AA" w:rsidRDefault="00D50503">
      <w:pPr>
        <w:pStyle w:val="BodyText"/>
      </w:pPr>
      <w:r w:rsidRPr="003D25AA">
        <w:t xml:space="preserve">„1° Ze worden gebruikt voor vrijetijdsdoeleinden, met inbegrip van wedstrijden, en worden op afstand in het gezichtsveld bestuurd door een afstandspiloot die lid is van een vereniging die is aangesloten bij de nationaal erkende federatie voor modelvliegen, vermeld in artikel D. 510-3 van het wetboek burgerluchtvaart, of door een multisportfederatie erkend door de minister van Sport die modelvliegen aanbiedt, op een activiteitenlocatie die via de luchtvaartinlichtingen is bekendgemaakt met de duidelijke identificatie dat zij recht geeft op deze vrijstelling; </w:t>
      </w:r>
    </w:p>
    <w:p w:rsidR="00073A3D" w:rsidRPr="003D25AA" w:rsidRDefault="00D50503">
      <w:pPr>
        <w:pStyle w:val="BodyText"/>
        <w:tabs>
          <w:tab w:val="left" w:pos="0"/>
        </w:tabs>
        <w:jc w:val="left"/>
      </w:pPr>
      <w:r w:rsidRPr="003D25AA">
        <w:t>„2° Ze worden gebruikt in afgesloten en overdekte ruimten;</w:t>
      </w:r>
    </w:p>
    <w:p w:rsidR="00073A3D" w:rsidRPr="003D25AA" w:rsidRDefault="00D50503" w:rsidP="002E197B">
      <w:pPr>
        <w:pStyle w:val="BodyText"/>
        <w:tabs>
          <w:tab w:val="left" w:pos="0"/>
        </w:tabs>
      </w:pPr>
      <w:r w:rsidRPr="003D25AA">
        <w:t xml:space="preserve">„3° Ze voeren experimentele vluchten uit voor proef- of controledoeleinden onder de voorwaarden bepaald door de minister verantwoordelijk voor de burgerluchtvaart; </w:t>
      </w:r>
    </w:p>
    <w:p w:rsidR="00073A3D" w:rsidRPr="003D25AA" w:rsidRDefault="00BF6B0E">
      <w:pPr>
        <w:pStyle w:val="BodyText"/>
        <w:spacing w:after="0"/>
      </w:pPr>
      <w:r w:rsidRPr="003D25AA">
        <w:lastRenderedPageBreak/>
        <w:t>„4° Ze behoren tot de categorieën luchtvaartuigen vermeld in artikel L. 6100-1, tweede alinea, van het wetboek vervoer, onverminderd de bepalingen die van toepassing zijn op militaire luchtvaartuigen en luchtvaartuigen die staatseigendom zijn, en die worden gebruikt door de douanediensten en door de diensten voor openbare en civiele veiligheid;</w:t>
      </w:r>
    </w:p>
    <w:p w:rsidR="00073A3D" w:rsidRPr="003D25AA" w:rsidRDefault="00073A3D">
      <w:pPr>
        <w:pStyle w:val="BodyText"/>
        <w:spacing w:after="0"/>
      </w:pPr>
    </w:p>
    <w:p w:rsidR="00073A3D" w:rsidRPr="003D25AA" w:rsidRDefault="00D50503">
      <w:pPr>
        <w:pStyle w:val="ListParagraph"/>
        <w:ind w:left="0"/>
        <w:jc w:val="both"/>
        <w:rPr>
          <w:color w:val="auto"/>
        </w:rPr>
      </w:pPr>
      <w:r w:rsidRPr="003D25AA">
        <w:rPr>
          <w:color w:val="auto"/>
        </w:rPr>
        <w:t>„5° Ze behoren niet tot de categorieën luchtvaartuigen vermeld in artikel L. 6100-1, tweede alinea, van het wetboek vervoer, maar worden gebruikt in het kader van missies van de douane, politie, civiele veiligheid of de toepassing van een techniek vermeld in boek VIII, titel V, van het wetboek binnenlandse veiligheid”.</w:t>
      </w:r>
    </w:p>
    <w:p w:rsidR="00073A3D" w:rsidRPr="003D25AA" w:rsidRDefault="00073A3D">
      <w:pPr>
        <w:pStyle w:val="BodyText"/>
        <w:tabs>
          <w:tab w:val="left" w:pos="0"/>
        </w:tabs>
        <w:jc w:val="left"/>
      </w:pPr>
    </w:p>
    <w:p w:rsidR="00073A3D" w:rsidRPr="003D25AA" w:rsidRDefault="00D50503">
      <w:pPr>
        <w:pStyle w:val="BodyText"/>
        <w:tabs>
          <w:tab w:val="left" w:pos="0"/>
        </w:tabs>
        <w:jc w:val="center"/>
        <w:rPr>
          <w:b/>
        </w:rPr>
      </w:pPr>
      <w:r w:rsidRPr="003D25AA">
        <w:rPr>
          <w:b/>
        </w:rPr>
        <w:t>Hoofdstuk III: Sancties</w:t>
      </w:r>
    </w:p>
    <w:p w:rsidR="00073A3D" w:rsidRPr="003D25AA" w:rsidRDefault="00073A3D">
      <w:pPr>
        <w:pStyle w:val="BodyText"/>
        <w:tabs>
          <w:tab w:val="left" w:pos="0"/>
        </w:tabs>
        <w:jc w:val="center"/>
        <w:rPr>
          <w:b/>
        </w:rPr>
      </w:pPr>
    </w:p>
    <w:p w:rsidR="00073A3D" w:rsidRPr="003D25AA" w:rsidRDefault="00D50503">
      <w:pPr>
        <w:jc w:val="center"/>
        <w:rPr>
          <w:rFonts w:eastAsia="Calibri"/>
          <w:b/>
        </w:rPr>
      </w:pPr>
      <w:r w:rsidRPr="003D25AA">
        <w:rPr>
          <w:b/>
        </w:rPr>
        <w:t>Artikel 4</w:t>
      </w:r>
    </w:p>
    <w:p w:rsidR="00073A3D" w:rsidRPr="003D25AA" w:rsidRDefault="00073A3D">
      <w:pPr>
        <w:jc w:val="center"/>
        <w:rPr>
          <w:rFonts w:eastAsia="Calibri"/>
          <w:b/>
        </w:rPr>
      </w:pPr>
    </w:p>
    <w:p w:rsidR="00073A3D" w:rsidRPr="003D25AA" w:rsidRDefault="00D50503">
      <w:pPr>
        <w:jc w:val="both"/>
        <w:rPr>
          <w:rFonts w:eastAsia="Calibri"/>
        </w:rPr>
      </w:pPr>
      <w:r w:rsidRPr="003D25AA">
        <w:t>Aan subsectie 7 van sectie 5 van hoofdstuk II van titel I van boek II van het regelgevende deel (decreten van de Raad van State) van het wetboek post en elektronische communicatie worden artikelen R. 20-25-1 en R. 20-25-2 toegevoegd die als volgt luiden:</w:t>
      </w:r>
    </w:p>
    <w:p w:rsidR="00073A3D" w:rsidRPr="003D25AA" w:rsidRDefault="00073A3D">
      <w:pPr>
        <w:rPr>
          <w:rFonts w:eastAsia="Calibri"/>
        </w:rPr>
      </w:pPr>
    </w:p>
    <w:p w:rsidR="00073A3D" w:rsidRPr="003D25AA" w:rsidRDefault="00D50503">
      <w:r w:rsidRPr="003D25AA">
        <w:t>„</w:t>
      </w:r>
      <w:r w:rsidRPr="003D25AA">
        <w:rPr>
          <w:i/>
        </w:rPr>
        <w:t>Art. R. 20-25-1.-</w:t>
      </w:r>
      <w:r w:rsidRPr="003D25AA">
        <w:t xml:space="preserve"> De voor overtredingen van vierde klasse geldende boete wordt in de volgende gevallen opgelegd:</w:t>
      </w:r>
    </w:p>
    <w:p w:rsidR="00073A3D" w:rsidRPr="003D25AA" w:rsidRDefault="00073A3D">
      <w:pPr>
        <w:rPr>
          <w:i/>
        </w:rPr>
      </w:pPr>
    </w:p>
    <w:p w:rsidR="00073A3D" w:rsidRPr="003D25AA" w:rsidRDefault="00D50503">
      <w:pPr>
        <w:jc w:val="both"/>
      </w:pPr>
      <w:r w:rsidRPr="003D25AA">
        <w:t>„1° wanneer een eigenaar van een onbemand luchtvaartuig zijn luchtvaartuig laat vliegen zonder elektronische of digitale signaleringsinrichting zoals vermeld in artikel L. 34-9-2, eerste alinea, en in artikel R. 20-24-2, deel I, of bij afwezigheid van een werkende elektronische of digitale signaleringsinrichting;</w:t>
      </w:r>
    </w:p>
    <w:p w:rsidR="00073A3D" w:rsidRPr="003D25AA" w:rsidRDefault="00073A3D"/>
    <w:p w:rsidR="00073A3D" w:rsidRPr="003D25AA" w:rsidRDefault="00D50503">
      <w:pPr>
        <w:jc w:val="both"/>
        <w:rPr>
          <w:rFonts w:eastAsia="Calibri"/>
        </w:rPr>
      </w:pPr>
      <w:r w:rsidRPr="003D25AA">
        <w:t>2° wanneer een eigenaar van een onbemand luchtvaartuig zijn luchtvaartuig laat vliegen zonder lichtsignaleringsinrichting zoals vermeld in artikel L. 34-9-2, eerste alinea, en in artikel R. 20-24-2, deel II, of bij afwezigheid van een werkende lichtsignaleringsinrichting. ”</w:t>
      </w:r>
    </w:p>
    <w:p w:rsidR="00FA699A" w:rsidRPr="003D25AA" w:rsidRDefault="00FA699A">
      <w:pPr>
        <w:jc w:val="both"/>
        <w:rPr>
          <w:rFonts w:eastAsia="Calibri"/>
        </w:rPr>
      </w:pPr>
    </w:p>
    <w:p w:rsidR="00FA699A" w:rsidRPr="003D25AA" w:rsidRDefault="00FA699A" w:rsidP="00FA699A">
      <w:r w:rsidRPr="003D25AA">
        <w:t>„</w:t>
      </w:r>
      <w:r w:rsidRPr="003D25AA">
        <w:rPr>
          <w:i/>
        </w:rPr>
        <w:t>Art. R. 20-25-2.-</w:t>
      </w:r>
      <w:r w:rsidRPr="003D25AA">
        <w:t xml:space="preserve"> De voor overtredingen van vijfde klasse geldende boete wordt opgelegd bij:</w:t>
      </w:r>
    </w:p>
    <w:p w:rsidR="00FA699A" w:rsidRPr="003D25AA" w:rsidRDefault="00FA699A" w:rsidP="00FA699A">
      <w:pPr>
        <w:rPr>
          <w:i/>
        </w:rPr>
      </w:pPr>
    </w:p>
    <w:p w:rsidR="00FA699A" w:rsidRPr="003D25AA" w:rsidRDefault="00FA699A" w:rsidP="00FA699A">
      <w:pPr>
        <w:pStyle w:val="BodyText"/>
        <w:rPr>
          <w:rFonts w:ascii="Times New              Roman;se" w:eastAsia="Calibri" w:hAnsi="Times New              Roman;se"/>
        </w:rPr>
      </w:pPr>
      <w:r w:rsidRPr="003D25AA">
        <w:rPr>
          <w:rFonts w:ascii="Times New              Roman;se" w:hAnsi="Times New              Roman;se"/>
        </w:rPr>
        <w:t>„Het vrijwillig doorsturen van een elektronische of digitale signalering, vermeld in artikel L. 34-9-2, eerste alinea, die niet overeenstemt met een effectieve vlucht die bezig is op het ogenblik dat deze signalering wordt doorgestuurd en die afkomstig is van een onbemand luchtvaartuig dat is geregistreerd in de database vermeld in artikel XXX van het wetboek vervoer. ”</w:t>
      </w:r>
    </w:p>
    <w:p w:rsidR="00073A3D" w:rsidRPr="003D25AA" w:rsidRDefault="00073A3D">
      <w:pPr>
        <w:jc w:val="center"/>
        <w:rPr>
          <w:rFonts w:eastAsia="Calibri"/>
          <w:b/>
        </w:rPr>
      </w:pPr>
    </w:p>
    <w:p w:rsidR="00073A3D" w:rsidRPr="003D25AA" w:rsidRDefault="00073A3D"/>
    <w:p w:rsidR="00073A3D" w:rsidRPr="003D25AA" w:rsidRDefault="00D50503">
      <w:pPr>
        <w:jc w:val="center"/>
        <w:rPr>
          <w:b/>
          <w:bCs/>
        </w:rPr>
      </w:pPr>
      <w:r w:rsidRPr="003D25AA">
        <w:rPr>
          <w:b/>
        </w:rPr>
        <w:t>Artikel 5</w:t>
      </w:r>
    </w:p>
    <w:p w:rsidR="00073A3D" w:rsidRPr="003D25AA" w:rsidRDefault="00073A3D"/>
    <w:p w:rsidR="00BE1E1D" w:rsidRPr="003D25AA" w:rsidRDefault="00D50503">
      <w:pPr>
        <w:pStyle w:val="BodyText"/>
        <w:rPr>
          <w:rFonts w:ascii="Times New              Roman;se" w:eastAsia="Calibri" w:hAnsi="Times New              Roman;se"/>
        </w:rPr>
      </w:pPr>
      <w:r w:rsidRPr="003D25AA">
        <w:rPr>
          <w:rFonts w:ascii="Times New              Roman;se" w:hAnsi="Times New              Roman;se"/>
        </w:rPr>
        <w:t>In punt 12 van artikel R. 48-1 van het wetboek strafvordering worden na de woorden „van het wetboek burgerluchtvaart” de volgende woorden ingevoegd: „en de artikelen R. 20-25-1 en R. 20-25-2 van het wetboek post en elektronische communicatie. ”</w:t>
      </w:r>
    </w:p>
    <w:p w:rsidR="00073A3D" w:rsidRPr="003D25AA" w:rsidRDefault="00073A3D"/>
    <w:p w:rsidR="00073A3D" w:rsidRPr="003D25AA" w:rsidRDefault="00D50503" w:rsidP="000F2A92">
      <w:pPr>
        <w:keepNext/>
        <w:keepLines/>
        <w:jc w:val="center"/>
        <w:rPr>
          <w:b/>
        </w:rPr>
      </w:pPr>
      <w:r w:rsidRPr="003D25AA">
        <w:rPr>
          <w:b/>
        </w:rPr>
        <w:lastRenderedPageBreak/>
        <w:t>Hoofdstuk IV: Slotbepalingen</w:t>
      </w:r>
    </w:p>
    <w:p w:rsidR="00073A3D" w:rsidRPr="003D25AA" w:rsidRDefault="00073A3D" w:rsidP="000F2A92">
      <w:pPr>
        <w:keepNext/>
        <w:keepLines/>
        <w:rPr>
          <w:b/>
        </w:rPr>
      </w:pPr>
    </w:p>
    <w:p w:rsidR="00073A3D" w:rsidRPr="003D25AA" w:rsidRDefault="00D50503" w:rsidP="000F2A92">
      <w:pPr>
        <w:keepNext/>
        <w:keepLines/>
        <w:jc w:val="center"/>
        <w:rPr>
          <w:b/>
        </w:rPr>
      </w:pPr>
      <w:r w:rsidRPr="003D25AA">
        <w:rPr>
          <w:b/>
        </w:rPr>
        <w:t>Artikel 6</w:t>
      </w:r>
    </w:p>
    <w:p w:rsidR="00697687" w:rsidRPr="003D25AA" w:rsidRDefault="00697687" w:rsidP="000F2A92">
      <w:pPr>
        <w:pStyle w:val="BodyText"/>
        <w:keepNext/>
        <w:keepLines/>
      </w:pPr>
    </w:p>
    <w:p w:rsidR="00073A3D" w:rsidRPr="003D25AA" w:rsidRDefault="00D50503">
      <w:pPr>
        <w:pStyle w:val="BodyText"/>
        <w:rPr>
          <w:b/>
        </w:rPr>
      </w:pPr>
      <w:r w:rsidRPr="003D25AA">
        <w:t>De bepalingen van onderhavig decreet zijn van toepassing in Frans-Polynesië, op de eilanden Wallis en Futuna en in de Franse Zuidelijke en Antarctische Gebieden.</w:t>
      </w:r>
    </w:p>
    <w:p w:rsidR="00073A3D" w:rsidRPr="003D25AA" w:rsidRDefault="00073A3D">
      <w:pPr>
        <w:jc w:val="center"/>
        <w:rPr>
          <w:b/>
        </w:rPr>
      </w:pPr>
    </w:p>
    <w:p w:rsidR="00073A3D" w:rsidRPr="003D25AA" w:rsidRDefault="00D50503">
      <w:pPr>
        <w:pStyle w:val="BodyText"/>
        <w:jc w:val="center"/>
        <w:rPr>
          <w:b/>
        </w:rPr>
      </w:pPr>
      <w:r w:rsidRPr="003D25AA">
        <w:rPr>
          <w:b/>
        </w:rPr>
        <w:t>Artikel 7</w:t>
      </w:r>
    </w:p>
    <w:p w:rsidR="00073A3D" w:rsidRPr="003D25AA" w:rsidRDefault="00D50503">
      <w:pPr>
        <w:pStyle w:val="SNAutorit"/>
        <w:spacing w:before="120" w:after="0"/>
        <w:ind w:firstLine="0"/>
        <w:jc w:val="both"/>
      </w:pPr>
      <w:r w:rsidRPr="003D25AA">
        <w:rPr>
          <w:rFonts w:ascii="Times New              Roman;se" w:hAnsi="Times New              Roman;se"/>
          <w:b w:val="0"/>
        </w:rPr>
        <w:t>Onderhavig decreet treedt in werking op de dag na de bekendmaking ervan, met uitzondering van de bepalingen van artikel R. 20-25-1 en artikel R. 20-25-2 van het wetboek post en elektronische communicatie die op 1 januari 2019 in werking treden</w:t>
      </w:r>
      <w:r w:rsidRPr="003D25AA">
        <w:rPr>
          <w:b w:val="0"/>
        </w:rPr>
        <w:t>.</w:t>
      </w:r>
    </w:p>
    <w:p w:rsidR="00073A3D" w:rsidRPr="003D25AA" w:rsidRDefault="00D50503">
      <w:pPr>
        <w:pStyle w:val="SNArticle"/>
      </w:pPr>
      <w:r w:rsidRPr="003D25AA">
        <w:t>Artikel 8</w:t>
      </w:r>
    </w:p>
    <w:p w:rsidR="00073A3D" w:rsidRPr="003D25AA" w:rsidRDefault="00D50503">
      <w:pPr>
        <w:pStyle w:val="BodyText"/>
      </w:pPr>
      <w:r w:rsidRPr="003D25AA">
        <w:t>De minister van Staat en van Binnenlandse Zaken, de minister van Staat en van Ecologische en Solidaire Transitie, de minister van Justitie, grootzegelbewaarder, de minister van Economie en Financiën, de minister van Overzeese Gebieden en de minister bij de minister van Staat en van Ecologische en Solidaire Transitie, belast met vervoer, zijn, elk voor wat hen aanbelangt, belast met de uitvoering van onderhavig decreet dat in het staatsblad van de Franse Republiek zal worden bekendgemaakt.</w:t>
      </w:r>
    </w:p>
    <w:p w:rsidR="00073A3D" w:rsidRPr="003D25AA" w:rsidRDefault="00D50503">
      <w:pPr>
        <w:pStyle w:val="SNDate"/>
      </w:pPr>
      <w:r w:rsidRPr="003D25AA">
        <w:t>Gedaan op .</w:t>
      </w:r>
    </w:p>
    <w:p w:rsidR="00073A3D" w:rsidRPr="003D25AA" w:rsidRDefault="00D50503">
      <w:pPr>
        <w:pStyle w:val="SNDate"/>
      </w:pPr>
      <w:r w:rsidRPr="003D25AA">
        <w:t>Door de Eerste Minister:</w:t>
      </w:r>
    </w:p>
    <w:p w:rsidR="00073A3D" w:rsidRPr="003D25AA" w:rsidRDefault="00D50503">
      <w:pPr>
        <w:pStyle w:val="SNSignatureGauche"/>
      </w:pPr>
      <w:r w:rsidRPr="003D25AA">
        <w:t>De minister van Staat en van Binnenlandse Zaken,</w:t>
      </w:r>
    </w:p>
    <w:p w:rsidR="00073A3D" w:rsidRPr="003D25AA" w:rsidRDefault="00D50503">
      <w:pPr>
        <w:pStyle w:val="SNSignatureprnomnomGauche"/>
        <w:rPr>
          <w:color w:val="auto"/>
        </w:rPr>
      </w:pPr>
      <w:r w:rsidRPr="003D25AA">
        <w:rPr>
          <w:color w:val="auto"/>
        </w:rPr>
        <w:lastRenderedPageBreak/>
        <w:t>Gérard COLLOMB</w:t>
      </w:r>
    </w:p>
    <w:p w:rsidR="00073A3D" w:rsidRPr="003D25AA" w:rsidRDefault="00D50503">
      <w:pPr>
        <w:pStyle w:val="SNSignatureDroite"/>
        <w:rPr>
          <w:color w:val="auto"/>
        </w:rPr>
      </w:pPr>
      <w:r w:rsidRPr="003D25AA">
        <w:rPr>
          <w:color w:val="auto"/>
        </w:rPr>
        <w:t>De minister van Staat en van Ecologische en Solidaire Transitie,</w:t>
      </w:r>
    </w:p>
    <w:p w:rsidR="00073A3D" w:rsidRPr="003D25AA" w:rsidRDefault="00D50503">
      <w:pPr>
        <w:pStyle w:val="SNSignatureDroite"/>
        <w:rPr>
          <w:color w:val="auto"/>
        </w:rPr>
      </w:pPr>
      <w:r w:rsidRPr="003D25AA">
        <w:rPr>
          <w:color w:val="auto"/>
        </w:rPr>
        <w:t>Nicolas HULOT</w:t>
      </w:r>
    </w:p>
    <w:p w:rsidR="00000ECF" w:rsidRPr="003D25AA" w:rsidRDefault="00000ECF" w:rsidP="00697687">
      <w:pPr>
        <w:pStyle w:val="SNSignatureprnomnomDroite"/>
        <w:ind w:left="0"/>
        <w:jc w:val="left"/>
        <w:rPr>
          <w:color w:val="auto"/>
        </w:rPr>
      </w:pPr>
      <w:r w:rsidRPr="003D25AA">
        <w:rPr>
          <w:color w:val="auto"/>
        </w:rPr>
        <w:t>De minister van Justitie, grootzegelbewaarder,</w:t>
      </w:r>
    </w:p>
    <w:p w:rsidR="00697687" w:rsidRPr="003D25AA" w:rsidRDefault="00697687" w:rsidP="00697687">
      <w:pPr>
        <w:pStyle w:val="SNSignatureprnomnomGauche"/>
        <w:tabs>
          <w:tab w:val="left" w:pos="9354"/>
        </w:tabs>
        <w:ind w:left="0"/>
        <w:rPr>
          <w:color w:val="auto"/>
        </w:rPr>
      </w:pPr>
    </w:p>
    <w:p w:rsidR="00697687" w:rsidRPr="003D25AA" w:rsidRDefault="00697687" w:rsidP="00697687">
      <w:pPr>
        <w:pStyle w:val="SNSignatureprnomnomGauche"/>
        <w:tabs>
          <w:tab w:val="left" w:pos="9354"/>
        </w:tabs>
        <w:ind w:left="0"/>
        <w:rPr>
          <w:color w:val="auto"/>
        </w:rPr>
      </w:pPr>
    </w:p>
    <w:p w:rsidR="00697687" w:rsidRPr="003D25AA" w:rsidRDefault="00697687" w:rsidP="00697687">
      <w:pPr>
        <w:pStyle w:val="SNSignatureprnomnomGauche"/>
        <w:tabs>
          <w:tab w:val="left" w:pos="9354"/>
        </w:tabs>
        <w:ind w:left="0"/>
        <w:rPr>
          <w:color w:val="auto"/>
        </w:rPr>
      </w:pPr>
    </w:p>
    <w:p w:rsidR="00D47282" w:rsidRPr="003D25AA" w:rsidRDefault="00000ECF" w:rsidP="00697687">
      <w:pPr>
        <w:pStyle w:val="SNSignatureprnomnomGauche"/>
        <w:tabs>
          <w:tab w:val="left" w:pos="9354"/>
        </w:tabs>
        <w:ind w:left="0"/>
        <w:rPr>
          <w:color w:val="auto"/>
        </w:rPr>
      </w:pPr>
      <w:r w:rsidRPr="003D25AA">
        <w:rPr>
          <w:color w:val="auto"/>
        </w:rPr>
        <w:t>Nicole BELLOUBET</w:t>
      </w:r>
    </w:p>
    <w:p w:rsidR="00697687" w:rsidRPr="003D25AA" w:rsidRDefault="00697687">
      <w:pPr>
        <w:pStyle w:val="SNSignatureGauche"/>
      </w:pPr>
    </w:p>
    <w:p w:rsidR="00073A3D" w:rsidRPr="003D25AA" w:rsidRDefault="00D50503">
      <w:pPr>
        <w:pStyle w:val="SNSignatureGauche"/>
      </w:pPr>
      <w:r w:rsidRPr="003D25AA">
        <w:t>De minister van Economie en Financiën,</w:t>
      </w:r>
    </w:p>
    <w:p w:rsidR="00073A3D" w:rsidRPr="003D25AA" w:rsidRDefault="00D50503">
      <w:pPr>
        <w:pStyle w:val="SNSignatureGauche"/>
      </w:pPr>
      <w:r w:rsidRPr="003D25AA">
        <w:t>Bruno LEMAIRE</w:t>
      </w:r>
    </w:p>
    <w:p w:rsidR="00073A3D" w:rsidRPr="003D25AA" w:rsidRDefault="00F54C64" w:rsidP="002E197B">
      <w:pPr>
        <w:pStyle w:val="SNSignatureprnomnomGauche"/>
        <w:tabs>
          <w:tab w:val="left" w:pos="5812"/>
          <w:tab w:val="left" w:pos="6237"/>
          <w:tab w:val="left" w:pos="6379"/>
          <w:tab w:val="left" w:pos="7230"/>
          <w:tab w:val="left" w:pos="7797"/>
          <w:tab w:val="left" w:pos="8364"/>
        </w:tabs>
        <w:ind w:left="0" w:right="0"/>
        <w:jc w:val="right"/>
        <w:rPr>
          <w:color w:val="auto"/>
        </w:rPr>
      </w:pPr>
      <w:r w:rsidRPr="003D25AA">
        <w:rPr>
          <w:color w:val="auto"/>
        </w:rPr>
        <w:t>De minister van Overzeese Gebieden,</w:t>
      </w:r>
    </w:p>
    <w:p w:rsidR="00073A3D" w:rsidRPr="003D25AA" w:rsidRDefault="00073A3D">
      <w:pPr>
        <w:pStyle w:val="SNSignatureGauche"/>
        <w:tabs>
          <w:tab w:val="left" w:pos="8222"/>
        </w:tabs>
      </w:pPr>
    </w:p>
    <w:p w:rsidR="00073A3D" w:rsidRPr="003D25AA" w:rsidRDefault="00D50503" w:rsidP="002E197B">
      <w:pPr>
        <w:pStyle w:val="SNSignatureGauche"/>
        <w:tabs>
          <w:tab w:val="left" w:pos="8222"/>
        </w:tabs>
        <w:ind w:left="0" w:right="0"/>
        <w:jc w:val="right"/>
      </w:pPr>
      <w:r w:rsidRPr="003D25AA">
        <w:lastRenderedPageBreak/>
        <w:t>Annick GIRARDIN</w:t>
      </w:r>
    </w:p>
    <w:p w:rsidR="00073A3D" w:rsidRPr="003D25AA" w:rsidRDefault="00D50503">
      <w:pPr>
        <w:pStyle w:val="SNSignatureGauche"/>
      </w:pPr>
      <w:r w:rsidRPr="003D25AA">
        <w:t>De minister bij de minister van Staat, minister van Ecologische en Solidaire Transitie, belast met vervoer,</w:t>
      </w:r>
    </w:p>
    <w:p w:rsidR="00073A3D" w:rsidRPr="003D25AA" w:rsidRDefault="00D50503">
      <w:pPr>
        <w:pStyle w:val="SNSignatureGauche"/>
      </w:pPr>
      <w:r w:rsidRPr="003D25AA">
        <w:t>Elisabeth BORNE</w:t>
      </w:r>
    </w:p>
    <w:sectPr w:rsidR="00073A3D" w:rsidRPr="003D25AA" w:rsidSect="0014705D">
      <w:pgSz w:w="11906" w:h="16838"/>
      <w:pgMar w:top="1134" w:right="1418" w:bottom="1418"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688" w:rsidRDefault="005A0688" w:rsidP="00660ECB">
      <w:r>
        <w:separator/>
      </w:r>
    </w:p>
  </w:endnote>
  <w:endnote w:type="continuationSeparator" w:id="0">
    <w:p w:rsidR="005A0688" w:rsidRDefault="005A0688" w:rsidP="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Liberation Sans">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s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688" w:rsidRDefault="005A0688" w:rsidP="00660ECB">
      <w:r>
        <w:separator/>
      </w:r>
    </w:p>
  </w:footnote>
  <w:footnote w:type="continuationSeparator" w:id="0">
    <w:p w:rsidR="005A0688" w:rsidRDefault="005A0688" w:rsidP="00660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B47FD"/>
    <w:multiLevelType w:val="multilevel"/>
    <w:tmpl w:val="CF72BE8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3D"/>
    <w:rsid w:val="00000ECF"/>
    <w:rsid w:val="000448F5"/>
    <w:rsid w:val="00073A3D"/>
    <w:rsid w:val="000F2A92"/>
    <w:rsid w:val="0014705D"/>
    <w:rsid w:val="002C433F"/>
    <w:rsid w:val="002E197B"/>
    <w:rsid w:val="00311055"/>
    <w:rsid w:val="003723F5"/>
    <w:rsid w:val="00397D5C"/>
    <w:rsid w:val="003B26B1"/>
    <w:rsid w:val="003D25AA"/>
    <w:rsid w:val="003D3349"/>
    <w:rsid w:val="003D5A5C"/>
    <w:rsid w:val="003F769D"/>
    <w:rsid w:val="004D1C2C"/>
    <w:rsid w:val="00525052"/>
    <w:rsid w:val="005527AE"/>
    <w:rsid w:val="0055663A"/>
    <w:rsid w:val="005A0688"/>
    <w:rsid w:val="005F3DB6"/>
    <w:rsid w:val="00660ECB"/>
    <w:rsid w:val="006732B4"/>
    <w:rsid w:val="00697687"/>
    <w:rsid w:val="0082741D"/>
    <w:rsid w:val="008E4588"/>
    <w:rsid w:val="009A32C8"/>
    <w:rsid w:val="009A4C69"/>
    <w:rsid w:val="00AD7A1C"/>
    <w:rsid w:val="00B73D02"/>
    <w:rsid w:val="00BD1AB1"/>
    <w:rsid w:val="00BE1E1D"/>
    <w:rsid w:val="00BF6B0E"/>
    <w:rsid w:val="00D47282"/>
    <w:rsid w:val="00D50503"/>
    <w:rsid w:val="00F54C64"/>
    <w:rsid w:val="00FA699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5B853D-18B4-4C1E-9F3C-52D03DC4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nl-NL" w:eastAsia="nl-NL" w:bidi="nl-N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rPr>
  </w:style>
  <w:style w:type="paragraph" w:styleId="Heading1">
    <w:name w:val="heading 1"/>
    <w:basedOn w:val="Normal"/>
    <w:next w:val="Normal"/>
    <w:qFormat/>
    <w:pPr>
      <w:keepNext/>
      <w:numPr>
        <w:numId w:val="1"/>
      </w:numPr>
      <w:spacing w:before="240"/>
      <w:jc w:val="center"/>
      <w:outlineLvl w:val="0"/>
    </w:pPr>
    <w:rPr>
      <w:rFonts w:cs="Arial"/>
      <w:bCs/>
      <w:caps/>
    </w:rPr>
  </w:style>
  <w:style w:type="paragraph" w:styleId="Heading2">
    <w:name w:val="heading 2"/>
    <w:basedOn w:val="Normal"/>
    <w:next w:val="Normal"/>
    <w:qFormat/>
    <w:pPr>
      <w:keepNext/>
      <w:numPr>
        <w:ilvl w:val="1"/>
        <w:numId w:val="1"/>
      </w:numPr>
      <w:spacing w:before="240"/>
      <w:jc w:val="center"/>
      <w:outlineLvl w:val="1"/>
    </w:pPr>
    <w:rPr>
      <w:bCs/>
      <w:iCs/>
      <w:smallCaps/>
    </w:rPr>
  </w:style>
  <w:style w:type="paragraph" w:styleId="Heading3">
    <w:name w:val="heading 3"/>
    <w:basedOn w:val="Normal"/>
    <w:next w:val="Normal"/>
    <w:qFormat/>
    <w:pPr>
      <w:keepNext/>
      <w:numPr>
        <w:ilvl w:val="2"/>
        <w:numId w:val="1"/>
      </w:numPr>
      <w:spacing w:before="12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nl-NL" w:bidi="nl-NL"/>
    </w:rPr>
  </w:style>
  <w:style w:type="character" w:customStyle="1" w:styleId="SNDateCar">
    <w:name w:val="SNDate Car"/>
    <w:qFormat/>
    <w:rPr>
      <w:sz w:val="24"/>
      <w:szCs w:val="24"/>
      <w:lang w:val="nl-NL" w:bidi="nl-NL"/>
    </w:rPr>
  </w:style>
  <w:style w:type="character" w:customStyle="1" w:styleId="SNArticleCar">
    <w:name w:val="SNArticle Car"/>
    <w:qFormat/>
    <w:rPr>
      <w:b/>
      <w:sz w:val="24"/>
      <w:szCs w:val="24"/>
      <w:lang w:val="nl-NL" w:bidi="nl-NL"/>
    </w:rPr>
  </w:style>
  <w:style w:type="character" w:customStyle="1" w:styleId="SNenProjet">
    <w:name w:val="SNenProjet"/>
    <w:basedOn w:val="Policepardfaut1"/>
    <w:qFormat/>
  </w:style>
  <w:style w:type="character" w:customStyle="1" w:styleId="Marquedecommentaire1">
    <w:name w:val="Marque de commentaire1"/>
    <w:qFormat/>
    <w:rPr>
      <w:sz w:val="16"/>
      <w:szCs w:val="16"/>
    </w:rPr>
  </w:style>
  <w:style w:type="character" w:customStyle="1" w:styleId="CommentaireCar">
    <w:name w:val="Commentaire Car"/>
    <w:basedOn w:val="Policepardfaut1"/>
    <w:qFormat/>
  </w:style>
  <w:style w:type="character" w:customStyle="1" w:styleId="ObjetducommentaireCar">
    <w:name w:val="Objet du commentaire Car"/>
    <w:qFormat/>
    <w:rPr>
      <w:b/>
      <w:bCs/>
    </w:rPr>
  </w:style>
  <w:style w:type="character" w:customStyle="1" w:styleId="TextebrutCar">
    <w:name w:val="Texte brut Car"/>
    <w:qFormat/>
    <w:rPr>
      <w:rFonts w:ascii="Calibri" w:eastAsia="Calibri" w:hAnsi="Calibri" w:cs="Calibri"/>
      <w:color w:val="000000"/>
      <w:sz w:val="22"/>
      <w:szCs w:val="22"/>
    </w:rPr>
  </w:style>
  <w:style w:type="character" w:styleId="CommentReference">
    <w:name w:val="annotation reference"/>
    <w:qFormat/>
    <w:rPr>
      <w:sz w:val="16"/>
      <w:szCs w:val="16"/>
    </w:rPr>
  </w:style>
  <w:style w:type="character" w:customStyle="1" w:styleId="CommentaireCar1">
    <w:name w:val="Commentaire Car1"/>
    <w:qFormat/>
    <w:rPr>
      <w:lang w:eastAsia="nl-NL"/>
    </w:rPr>
  </w:style>
  <w:style w:type="paragraph" w:styleId="Title">
    <w:name w:val="Title"/>
    <w:basedOn w:val="Normal"/>
    <w:next w:val="BodyText"/>
    <w:qForma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20"/>
      <w:jc w:val="both"/>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Titre1">
    <w:name w:val="Titre1"/>
    <w:basedOn w:val="Normal"/>
    <w:next w:val="BodyText"/>
    <w:qFormat/>
    <w:pPr>
      <w:keepNext/>
      <w:spacing w:before="240" w:after="120"/>
    </w:pPr>
    <w:rPr>
      <w:rFonts w:ascii="Liberation Sans" w:eastAsia="微软雅黑" w:hAnsi="Liberation Sans" w:cs="Lucida Sans"/>
      <w:sz w:val="28"/>
      <w:szCs w:val="28"/>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rFonts w:ascii="Times New Roman" w:eastAsia="Times New Roman" w:hAnsi="Times New Roman" w:cs="Times New Roman"/>
      <w:bCs/>
      <w:sz w:val="24"/>
      <w:szCs w:val="20"/>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qFormat/>
    <w:pPr>
      <w:spacing w:before="120" w:after="1680"/>
      <w:ind w:left="5040"/>
      <w:jc w:val="right"/>
    </w:pPr>
    <w:rPr>
      <w:color w:val="000000"/>
    </w:rPr>
  </w:style>
  <w:style w:type="paragraph" w:customStyle="1" w:styleId="SNSignatureprnomnomDroite">
    <w:name w:val="SNSignature prénom+nom Droite"/>
    <w:basedOn w:val="SNSignatureDroite"/>
    <w:next w:val="SNSignatureGauche"/>
    <w:qFormat/>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BodyText"/>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BalloonText">
    <w:name w:val="Balloon Text"/>
    <w:basedOn w:val="Normal"/>
    <w:qFormat/>
    <w:rPr>
      <w:rFonts w:ascii="Tahoma" w:hAnsi="Tahoma" w:cs="Tahoma"/>
      <w:sz w:val="16"/>
      <w:szCs w:val="16"/>
    </w:rPr>
  </w:style>
  <w:style w:type="paragraph" w:customStyle="1" w:styleId="Titre1objet">
    <w:name w:val="Titre 1 objet"/>
    <w:basedOn w:val="Heading1"/>
    <w:qFormat/>
    <w:pPr>
      <w:numPr>
        <w:numId w:val="0"/>
      </w:numPr>
      <w:spacing w:before="0" w:after="120"/>
    </w:pPr>
    <w:rPr>
      <w:b/>
    </w:rPr>
  </w:style>
  <w:style w:type="paragraph" w:customStyle="1" w:styleId="Titre2objet">
    <w:name w:val="Titre 2 objet"/>
    <w:basedOn w:val="Heading2"/>
    <w:next w:val="Normal"/>
    <w:qFormat/>
    <w:pPr>
      <w:numPr>
        <w:ilvl w:val="0"/>
        <w:numId w:val="0"/>
      </w:numPr>
      <w:spacing w:before="0" w:after="120"/>
    </w:pPr>
    <w:rPr>
      <w:b/>
    </w:rPr>
  </w:style>
  <w:style w:type="paragraph" w:customStyle="1" w:styleId="titre3objet">
    <w:name w:val="titre 3 objet"/>
    <w:basedOn w:val="Heading3"/>
    <w:next w:val="Normal"/>
    <w:qFormat/>
    <w:pPr>
      <w:numPr>
        <w:ilvl w:val="0"/>
        <w:numId w:val="0"/>
      </w:numPr>
      <w:spacing w:before="0" w:after="120"/>
    </w:pPr>
    <w:rPr>
      <w:b/>
    </w:rPr>
  </w:style>
  <w:style w:type="paragraph" w:customStyle="1" w:styleId="Commentaire1">
    <w:name w:val="Commentaire1"/>
    <w:basedOn w:val="Normal"/>
    <w:qFormat/>
    <w:rPr>
      <w:sz w:val="20"/>
      <w:szCs w:val="20"/>
    </w:rPr>
  </w:style>
  <w:style w:type="paragraph" w:styleId="CommentSubject">
    <w:name w:val="annotation subject"/>
    <w:basedOn w:val="Commentaire1"/>
    <w:next w:val="Commentaire1"/>
    <w:qFormat/>
    <w:rPr>
      <w:b/>
      <w:bCs/>
    </w:rPr>
  </w:style>
  <w:style w:type="paragraph" w:customStyle="1" w:styleId="Textebrut1">
    <w:name w:val="Texte brut1"/>
    <w:basedOn w:val="Normal"/>
    <w:qFormat/>
    <w:rPr>
      <w:rFonts w:ascii="Calibri" w:eastAsia="Calibri" w:hAnsi="Calibri" w:cs="Calibri"/>
      <w:color w:val="000000"/>
      <w:sz w:val="22"/>
      <w:szCs w:val="2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Text">
    <w:name w:val="annotation text"/>
    <w:basedOn w:val="Normal"/>
    <w:qFormat/>
    <w:rPr>
      <w:sz w:val="20"/>
      <w:szCs w:val="20"/>
    </w:rPr>
  </w:style>
  <w:style w:type="paragraph" w:styleId="ListParagraph">
    <w:name w:val="List Paragraph"/>
    <w:basedOn w:val="Normal"/>
    <w:qFormat/>
    <w:pPr>
      <w:suppressAutoHyphens w:val="0"/>
      <w:ind w:left="720"/>
    </w:pPr>
    <w:rPr>
      <w:rFonts w:eastAsia="Calibri"/>
      <w:color w:val="000000"/>
    </w:rPr>
  </w:style>
  <w:style w:type="numbering" w:customStyle="1" w:styleId="WW8Num1">
    <w:name w:val="WW8Num1"/>
    <w:qFormat/>
  </w:style>
  <w:style w:type="paragraph" w:styleId="Header">
    <w:name w:val="header"/>
    <w:basedOn w:val="Normal"/>
    <w:link w:val="HeaderChar"/>
    <w:uiPriority w:val="99"/>
    <w:unhideWhenUsed/>
    <w:rsid w:val="00660ECB"/>
    <w:pPr>
      <w:tabs>
        <w:tab w:val="center" w:pos="4320"/>
        <w:tab w:val="right" w:pos="8640"/>
      </w:tabs>
    </w:pPr>
  </w:style>
  <w:style w:type="character" w:customStyle="1" w:styleId="HeaderChar">
    <w:name w:val="Header Char"/>
    <w:basedOn w:val="DefaultParagraphFont"/>
    <w:link w:val="Header"/>
    <w:uiPriority w:val="99"/>
    <w:rsid w:val="00660ECB"/>
    <w:rPr>
      <w:rFonts w:ascii="Times New Roman" w:eastAsia="Times New Roman" w:hAnsi="Times New Roman" w:cs="Times New Roman"/>
      <w:sz w:val="24"/>
      <w:lang w:bidi="nl-NL"/>
    </w:rPr>
  </w:style>
  <w:style w:type="paragraph" w:styleId="Footer">
    <w:name w:val="footer"/>
    <w:basedOn w:val="Normal"/>
    <w:link w:val="FooterChar"/>
    <w:uiPriority w:val="99"/>
    <w:unhideWhenUsed/>
    <w:rsid w:val="00660ECB"/>
    <w:pPr>
      <w:tabs>
        <w:tab w:val="center" w:pos="4320"/>
        <w:tab w:val="right" w:pos="8640"/>
      </w:tabs>
    </w:pPr>
  </w:style>
  <w:style w:type="character" w:customStyle="1" w:styleId="FooterChar">
    <w:name w:val="Footer Char"/>
    <w:basedOn w:val="DefaultParagraphFont"/>
    <w:link w:val="Footer"/>
    <w:uiPriority w:val="99"/>
    <w:rsid w:val="00660ECB"/>
    <w:rPr>
      <w:rFonts w:ascii="Times New Roman" w:eastAsia="Times New Roman" w:hAnsi="Times New Roman" w:cs="Times New Roman"/>
      <w:sz w:val="24"/>
      <w:lang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1778</Words>
  <Characters>10138</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REPUBLIQUE FRANCAISE</vt:lpstr>
      <vt:lpstr>REPUBLIQUE FRANCAISE</vt:lpstr>
    </vt:vector>
  </TitlesOfParts>
  <Company>MINEFI</Company>
  <LinksUpToDate>false</LinksUpToDate>
  <CharactersWithSpaces>11893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Ke, Tingting</cp:lastModifiedBy>
  <cp:revision>4</cp:revision>
  <cp:lastPrinted>2018-03-29T14:13:00Z</cp:lastPrinted>
  <dcterms:created xsi:type="dcterms:W3CDTF">2018-04-19T11:46:00Z</dcterms:created>
  <dcterms:modified xsi:type="dcterms:W3CDTF">2018-04-19T14:11:00Z</dcterms:modified>
  <dc:language>fr-FR</dc:language>
</cp:coreProperties>
</file>