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C0" w:rsidRPr="004407C0" w:rsidRDefault="004407C0" w:rsidP="004407C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Asetus nro 2019-1114, annettu 30 päivänä lokakuuta 2019, postitoiminnasta ja sähköisestä viestinnästä annetun lain L. 34-9-2 §:n täytäntöönpanosta</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Asianomaiset tahot: yli 800 grammaa painavien miehittämättömien ilma-alusten kauko-ohjaajat, miehittämättömien ilma-alusten valmistajat.</w:t>
      </w:r>
      <w:r>
        <w:rPr>
          <w:color w:val="000000"/>
          <w:sz w:val="27"/>
          <w:rFonts w:ascii="Times New Roman" w:hAnsi="Times New Roman"/>
        </w:rPr>
        <w:br/>
      </w:r>
      <w:r>
        <w:rPr>
          <w:color w:val="000000"/>
          <w:sz w:val="27"/>
          <w:rFonts w:ascii="Times New Roman" w:hAnsi="Times New Roman"/>
        </w:rPr>
        <w:t xml:space="preserve">Aihe: niiden elektronisten tai digitaalisten merkinantolaitteiden ja valomerkkilaitteiden tavoitteet, joilla miehittämättömät ilma-alukset on varustettava.</w:t>
      </w:r>
      <w:r>
        <w:rPr>
          <w:color w:val="000000"/>
          <w:sz w:val="27"/>
          <w:rFonts w:ascii="Times New Roman" w:hAnsi="Times New Roman"/>
        </w:rPr>
        <w:br/>
      </w:r>
      <w:r>
        <w:rPr>
          <w:color w:val="000000"/>
          <w:sz w:val="27"/>
          <w:rFonts w:ascii="Times New Roman" w:hAnsi="Times New Roman"/>
        </w:rPr>
        <w:t xml:space="preserve">Voimaantulo: asetus tulee voimaan kuuden kuukauden kuluttua sen julkaisemisesta, lukuun ottamatta yhtäältä postitoiminnasta ja sähköisestä viestinnästä annetun lain R. 20-29-7 ja R. 20-29-8 §:n ja rikosprosessilain R. 48-1 §:n 14 kohdan säännöksiä ja toisaalta asetuksen säännöksiä, jotka koskevat ennen kyseistä päivämäärää liikennelain L. 6111-1 §:n mukaisesti rekisteröityjä miehittämättömiä ilma-aluksia; kyseiset säännökset tulevat voimaan 12 kuukauden kuluttua julkaisemisesta.</w:t>
      </w:r>
      <w:r>
        <w:rPr>
          <w:color w:val="000000"/>
          <w:sz w:val="27"/>
          <w:rFonts w:ascii="Times New Roman" w:hAnsi="Times New Roman"/>
        </w:rPr>
        <w:br/>
      </w:r>
      <w:r>
        <w:rPr>
          <w:color w:val="000000"/>
          <w:sz w:val="27"/>
          <w:rFonts w:ascii="Times New Roman" w:hAnsi="Times New Roman"/>
        </w:rPr>
        <w:t xml:space="preserve">Huomautus: Postitoiminnasta ja sähköisestä viestinnästä annetun lain, sellaisena kuin se on muutettuna siviili-ilmailussa käytettävien miehittämättömien ilma-alusten käyttöturvallisuuden parantamisesta 24 päivänä lokakuuta 2016 annetulla lailla nro 2016-1428, L. 34-9-2 §:n mukaisesti miehittämättömiin ilma-aluksiin, jotka eivät ole valtion ilma-aluksia ja joiden paino ylittää lainsäädännössä vahvistetun kynnysarvon, on asennettava elektroninen tai digitaalinen merkinantolaite ja valomerkkilaite.</w:t>
      </w:r>
      <w:r>
        <w:rPr>
          <w:color w:val="000000"/>
          <w:sz w:val="27"/>
          <w:rFonts w:ascii="Times New Roman" w:hAnsi="Times New Roman"/>
        </w:rPr>
        <w:t xml:space="preserve"> </w:t>
      </w:r>
      <w:r>
        <w:rPr>
          <w:color w:val="000000"/>
          <w:sz w:val="27"/>
          <w:rFonts w:ascii="Times New Roman" w:hAnsi="Times New Roman"/>
        </w:rPr>
        <w:t xml:space="preserve">Asetuksessa vahvistetaan näiden laitteiden tavoitteet sekä merkinantovelvoitteista vapauttamisen edellytykset ja sovellettava seuraamusjärjestelmä.</w:t>
      </w:r>
      <w:r>
        <w:rPr>
          <w:color w:val="000000"/>
          <w:sz w:val="27"/>
          <w:rFonts w:ascii="Times New Roman" w:hAnsi="Times New Roman"/>
        </w:rPr>
        <w:t xml:space="preserve"> </w:t>
      </w:r>
      <w:r>
        <w:rPr>
          <w:color w:val="000000"/>
          <w:sz w:val="27"/>
          <w:rFonts w:ascii="Times New Roman" w:hAnsi="Times New Roman"/>
        </w:rPr>
        <w:t xml:space="preserve">Siinä asetetaan ilma-alusten painon kynnysarvoksi, josta lähtien ilma-aluksiin on asennettava laitteet, 800 grammaa.</w:t>
      </w:r>
      <w:r>
        <w:rPr>
          <w:color w:val="000000"/>
          <w:sz w:val="27"/>
          <w:rFonts w:ascii="Times New Roman" w:hAnsi="Times New Roman"/>
        </w:rPr>
        <w:br/>
      </w:r>
      <w:r>
        <w:rPr>
          <w:color w:val="000000"/>
          <w:sz w:val="27"/>
          <w:rFonts w:ascii="Times New Roman" w:hAnsi="Times New Roman"/>
        </w:rPr>
        <w:t xml:space="preserve">Viitteet: Tämä asetus annetaan siviili-ilmaisussa käytettävien miehittämättömien ilma-alusten käyttöturvallisuuden parantamisesta 24 päivänä lokakuuta 2016 annetun lain nro 2016-1428 4 §:n I momentin soveltamiseksi.</w:t>
      </w:r>
      <w:r>
        <w:rPr>
          <w:color w:val="000000"/>
          <w:sz w:val="27"/>
          <w:rFonts w:ascii="Times New Roman" w:hAnsi="Times New Roman"/>
        </w:rPr>
        <w:t xml:space="preserve"> </w:t>
      </w:r>
      <w:r>
        <w:rPr>
          <w:color w:val="000000"/>
          <w:sz w:val="27"/>
          <w:rFonts w:ascii="Times New Roman" w:hAnsi="Times New Roman"/>
        </w:rPr>
        <w:t xml:space="preserve">Postitoiminnasta ja sähköisestä viestinnästä annettuun lakiin voi tutustua tähän muutokseen perustuvana toisintona Légifrance-verkkosivustolla (http://www.legifrance.gouv.fr).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Pääministeri, joka</w:t>
      </w:r>
      <w:r>
        <w:rPr>
          <w:color w:val="000000"/>
          <w:sz w:val="27"/>
          <w:rFonts w:ascii="Times New Roman" w:hAnsi="Times New Roman"/>
        </w:rPr>
        <w:br/>
      </w:r>
      <w:r>
        <w:rPr>
          <w:color w:val="000000"/>
          <w:sz w:val="27"/>
          <w:rFonts w:ascii="Times New Roman" w:hAnsi="Times New Roman"/>
        </w:rPr>
        <w:t xml:space="preserve">talous- ja valtiovarainministerin selonteon perusteella</w:t>
      </w:r>
      <w:r>
        <w:rPr>
          <w:color w:val="000000"/>
          <w:sz w:val="27"/>
          <w:rFonts w:ascii="Times New Roman" w:hAnsi="Times New Roman"/>
        </w:rPr>
        <w:br/>
      </w:r>
      <w:r>
        <w:rPr>
          <w:color w:val="000000"/>
          <w:sz w:val="27"/>
          <w:rFonts w:ascii="Times New Roman" w:hAnsi="Times New Roman"/>
        </w:rPr>
        <w:t xml:space="preserve">ottaa huomioon teknisiä määräyksiä ja tietoyhteiskunnan palveluja koskevia määräyksiä koskevien tietojen toimittamisessa noudatettavasta menettelystä 9 päivänä syyskuuta 2015 annetun Euroopan parlamentin ja neuvoston direktiivin (EU) 2015/1535 (kodifikaatio) ja erityisesti ilmoitukset nro 2018/169/F ja nro 2018/168/F,</w:t>
      </w:r>
      <w:r>
        <w:rPr>
          <w:color w:val="000000"/>
          <w:sz w:val="27"/>
          <w:rFonts w:ascii="Times New Roman" w:hAnsi="Times New Roman"/>
        </w:rPr>
        <w:br/>
      </w:r>
      <w:r>
        <w:rPr>
          <w:color w:val="000000"/>
          <w:sz w:val="27"/>
          <w:rFonts w:ascii="Times New Roman" w:hAnsi="Times New Roman"/>
        </w:rPr>
        <w:t xml:space="preserve">ottaa huomioon yhteisistä siviili-ilmailua koskevista säännöistä ja Euroopan unionin lentoturvallisuusviraston perustamisesta, Euroopan parlamentin ja neuvoston asetusten (EY) N:o 2111/2005, (EY) N:o 1008/2008, (EU) N:o 996/2010, (EU) N:o 376/2014 ja direktiivien 2014/30/EU ja 2014/53/EU muuttamisesta sekä Euroopan parlamentin ja neuvoston asetusten (EY) N:o 552/2004, (EY) N:o 216/2008 ja neuvoston asetuksen (ETY) N:o 3922/91 kumoamisesta 4 päivänä heinäkuuta 2018 annetun Euroopan parlamentin ja neuvoston asetuksen (EU) 2018/1139,</w:t>
      </w:r>
      <w:r>
        <w:rPr>
          <w:color w:val="000000"/>
          <w:sz w:val="27"/>
          <w:rFonts w:ascii="Times New Roman" w:hAnsi="Times New Roman"/>
        </w:rPr>
        <w:br/>
      </w:r>
      <w:r>
        <w:rPr>
          <w:color w:val="000000"/>
          <w:sz w:val="27"/>
          <w:rFonts w:ascii="Times New Roman" w:hAnsi="Times New Roman"/>
        </w:rPr>
        <w:t xml:space="preserve">ottaa huomioon miehittämättömistä ilma-alusjärjestelmistä ja kolmansien maiden miehittämättömien ilma-alusjärjestelmien käyttäjistä 12 päivänä maaliskuuta 2019 annetun komission delegoidun asetuksen (EU) 2019/945 ja erityisesti sen 5 artiklan,</w:t>
      </w:r>
      <w:r>
        <w:rPr>
          <w:color w:val="000000"/>
          <w:sz w:val="27"/>
          <w:rFonts w:ascii="Times New Roman" w:hAnsi="Times New Roman"/>
        </w:rPr>
        <w:br/>
      </w:r>
      <w:r>
        <w:rPr>
          <w:color w:val="000000"/>
          <w:sz w:val="27"/>
          <w:rFonts w:ascii="Times New Roman" w:hAnsi="Times New Roman"/>
        </w:rPr>
        <w:t xml:space="preserve">ottaa huomioon siviili-ilmailulain ja erityisesti sen R. 124-2 ja D. 510-3 §:n,</w:t>
      </w:r>
      <w:r>
        <w:rPr>
          <w:color w:val="000000"/>
          <w:sz w:val="27"/>
          <w:rFonts w:ascii="Times New Roman" w:hAnsi="Times New Roman"/>
        </w:rPr>
        <w:br/>
      </w:r>
      <w:r>
        <w:rPr>
          <w:color w:val="000000"/>
          <w:sz w:val="27"/>
          <w:rFonts w:ascii="Times New Roman" w:hAnsi="Times New Roman"/>
        </w:rPr>
        <w:t xml:space="preserve">ottaa huomioon rikoslain ja erityisesti sen R. 610-1 §:n,</w:t>
      </w:r>
      <w:r>
        <w:rPr>
          <w:color w:val="000000"/>
          <w:sz w:val="27"/>
          <w:rFonts w:ascii="Times New Roman" w:hAnsi="Times New Roman"/>
        </w:rPr>
        <w:br/>
      </w:r>
      <w:r>
        <w:rPr>
          <w:color w:val="000000"/>
          <w:sz w:val="27"/>
          <w:rFonts w:ascii="Times New Roman" w:hAnsi="Times New Roman"/>
        </w:rPr>
        <w:t xml:space="preserve">ottaa huomioon rikosprosessilain ja erityisesti sen R. 48-1 §:n,</w:t>
      </w:r>
      <w:r>
        <w:rPr>
          <w:color w:val="000000"/>
          <w:sz w:val="27"/>
          <w:rFonts w:ascii="Times New Roman" w:hAnsi="Times New Roman"/>
        </w:rPr>
        <w:br/>
      </w:r>
      <w:r>
        <w:rPr>
          <w:color w:val="000000"/>
          <w:sz w:val="27"/>
          <w:rFonts w:ascii="Times New Roman" w:hAnsi="Times New Roman"/>
        </w:rPr>
        <w:t xml:space="preserve">ottaa huomioon postitoiminnasta ja sähköisestä viestinnästä annetun lain ja erityisesti sen L. 34-9-2 §:n,</w:t>
      </w:r>
      <w:r>
        <w:rPr>
          <w:color w:val="000000"/>
          <w:sz w:val="27"/>
          <w:rFonts w:ascii="Times New Roman" w:hAnsi="Times New Roman"/>
        </w:rPr>
        <w:br/>
      </w:r>
      <w:r>
        <w:rPr>
          <w:color w:val="000000"/>
          <w:sz w:val="27"/>
          <w:rFonts w:ascii="Times New Roman" w:hAnsi="Times New Roman"/>
        </w:rPr>
        <w:t xml:space="preserve">ottaa huomioon sisäisestä turvallisuudesta annetun lain ja erityisesti VIII kirjan V osaston,</w:t>
      </w:r>
      <w:r>
        <w:rPr>
          <w:color w:val="000000"/>
          <w:sz w:val="27"/>
          <w:rFonts w:ascii="Times New Roman" w:hAnsi="Times New Roman"/>
        </w:rPr>
        <w:br/>
      </w:r>
      <w:r>
        <w:rPr>
          <w:color w:val="000000"/>
          <w:sz w:val="27"/>
          <w:rFonts w:ascii="Times New Roman" w:hAnsi="Times New Roman"/>
        </w:rPr>
        <w:t xml:space="preserve">ottaa huomioon urheilusta annetun lain ja erityisesti sen L. 131-8 §:n,</w:t>
      </w:r>
      <w:r>
        <w:rPr>
          <w:color w:val="000000"/>
          <w:sz w:val="27"/>
          <w:rFonts w:ascii="Times New Roman" w:hAnsi="Times New Roman"/>
        </w:rPr>
        <w:br/>
      </w:r>
      <w:r>
        <w:rPr>
          <w:color w:val="000000"/>
          <w:sz w:val="27"/>
          <w:rFonts w:ascii="Times New Roman" w:hAnsi="Times New Roman"/>
        </w:rPr>
        <w:t xml:space="preserve">ottaa huomioon liikennelain ja erityisesti sen L. 6100-1 ja L. 6111-1 §:n,</w:t>
      </w:r>
      <w:r>
        <w:rPr>
          <w:color w:val="000000"/>
          <w:sz w:val="27"/>
          <w:rFonts w:ascii="Times New Roman" w:hAnsi="Times New Roman"/>
        </w:rPr>
        <w:br/>
      </w:r>
      <w:r>
        <w:rPr>
          <w:color w:val="000000"/>
          <w:sz w:val="27"/>
          <w:rFonts w:ascii="Times New Roman" w:hAnsi="Times New Roman"/>
        </w:rPr>
        <w:t xml:space="preserve">ja kuultuaan Ranskan korkeinta hallinto-oikeutta (julkisten töiden jaosto)</w:t>
      </w:r>
      <w:r>
        <w:rPr>
          <w:color w:val="000000"/>
          <w:sz w:val="27"/>
          <w:rFonts w:ascii="Times New Roman" w:hAnsi="Times New Roman"/>
        </w:rPr>
        <w:br/>
      </w:r>
      <w:r>
        <w:rPr>
          <w:color w:val="000000"/>
          <w:sz w:val="27"/>
          <w:rFonts w:ascii="Times New Roman" w:hAnsi="Times New Roman"/>
        </w:rPr>
        <w:t xml:space="preserve">säätää seuraavaa:</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1 §</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Täydennetään postitoiminnasta ja sähköisestä viestinnästä annetun lain säädösosan (korkeimman hallinto-oikeuden asetukset) II kirjan I osaston II luvun 5 jaksoa 10 alajaksolla seuraavasti:</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”10 alajakso</w:t>
      </w:r>
      <w:r>
        <w:rPr>
          <w:color w:val="000000"/>
          <w:sz w:val="27"/>
          <w:rFonts w:ascii="Times New Roman" w:hAnsi="Times New Roman"/>
        </w:rPr>
        <w:br/>
      </w:r>
      <w:r>
        <w:rPr>
          <w:color w:val="000000"/>
          <w:sz w:val="27"/>
          <w:rFonts w:ascii="Times New Roman" w:hAnsi="Times New Roman"/>
        </w:rPr>
        <w:t xml:space="preserve">Miehittämättömiä ilma-aluksia koskevat säännökset</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20-29-1 §.-Tämän alajakson säännöksiä sovelletaan miehittämättömiin ilma-aluksiin yleisen turvallisuuden vuoksi, sanotun kuitenkaan rajoittamatta kyseisiin ilma-aluksiin lentoturvallisuuden osalta sovellettavien Euroopan unionin asetusten soveltamista.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20-29-2 §.-Tämän lain L. 34-9-2 §:n ensimmäisessä momentissa tarkoitetun elektronisen tai digitaalisen merkinantolaitteen tarkoituksena on havaita sellaisten miehittämättömien ilma-alusten lento, joiden paino ylittää D. 103 §:ssä tarkoitetun kynnysarvon, ja mahdollistaa niiden tunnistenumeron lukeminen.</w:t>
      </w:r>
      <w:r>
        <w:rPr>
          <w:color w:val="000000"/>
          <w:sz w:val="27"/>
          <w:rFonts w:ascii="Times New Roman" w:hAnsi="Times New Roman"/>
        </w:rPr>
        <w:br/>
      </w:r>
      <w:r>
        <w:rPr>
          <w:color w:val="000000"/>
          <w:sz w:val="27"/>
          <w:rFonts w:ascii="Times New Roman" w:hAnsi="Times New Roman"/>
        </w:rPr>
        <w:t xml:space="preserve">Sisäistä turvallisuutta ja kansallista puolustusta edistävät valtion yksiköt voivat käyttää tämän laitteen välityksellä toimitettuja tietoja ainoastaan valtion turvallisuuteen, puolustukseen tai yleiseen turvallisuuteen kohdistuvien hyökkäysten estämiseksi sekä rikosten torjumiseksi, tutkimiseksi, havaitsemiseksi tai niistä syytteeseen asettamiseksi, jotta miehittämättömien ilma-alusten omistajat ja niiden käyttäjät voidaan tunnistaa.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20-29-3 §.- Tämän lain L. 34-9-2 §:n ensimmäisessä momentissa tarkoitetun valomerkkilaitteen tarkoituksena on paikantaa helpommin yölennolla olevat miehittämättömät ilma-alukset, joiden paino ylittää D. 103 §:ssä tarkoitetun kynnysarvon, ja erottaa ne muista ilma-aluksista.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20-29-4 §.-Sisäministerin ja sähköisestä viestinnästä vastaavan ministerin yhteisessä määräyksessä täsmennetään elektronisen tai digitaalisen merkinantolaitteen tekniset ominaisuudet, välitettyjen tietojen luonne ja muoto sekä valomerkkilaitteen tekniset ominaisuudet.</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20-29-5 §.-Miehittämättömät ilma-alukset vapautetaan velvoitteesta, joka koskee niiden varustamista elektronisella tai digitaalisella merkinantolaitteella, mikäli</w:t>
      </w:r>
      <w:r>
        <w:rPr>
          <w:color w:val="000000"/>
          <w:sz w:val="27"/>
          <w:rFonts w:ascii="Times New Roman" w:hAnsi="Times New Roman"/>
        </w:rPr>
        <w:br/>
      </w:r>
      <w:r>
        <w:rPr>
          <w:color w:val="000000"/>
          <w:sz w:val="27"/>
          <w:rFonts w:ascii="Times New Roman" w:hAnsi="Times New Roman"/>
        </w:rPr>
        <w:t xml:space="preserve">1° ilma-aluksia käytetään virkistyskäytössä ja niitä ohjaa näköetäisyydellä kauko-ohjauslaitteella ilma-alusta ohjaava henkilö, joka on siviili-ilmailulain D. 510-3 §:ssä tarkoitettuun mallilennokkialalla kansallisesti tunnustettuun liittoon kuuluvan yhdistyksen jäsen tai mallilennokkitoiminnan sisältävän ja urheilusta vastaavan ministerin urheilusta annetun lain L. 131-8 §:n mukaisesti hyväksymän monia lajeja edustavan liiton jäsen, ilmailutiedotuksen välityksellä julkaistulla toiminta-alueella, joka asetuksessa vahvistetun mukaisesti oikeuttaa tähän poikkeukseen;</w:t>
      </w:r>
      <w:r>
        <w:rPr>
          <w:color w:val="000000"/>
          <w:sz w:val="27"/>
          <w:rFonts w:ascii="Times New Roman" w:hAnsi="Times New Roman"/>
        </w:rPr>
        <w:br/>
      </w:r>
      <w:r>
        <w:rPr>
          <w:color w:val="000000"/>
          <w:sz w:val="27"/>
          <w:rFonts w:ascii="Times New Roman" w:hAnsi="Times New Roman"/>
        </w:rPr>
        <w:t xml:space="preserve">2° ilma-aluksia käytetään suljettujen ja katettujen tilojen sisällä;</w:t>
      </w:r>
      <w:r>
        <w:rPr>
          <w:color w:val="000000"/>
          <w:sz w:val="27"/>
          <w:rFonts w:ascii="Times New Roman" w:hAnsi="Times New Roman"/>
        </w:rPr>
        <w:br/>
      </w:r>
      <w:r>
        <w:rPr>
          <w:color w:val="000000"/>
          <w:sz w:val="27"/>
          <w:rFonts w:ascii="Times New Roman" w:hAnsi="Times New Roman"/>
        </w:rPr>
        <w:t xml:space="preserve">3° ilma-alukset kuuluvat liikennelain L. 6100-1 §:n toisessa momentissa tarkoitettuihin ilma-alusluokkiin, sanotun rajoittamatta sotilasilma-aluksiin ja valtiolle kuuluviin ilma-aluksiin sovellettavia säännöksiä, ja niitä käyttävät tulliviranomaiset sekä yleisestä turvallisuudesta ja pelastuspalvelusta vastaavat viranomaiset;</w:t>
      </w:r>
      <w:r>
        <w:rPr>
          <w:color w:val="000000"/>
          <w:sz w:val="27"/>
          <w:rFonts w:ascii="Times New Roman" w:hAnsi="Times New Roman"/>
        </w:rPr>
        <w:br/>
      </w:r>
      <w:r>
        <w:rPr>
          <w:color w:val="000000"/>
          <w:sz w:val="27"/>
          <w:rFonts w:ascii="Times New Roman" w:hAnsi="Times New Roman"/>
        </w:rPr>
        <w:t xml:space="preserve">4° ilma-alukset eivät kuulu liikennelain L. 6100-1 §:n toisessa momentissa tarkoitettuihin ilma-alusluokkiin, mutta niitä käytetään tullin, poliisin tai pelastuspalvelun toimenpiteiden tai sisäisestä turvallisuudesta annetun lain VIII kirjan V osastossa tarkoitetun tekniikan käyttöönoton yhteydessä;</w:t>
      </w:r>
      <w:r>
        <w:rPr>
          <w:color w:val="000000"/>
          <w:sz w:val="27"/>
          <w:rFonts w:ascii="Times New Roman" w:hAnsi="Times New Roman"/>
        </w:rPr>
        <w:br/>
      </w:r>
      <w:r>
        <w:rPr>
          <w:color w:val="000000"/>
          <w:sz w:val="27"/>
          <w:rFonts w:ascii="Times New Roman" w:hAnsi="Times New Roman"/>
        </w:rPr>
        <w:t xml:space="preserve">5° mikäli ne on ankkuroitu tai niitä vedetään maan- tai vedenpinnasta.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20-29-6 §.Miehittämättömät ilma-alukset vapautetaan velvoitteesta, joka koskee niiden varustamista valomerkkilaitteella,</w:t>
      </w:r>
      <w:r>
        <w:rPr>
          <w:color w:val="000000"/>
          <w:sz w:val="27"/>
          <w:rFonts w:ascii="Times New Roman" w:hAnsi="Times New Roman"/>
        </w:rPr>
        <w:br/>
      </w:r>
      <w:r>
        <w:rPr>
          <w:color w:val="000000"/>
          <w:sz w:val="27"/>
          <w:rFonts w:ascii="Times New Roman" w:hAnsi="Times New Roman"/>
        </w:rPr>
        <w:t xml:space="preserve">1° edellä olevan R. 20-29-5 §:n 1–5 kohdassa tarkoitetuissa tapauksissa;</w:t>
      </w:r>
      <w:r>
        <w:rPr>
          <w:color w:val="000000"/>
          <w:sz w:val="27"/>
          <w:rFonts w:ascii="Times New Roman" w:hAnsi="Times New Roman"/>
        </w:rPr>
        <w:br/>
      </w:r>
      <w:r>
        <w:rPr>
          <w:color w:val="000000"/>
          <w:sz w:val="27"/>
          <w:rFonts w:ascii="Times New Roman" w:hAnsi="Times New Roman"/>
        </w:rPr>
        <w:t xml:space="preserve">2° kun niillä lennetään auringonnousun ja auringonlaskun välillä;</w:t>
      </w:r>
      <w:r>
        <w:rPr>
          <w:color w:val="000000"/>
          <w:sz w:val="27"/>
          <w:rFonts w:ascii="Times New Roman" w:hAnsi="Times New Roman"/>
        </w:rPr>
        <w:br/>
      </w:r>
      <w:r>
        <w:rPr>
          <w:color w:val="000000"/>
          <w:sz w:val="27"/>
          <w:rFonts w:ascii="Times New Roman" w:hAnsi="Times New Roman"/>
        </w:rPr>
        <w:t xml:space="preserve">3° kun aluksilla tehdään testauslentoja koe- tai tarkastustarkoituksia varten siviili-ilmailusta vastaavan ministerin määrittämissä olosuhteissa.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20-29-7 §.-Neljännen luokan rikkeestä määrätty sakko määrätään, mikäli</w:t>
      </w:r>
      <w:r>
        <w:rPr>
          <w:color w:val="000000"/>
          <w:sz w:val="27"/>
          <w:rFonts w:ascii="Times New Roman" w:hAnsi="Times New Roman"/>
        </w:rPr>
        <w:br/>
      </w:r>
      <w:r>
        <w:rPr>
          <w:color w:val="000000"/>
          <w:sz w:val="27"/>
          <w:rFonts w:ascii="Times New Roman" w:hAnsi="Times New Roman"/>
        </w:rPr>
        <w:t xml:space="preserve">1° lennätetään miehittämätöntä ilma-alusta, jossa ei ole L. 34-9-2 §:n ensimmäisessä momentissa tarkoitettua elektronista tai digitaalista merkinantolaitetta tai toimintakuntoista elektronista tai digitaalista merkinantolaitetta;</w:t>
      </w:r>
      <w:r>
        <w:rPr>
          <w:color w:val="000000"/>
          <w:sz w:val="27"/>
          <w:rFonts w:ascii="Times New Roman" w:hAnsi="Times New Roman"/>
        </w:rPr>
        <w:br/>
      </w:r>
      <w:r>
        <w:rPr>
          <w:color w:val="000000"/>
          <w:sz w:val="27"/>
          <w:rFonts w:ascii="Times New Roman" w:hAnsi="Times New Roman"/>
        </w:rPr>
        <w:t xml:space="preserve">2° lennätetään miehittämätöntä ilma-alusta, jossa ei ole L. 34-9-2 §:n ensimmäisessä momentissa tarkoitettua valomerkkilaitetta tai toimintakuntoista valomerkkilaitetta.</w:t>
      </w:r>
      <w:r>
        <w:rPr>
          <w:color w:val="000000"/>
          <w:sz w:val="27"/>
          <w:rFonts w:ascii="Times New Roman" w:hAnsi="Times New Roman"/>
        </w:rPr>
        <w:br/>
      </w:r>
      <w:r>
        <w:rPr>
          <w:color w:val="000000"/>
          <w:sz w:val="27"/>
          <w:rFonts w:ascii="Times New Roman" w:hAnsi="Times New Roman"/>
        </w:rPr>
        <w:t xml:space="preserve">Miehittämättömän ilma-aluksen omistaja on velvollinen maksamaan sakon 1 ja 2 kohdassa tarkoitetuista rikkomuksista, paitsi jos hän osoittaa lennon tai muun tapahtuman johtuvan ylivoimaisesta esteestä tai esittää kaikki todisteet sen osoittamiseksi, että hän ei ole rikkomuksen todellinen tekijä.</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20-29-8 §.-Viidennen luokan rikkeestä määrätty sakko määrätään, mikäli lain L. 34-9-2 §:n ensimmäisessä momentissa tarkoitetun elektronisen tai digitaalisen merkin tahallinen lähetys ei ole peräisin siviili-ilmailulain R. 124-2 §:ssä tarkoitettuun rekisteriin merkitystä miehittämättömästä ilma-aluksesta tai se ei vastaa todellista lentoa, joka on käynnissä elektronisen tai digitaalisen merkin lähetyshetkellä.</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20-29-9 §.-Edellä olevissa R. 20-29-7 ja R. 20-29-8 §:ssä tarkoitettuihin rikkomuksiin syyllistyneet henkilöt saavat myös lisäseuraamuksen, jossa rikkomuksen tekemiseen käytetty esine tuomitaan menetetyksi.</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20-29-10 §.-Tämän lain R. 20-29-1 – R. 20-29-9 §:ää sovelletaan Wallis ja Futunassa, Ranskan Polynesiassa sekä Ranskan eteläisillä ja antarktisilla alueilla.”</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2 §</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Täydennetään rikosprosessilain R. 48-1 §:ää seuraavalla kohdalla:</w:t>
      </w:r>
      <w:r>
        <w:rPr>
          <w:color w:val="000000"/>
          <w:sz w:val="27"/>
          <w:rFonts w:ascii="Times New Roman" w:hAnsi="Times New Roman"/>
        </w:rPr>
        <w:br/>
      </w:r>
      <w:r>
        <w:rPr>
          <w:color w:val="000000"/>
          <w:sz w:val="27"/>
          <w:rFonts w:ascii="Times New Roman" w:hAnsi="Times New Roman"/>
        </w:rPr>
        <w:t xml:space="preserve">”14° postitoiminnasta ja sähköisestä viestinnästä annetun lain R. 20-29-7 §:n nojalla rangaistavat rikkeet”.</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3 §</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Täydennetään postitoiminnasta ja sähköisestä viestinnästä annetun lain säädösosan II kirjan I osaston II lukua 6 jaksolla seuraavasti:</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”6 jakso</w:t>
      </w:r>
      <w:r>
        <w:rPr>
          <w:color w:val="000000"/>
          <w:sz w:val="27"/>
          <w:rFonts w:ascii="Times New Roman" w:hAnsi="Times New Roman"/>
        </w:rPr>
        <w:br/>
      </w:r>
      <w:r>
        <w:rPr>
          <w:color w:val="000000"/>
          <w:sz w:val="27"/>
          <w:rFonts w:ascii="Times New Roman" w:hAnsi="Times New Roman"/>
        </w:rPr>
        <w:t xml:space="preserve">Sähköisen viestinnän päätelaitteet ja radiolaitteet</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 103 §.- Lain L. 34-9-2, R. 20-29-2 ja R. 20-29-3 §:ssä tarkoitettu painon kynnysarvo on 800 grammaa.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 103-1 §.-Tämän asetuksen säännöksiä sovelletaan Wallis ja Futunassa, Ranskan Polynesiassa ja Ranskan eteläisillä ja antarktisilla alueilla.”</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4 §</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Tämä asetus tulee voimaan kuuden kuukauden kuluttua sen julkaisemisesta.</w:t>
      </w:r>
      <w:r>
        <w:rPr>
          <w:color w:val="000000"/>
          <w:sz w:val="27"/>
          <w:rFonts w:ascii="Times New Roman" w:hAnsi="Times New Roman"/>
        </w:rPr>
        <w:br/>
      </w:r>
      <w:r>
        <w:rPr>
          <w:color w:val="000000"/>
          <w:sz w:val="27"/>
          <w:rFonts w:ascii="Times New Roman" w:hAnsi="Times New Roman"/>
        </w:rPr>
        <w:t xml:space="preserve">Seuraavat säännökset tulevat kuitenkin voimaan 12 kuukauden kuluttua tämän asetuksen julkaisemisesta:</w:t>
      </w:r>
      <w:r>
        <w:rPr>
          <w:color w:val="000000"/>
          <w:sz w:val="27"/>
          <w:rFonts w:ascii="Times New Roman" w:hAnsi="Times New Roman"/>
        </w:rPr>
        <w:br/>
      </w:r>
      <w:r>
        <w:rPr>
          <w:color w:val="000000"/>
          <w:sz w:val="27"/>
          <w:rFonts w:ascii="Times New Roman" w:hAnsi="Times New Roman"/>
        </w:rPr>
        <w:t xml:space="preserve">1° tämän asetuksen säännökset miehittämättömistä ilma-aluksista, jotka on rekisteröity liikennelain L. 6111-1 §:n mukaisesti ennen ensimmäisessä momentissa mainittua voimaantulopäivää;</w:t>
      </w:r>
      <w:r>
        <w:rPr>
          <w:color w:val="000000"/>
          <w:sz w:val="27"/>
          <w:rFonts w:ascii="Times New Roman" w:hAnsi="Times New Roman"/>
        </w:rPr>
        <w:br/>
      </w:r>
      <w:r>
        <w:rPr>
          <w:color w:val="000000"/>
          <w:sz w:val="27"/>
          <w:rFonts w:ascii="Times New Roman" w:hAnsi="Times New Roman"/>
        </w:rPr>
        <w:t xml:space="preserve">2° postitoiminnasta ja sähköisestä viestinnästä annetun lain R. 20-29-7 ja R. 20-29-8 §:n sekä rikoslain R. 48-1 §:n 14 kohdan säännökset.</w:t>
      </w:r>
      <w:r>
        <w:rPr>
          <w:color w:val="000000"/>
          <w:sz w:val="27"/>
          <w:rFonts w:ascii="Times New Roman" w:hAnsi="Times New Roman"/>
        </w:rPr>
        <w:br/>
      </w:r>
      <w:r>
        <w:rPr>
          <w:color w:val="000000"/>
          <w:sz w:val="27"/>
          <w:rFonts w:ascii="Times New Roman" w:hAnsi="Times New Roman"/>
        </w:rPr>
        <w:t xml:space="preserve">Tämän pykälän säännöksiä sovelletaan Wallis ja Futunassa, Ranskan Polynesiassa ja Ranskan eteläisillä ja antarktisilla alueilla.</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5 §</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Sinetinhaltija, oikeusministeri, ekologisesta ja solidaarisesta siirtymästä vastaava ministeri, talous- ja valtiovarainministeri, sisäministeri, merentakaisten alueiden ministeri ja liikenteestä vastaava valtiosihteeri ekologisen ja solidaarisen siirtymän ministeriössä vastaavat kukin omalta osaltaan tämän Ranskan tasavallan virallisessa lehdessä julkaistavan asetuksen täytäntöönpanosta.</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Annettu 30 päivänä lokakuuta 2019.</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Edouard Philippe</w:t>
      </w:r>
      <w:r>
        <w:rPr>
          <w:color w:val="000000"/>
          <w:sz w:val="27"/>
          <w:rFonts w:ascii="Times New Roman" w:hAnsi="Times New Roman"/>
        </w:rPr>
        <w:br/>
      </w:r>
      <w:r>
        <w:rPr>
          <w:color w:val="000000"/>
          <w:sz w:val="27"/>
          <w:rFonts w:ascii="Times New Roman" w:hAnsi="Times New Roman"/>
        </w:rPr>
        <w:t xml:space="preserve">Pääministerin puolesta:</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Talous- ja valtiovarainministeri</w:t>
      </w:r>
      <w:r>
        <w:rPr>
          <w:color w:val="000000"/>
          <w:sz w:val="27"/>
          <w:rFonts w:ascii="Times New Roman" w:hAnsi="Times New Roman"/>
        </w:rPr>
        <w:br/>
      </w:r>
      <w:r>
        <w:rPr>
          <w:color w:val="000000"/>
          <w:sz w:val="27"/>
          <w:rFonts w:ascii="Times New Roman" w:hAnsi="Times New Roman"/>
        </w:rPr>
        <w:t xml:space="preserve">Bruno Le Maire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Sinetinhaltija, oikeusministeri</w:t>
      </w:r>
      <w:r>
        <w:rPr>
          <w:color w:val="000000"/>
          <w:sz w:val="27"/>
          <w:rFonts w:ascii="Times New Roman" w:hAnsi="Times New Roman"/>
        </w:rPr>
        <w:br/>
      </w:r>
      <w:r>
        <w:rPr>
          <w:color w:val="000000"/>
          <w:sz w:val="27"/>
          <w:rFonts w:ascii="Times New Roman" w:hAnsi="Times New Roman"/>
        </w:rPr>
        <w:t xml:space="preserve">Nicole Belloubet</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Ekologisesta ja solidaarisesta siirtymästä vastaava ministeri</w:t>
      </w:r>
      <w:r>
        <w:rPr>
          <w:color w:val="000000"/>
          <w:sz w:val="27"/>
          <w:rFonts w:ascii="Times New Roman" w:hAnsi="Times New Roman"/>
        </w:rPr>
        <w:br/>
      </w:r>
      <w:r>
        <w:rPr>
          <w:color w:val="000000"/>
          <w:sz w:val="27"/>
          <w:rFonts w:ascii="Times New Roman" w:hAnsi="Times New Roman"/>
        </w:rPr>
        <w:t xml:space="preserve">Elisabeth Borne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Sisäministeri</w:t>
      </w:r>
      <w:r>
        <w:rPr>
          <w:color w:val="000000"/>
          <w:sz w:val="27"/>
          <w:rFonts w:ascii="Times New Roman" w:hAnsi="Times New Roman"/>
        </w:rPr>
        <w:br/>
      </w:r>
      <w:r>
        <w:rPr>
          <w:color w:val="000000"/>
          <w:sz w:val="27"/>
          <w:rFonts w:ascii="Times New Roman" w:hAnsi="Times New Roman"/>
        </w:rPr>
        <w:t xml:space="preserve">Christophe Castaner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Merentakaisten alueiden ministeri</w:t>
      </w:r>
      <w:r>
        <w:rPr>
          <w:color w:val="000000"/>
          <w:sz w:val="27"/>
          <w:rFonts w:ascii="Times New Roman" w:hAnsi="Times New Roman"/>
        </w:rPr>
        <w:br/>
      </w:r>
      <w:r>
        <w:rPr>
          <w:color w:val="000000"/>
          <w:sz w:val="27"/>
          <w:rFonts w:ascii="Times New Roman" w:hAnsi="Times New Roman"/>
        </w:rPr>
        <w:t xml:space="preserve">Annick Girardin</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Liikenteestä vastaava valtiosihteeri ekologisen ja solidaarisen siirtymän ministeriössä</w:t>
      </w:r>
      <w:r>
        <w:rPr>
          <w:color w:val="000000"/>
          <w:sz w:val="27"/>
          <w:rFonts w:ascii="Times New Roman" w:hAnsi="Times New Roman"/>
        </w:rPr>
        <w:br/>
      </w:r>
      <w:r>
        <w:rPr>
          <w:color w:val="000000"/>
          <w:sz w:val="27"/>
          <w:rFonts w:ascii="Times New Roman" w:hAnsi="Times New Roman"/>
        </w:rPr>
        <w:t xml:space="preserve">Jean-Baptiste Djebbari</w:t>
      </w:r>
    </w:p>
    <w:p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C0"/>
    <w:rsid w:val="004044CB"/>
    <w:rsid w:val="00440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2021-08-20T12:39:00Z</dcterms:created>
  <dcterms:modified xsi:type="dcterms:W3CDTF">2021-08-20T12:40:00Z</dcterms:modified>
</cp:coreProperties>
</file>