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F657" w14:textId="77777777"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Decreto n.º 2019-1114 de 30 de outubro de 2019 que implementa o artigo L. 34-9-2 do Código dos Correios e das Comunicações Eletrónicas</w:t>
      </w:r>
    </w:p>
    <w:p w14:paraId="5ACB2545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Público-alvo: pilotos remotos de aeronaves não tripuladas com peso superior a 800 gramas, fabricantes de aeronaves não tripuladas.</w:t>
      </w:r>
      <w:r>
        <w:rPr>
          <w:rFonts w:ascii="Times New Roman" w:hAnsi="Times New Roman"/>
          <w:color w:val="000000"/>
          <w:sz w:val="27"/>
        </w:rPr>
        <w:br/>
        <w:t>Objeto: objetivos dos dispositivos e luzes de sinalização eletrónicos ou digitais com os quais as aeronaves não tripuladas devem ser equipadas.</w:t>
      </w:r>
      <w:r>
        <w:rPr>
          <w:rFonts w:ascii="Times New Roman" w:hAnsi="Times New Roman"/>
          <w:color w:val="000000"/>
          <w:sz w:val="27"/>
        </w:rPr>
        <w:br/>
        <w:t>Entrada em vigor: o decreto entra em vigor seis meses após a sua publicação, com exceção do disposto nos artigos R. 20-29-7 e R. 20-29-8 do Código das Comunicações Postais e Eletrónicas e do ponto 14 do artigo R. 48-1 do Código Penal, por um lado, e das disposições do Decreto relativo às aeronaves não tripuladas registadas nos termos do artigo L. 6111-1 do Código dos Transportes antes dessa data, por outro, que entram em vigor 12 meses após a sua publicação.</w:t>
      </w:r>
      <w:r>
        <w:rPr>
          <w:rFonts w:ascii="Times New Roman" w:hAnsi="Times New Roman"/>
          <w:color w:val="000000"/>
          <w:sz w:val="27"/>
        </w:rPr>
        <w:br/>
        <w:t>Aviso: nos termos do artigo L. 34-9-2 do Código dos Correios e das Comunicações Eletrónicas, com a redação que lhe foi dada pela Lei n.º 2016-1428, de 24 de outubro de 2016, relativa ao reforço da segurança da utilização de drones civis, aeronaves não tripuladas (exceto aeronaves governamentais), cujo peso excede o limiar fixado por lei, devem estar equipados com um dispositivo de sinalização e luzes de sinalização eletrónicos ou digitais. O decreto estabelece os objetivos destes dispositivos, bem como as condições de isenção das obrigações de notificação e o regime de sanções aplicável. Fixa o limiar de peso a partir do qual as aeronaves ficam sujeitas a estas disposições em 800 gramas.</w:t>
      </w:r>
      <w:r>
        <w:rPr>
          <w:rFonts w:ascii="Times New Roman" w:hAnsi="Times New Roman"/>
          <w:color w:val="000000"/>
          <w:sz w:val="27"/>
        </w:rPr>
        <w:br/>
        <w:t>Referências: o decreto é emitido para a aplicação do artigo 4.º, ponto I, da Lei n.º 2016-1428, de 24 de outubro de 2016, relativa ao reforço da segurança da utilização de drones civis. O Código dos Correios e das Comunicações Eletrónicas pode ser consultado, na sua versão resultante desta alteração, no sítio Légifrance (http://www.legifrance.gouv.fr).</w:t>
      </w:r>
    </w:p>
    <w:p w14:paraId="3E61B4B6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primeiro-ministro,</w:t>
      </w:r>
      <w:r>
        <w:rPr>
          <w:rFonts w:ascii="Times New Roman" w:hAnsi="Times New Roman"/>
          <w:color w:val="000000"/>
          <w:sz w:val="27"/>
        </w:rPr>
        <w:br/>
        <w:t>Relativamente ao relatório do ministro da Economia e das Finanças,</w:t>
      </w:r>
      <w:r>
        <w:rPr>
          <w:rFonts w:ascii="Times New Roman" w:hAnsi="Times New Roman"/>
          <w:color w:val="000000"/>
          <w:sz w:val="27"/>
        </w:rPr>
        <w:br/>
        <w:t>Tendo em conta a Diretiva (UE) 2015/1535 do Parlamento Europeu e do Conselho, de 9 de setembro de 2015, relativa a um procedimento de informação no domínio das regulamentações técnicas e das regras relativas aos serviços da sociedade da informação e, nomeadamente, a notificação n.º 2018/169/F e n.º 2018/168/F,</w:t>
      </w:r>
      <w:r>
        <w:rPr>
          <w:rFonts w:ascii="Times New Roman" w:hAnsi="Times New Roman"/>
          <w:color w:val="000000"/>
          <w:sz w:val="27"/>
        </w:rPr>
        <w:br/>
        <w:t xml:space="preserve">Tendo em conta o Regulamento (UE) 2018/1139 do Parlamento Europeu e do Conselho, de 4 de julho de 2018, relativo a regras comuns no domínio da aviação civil que cria a Agência da União Europeia para a Segurança da Aviação, e que altera os Regulamentos (CE) n.º 2111/2005, (CE) n.º 1008/2008, (UE) n.º 996/2010 e (UE) n.º 376/2014 e as Diretivas 2014/30/UE e 2014/53/UE do Parlamento Europeu e do Conselho, e revoga os Regulamentos (CE) n.º 552/2004 e (CE) n.º 216/2008 do Parlamento Europeu e do Conselho e o Regulamento (CEE) n.º </w:t>
      </w:r>
      <w:r>
        <w:rPr>
          <w:rFonts w:ascii="Times New Roman" w:hAnsi="Times New Roman"/>
          <w:color w:val="000000"/>
          <w:sz w:val="27"/>
        </w:rPr>
        <w:lastRenderedPageBreak/>
        <w:t>3922/91 do Conselho;</w:t>
      </w:r>
      <w:r>
        <w:rPr>
          <w:rFonts w:ascii="Times New Roman" w:hAnsi="Times New Roman"/>
          <w:color w:val="000000"/>
          <w:sz w:val="27"/>
        </w:rPr>
        <w:br/>
        <w:t>Tendo em conta o Regulamento Delegado (UE) 2019/945 da Comissão, de 12 de março de 2019, relativo às aeronaves não tripuladas e aos operadores de países terceiros de sistemas de aeronaves não tripuladas, nomeadamente o artigo 5.º;</w:t>
      </w:r>
      <w:r>
        <w:rPr>
          <w:rFonts w:ascii="Times New Roman" w:hAnsi="Times New Roman"/>
          <w:color w:val="000000"/>
          <w:sz w:val="27"/>
        </w:rPr>
        <w:br/>
        <w:t>Tendo em conta o Código da Aviação Civil, nomeadamente os artigos R. 124-2 e D. 510-3;</w:t>
      </w:r>
      <w:r>
        <w:rPr>
          <w:rFonts w:ascii="Times New Roman" w:hAnsi="Times New Roman"/>
          <w:color w:val="000000"/>
          <w:sz w:val="27"/>
        </w:rPr>
        <w:br/>
        <w:t>Tendo em conta o Código Penal, nomeadamente o artigo R. 610-1;</w:t>
      </w:r>
      <w:r>
        <w:rPr>
          <w:rFonts w:ascii="Times New Roman" w:hAnsi="Times New Roman"/>
          <w:color w:val="000000"/>
          <w:sz w:val="27"/>
        </w:rPr>
        <w:br/>
        <w:t>Tendo em conta o Código Penal, nomeadamente o artigo R. 48-1;</w:t>
      </w:r>
      <w:r>
        <w:rPr>
          <w:rFonts w:ascii="Times New Roman" w:hAnsi="Times New Roman"/>
          <w:color w:val="000000"/>
          <w:sz w:val="27"/>
        </w:rPr>
        <w:br/>
        <w:t>Tendo em conta o Código dos Correios e das Comunicações Eletrónicas, nomeadamente o artigo L. 34-9-2;</w:t>
      </w:r>
      <w:r>
        <w:rPr>
          <w:rFonts w:ascii="Times New Roman" w:hAnsi="Times New Roman"/>
          <w:color w:val="000000"/>
          <w:sz w:val="27"/>
        </w:rPr>
        <w:br/>
        <w:t>Tendo em conta o Código da Segurança Interna, nomeadamente o Título V do Livro VIII;</w:t>
      </w:r>
      <w:r>
        <w:rPr>
          <w:rFonts w:ascii="Times New Roman" w:hAnsi="Times New Roman"/>
          <w:color w:val="000000"/>
          <w:sz w:val="27"/>
        </w:rPr>
        <w:br/>
        <w:t>Tendo em conta o Código do Desporto, nomeadamente o artigo L. 131-8;</w:t>
      </w:r>
      <w:r>
        <w:rPr>
          <w:rFonts w:ascii="Times New Roman" w:hAnsi="Times New Roman"/>
          <w:color w:val="000000"/>
          <w:sz w:val="27"/>
        </w:rPr>
        <w:br/>
        <w:t>Tendo em conta o Código dos Transportes, nomeadamente os artigos L. 6100-1 e L. 6111-1;</w:t>
      </w:r>
      <w:r>
        <w:rPr>
          <w:rFonts w:ascii="Times New Roman" w:hAnsi="Times New Roman"/>
          <w:color w:val="000000"/>
          <w:sz w:val="27"/>
        </w:rPr>
        <w:br/>
        <w:t>Após ouvir o Conselho de Estado (Secção de Obras Públicas),</w:t>
      </w:r>
      <w:r>
        <w:rPr>
          <w:rFonts w:ascii="Times New Roman" w:hAnsi="Times New Roman"/>
          <w:color w:val="000000"/>
          <w:sz w:val="27"/>
        </w:rPr>
        <w:br/>
        <w:t>por decretos:</w:t>
      </w:r>
    </w:p>
    <w:p w14:paraId="455E927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Artigo 1.º</w:t>
      </w:r>
    </w:p>
    <w:p w14:paraId="5826C69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 secção 5 do capítulo II do título I do livro II da parte regulamentar (Decretos em Conselho de Estado) do Código dos Correios e das Comunicações Eletrónicas é completada por uma subsecção 10 do seguinte modo:</w:t>
      </w:r>
    </w:p>
    <w:p w14:paraId="629D480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«Subsecção 10</w:t>
      </w:r>
      <w:r>
        <w:rPr>
          <w:rFonts w:ascii="Times New Roman" w:hAnsi="Times New Roman"/>
          <w:color w:val="000000"/>
          <w:sz w:val="27"/>
        </w:rPr>
        <w:br/>
        <w:t>Disposições relativas às aeronaves não tripuladas</w:t>
      </w:r>
    </w:p>
    <w:p w14:paraId="46E0FEB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20-29-1.-Sem prejuízo da regulamentação da União Europeia aplicável às aeronaves não tripuladas no que diz respeito à segurança da aviação, as disposições da presente subsecção aplicam-se a essas aeronaves para fins de segurança pública.</w:t>
      </w:r>
    </w:p>
    <w:p w14:paraId="4098D24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20-29-2.-O objetivo do dispositivo de sinalização eletrónica ou digital previsto no primeiro parágrafo do artigo L. 34-9-2 é detetar o voo de aeronaves não tripuladas cuja massa exceda o limiar referido no artigo D. 103 e permitir a leitura do seu número de identificação.</w:t>
      </w:r>
      <w:r>
        <w:rPr>
          <w:rFonts w:ascii="Times New Roman" w:hAnsi="Times New Roman"/>
          <w:color w:val="000000"/>
          <w:sz w:val="27"/>
        </w:rPr>
        <w:br/>
        <w:t xml:space="preserve">Com o único objetivo de prevenir ataques à segurança, defesa ou segurança pública do Estado e de prevenir, investigar, detetar ou processar infrações penais, as informações transmitidas por este dispositivo podem ser utilizadas pelos serviços estatais que contribuem para a segurança interna e a defesa </w:t>
      </w:r>
      <w:r>
        <w:rPr>
          <w:rFonts w:ascii="Times New Roman" w:hAnsi="Times New Roman"/>
          <w:color w:val="000000"/>
          <w:sz w:val="27"/>
        </w:rPr>
        <w:lastRenderedPageBreak/>
        <w:t>nacional, a fim de permitir a identificação dos proprietários de aeronaves não tripuladas e dos respetivos utilizadores.</w:t>
      </w:r>
    </w:p>
    <w:p w14:paraId="41C8BEA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20-29-3.-O objetivo do dispositivo de sinalização luminosa previsto no primeiro parágrafo do artigo L. 34-9-2 é localizar mais facilmente, em voo noturno, aeronaves não tripuladas com uma massa superior ao limiar referido no artigo D. 103 e distingui-las das outras aeronaves.</w:t>
      </w:r>
    </w:p>
    <w:p w14:paraId="4D47992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20-29-4.-Um despacho conjunto do Ministro do Interior e do Ministro das Comunicações Eletrónicas especifica as características técnicas do dispositivo de sinalização eletrónica ou digital, a natureza e o formato das informações transmitidas e as características técnicas do dispositivo de sinalização.</w:t>
      </w:r>
    </w:p>
    <w:p w14:paraId="4ECAA69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20-29-5.-Aeronaves não tripuladas estão isentas da obrigação de estar equipadas com um dispositivo de sinalização eletrónico ou digital:</w:t>
      </w:r>
      <w:r>
        <w:rPr>
          <w:rFonts w:ascii="Times New Roman" w:hAnsi="Times New Roman"/>
          <w:color w:val="000000"/>
          <w:sz w:val="27"/>
        </w:rPr>
        <w:br/>
        <w:t>1) Quando utilizado para fins de lazer e remotamente pilotado por um piloto à distância que seja membro de uma associação afiliada à federação reconhecida a nível nacional para a modelagem aeronáutica referida no artigo D. 510-3 do Código da Aviação Civil, ou a uma federação multidesportiva que inclua a modalidade aeronáutica aprovada pelo Ministro responsável pelo desporto nos termos do artigo L. 131-8 do Código do Desporto numa área de atividade estabelecida por decreto como conferindo o direito a esta isenção e publicada pelo canal de informação aeronáutica;</w:t>
      </w:r>
      <w:r>
        <w:rPr>
          <w:rFonts w:ascii="Times New Roman" w:hAnsi="Times New Roman"/>
          <w:color w:val="000000"/>
          <w:sz w:val="27"/>
        </w:rPr>
        <w:br/>
        <w:t>2) Quando usado em espaços fechados e cobertos;</w:t>
      </w:r>
      <w:r>
        <w:rPr>
          <w:rFonts w:ascii="Times New Roman" w:hAnsi="Times New Roman"/>
          <w:color w:val="000000"/>
          <w:sz w:val="27"/>
        </w:rPr>
        <w:br/>
        <w:t>3) Quando se enquadram nas categorias de aeronaves referidas no segundo parágrafo do artigo L. 6100-1 do Código dos Transportes, sem prejuízo das disposições aplicáveis às aeronaves militares e governamentais e às aeronaves utilizadas pelos serviços aduaneiros ou de segurança pública e de segurança civil;</w:t>
      </w:r>
      <w:r>
        <w:rPr>
          <w:rFonts w:ascii="Times New Roman" w:hAnsi="Times New Roman"/>
          <w:color w:val="000000"/>
          <w:sz w:val="27"/>
        </w:rPr>
        <w:br/>
        <w:t>4) Quando não pertençam às categorias de aeronaves referidas no segundo parágrafo do artigo L. 6100-1 do Código dos Transportes, mas sejam utilizadas em missões aduaneiras, policiais ou de segurança civil ou na aplicação de uma técnica referida no Título V do Livro VIII do Código da Segurança Interna;</w:t>
      </w:r>
      <w:r>
        <w:rPr>
          <w:rFonts w:ascii="Times New Roman" w:hAnsi="Times New Roman"/>
          <w:color w:val="000000"/>
          <w:sz w:val="27"/>
        </w:rPr>
        <w:br/>
        <w:t>5) Quando são transportados ou rebocados da superfície do solo ou da água.</w:t>
      </w:r>
    </w:p>
    <w:p w14:paraId="4F659E4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20-29-6.-Aeronaves não tripuladas estão isentas da obrigação de serem equipadas com um dispositivo de sinalização luminosa:</w:t>
      </w:r>
      <w:r>
        <w:rPr>
          <w:rFonts w:ascii="Times New Roman" w:hAnsi="Times New Roman"/>
          <w:color w:val="000000"/>
          <w:sz w:val="27"/>
        </w:rPr>
        <w:br/>
        <w:t>1) Nos casos referidos nos pontos 1 a 5 do artigo R. 20-29-5;</w:t>
      </w:r>
      <w:r>
        <w:rPr>
          <w:rFonts w:ascii="Times New Roman" w:hAnsi="Times New Roman"/>
          <w:color w:val="000000"/>
          <w:sz w:val="27"/>
        </w:rPr>
        <w:br/>
        <w:t>2) Ao voar entre o nascer do sol e o pôr do sol;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lastRenderedPageBreak/>
        <w:t>3) Ao realizar voos experimentais para fins de teste ou inspeção nas condições definidas pelo ministro responsável pela aviação civil.</w:t>
      </w:r>
    </w:p>
    <w:p w14:paraId="08762F8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20-29-7.-É punido com a coima indicada para as infrações de classe 4:</w:t>
      </w:r>
      <w:r>
        <w:rPr>
          <w:rFonts w:ascii="Times New Roman" w:hAnsi="Times New Roman"/>
          <w:color w:val="000000"/>
          <w:sz w:val="27"/>
        </w:rPr>
        <w:br/>
        <w:t>1) A operação de aeronaves não tripuladas na ausência de um dispositivo de sinalização eletrónico ou digital referido no artigo L. 34-9-2, primeiro número, ou na ausência de um dispositivo de sinalização eletrónico ou digital funcional;</w:t>
      </w:r>
      <w:r>
        <w:rPr>
          <w:rFonts w:ascii="Times New Roman" w:hAnsi="Times New Roman"/>
          <w:color w:val="000000"/>
          <w:sz w:val="27"/>
        </w:rPr>
        <w:br/>
        <w:t>2) A operação de aeronaves não tripuladas na ausência de um dispositivo de sinalização luminosa referido no primeiro parágrafo do artigo L. 34-9-2 ou na ausência de um dispositivo de sinalização luminosa funcional.</w:t>
      </w:r>
      <w:r>
        <w:rPr>
          <w:rFonts w:ascii="Times New Roman" w:hAnsi="Times New Roman"/>
          <w:color w:val="000000"/>
          <w:sz w:val="27"/>
        </w:rPr>
        <w:br/>
        <w:t>O proprietário de uma aeronave não tripulada é responsável pelo pagamento da coima pelas infrações referidas nos n.os 1 e 2, salvo se demonstrar a existência de um voo ou de qualquer outro caso de força maior ou fornecer todos os elementos de prova que demonstrem que não são o verdadeiro autor da infração.</w:t>
      </w:r>
    </w:p>
    <w:p w14:paraId="390A6C84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20-29-8.-A emissão voluntária de um sinal eletrónico ou digital a que se refere o primeiro parágrafo do artigo L. 34-9-2 é punível com a coima prevista para as infrações da classe 5, que não provenham de aeronaves não tripuladas registadas no registo referido no artigo R. 124-2 do Código da Aviação Civil ou que não correspondam a um voo efetivo, em curso no momento da emissão do sinal eletrónico ou digital.</w:t>
      </w:r>
    </w:p>
    <w:p w14:paraId="5FF1E44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20-29-9.- Qualquer pessoa culpada pelas infrações referidas nos artigos R. 20-29-7 e R. 20-29-8 é igualmente responsável pela pena adicional de perda do objeto utilizado para cometer a infração.</w:t>
      </w:r>
    </w:p>
    <w:p w14:paraId="5DD09B2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R. 20-29-10.-Os artigos R. 20-29-1 a R. 20-29-9 são aplicáveis nas Ilhas Wallis e Futuna, na Polinésia Francesa e nos territórios austrais e antárticos franceses.»</w:t>
      </w:r>
    </w:p>
    <w:p w14:paraId="26DD8CC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Artigo 2.º</w:t>
      </w:r>
    </w:p>
    <w:p w14:paraId="1C6D6A3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artigo R. 48-1 do Código Penal é completado por um número com a seguinte redação:</w:t>
      </w:r>
      <w:r>
        <w:rPr>
          <w:rFonts w:ascii="Times New Roman" w:hAnsi="Times New Roman"/>
          <w:color w:val="000000"/>
          <w:sz w:val="27"/>
        </w:rPr>
        <w:br/>
        <w:t>«14) Contravenções puníveis nos termos do artigo R. 20-29-7 do Código dos Correios e das Comunicações Eletrónicas».</w:t>
      </w:r>
    </w:p>
    <w:p w14:paraId="2C903F88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Artigo 3.º</w:t>
      </w:r>
    </w:p>
    <w:p w14:paraId="34E21AC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O livro II, título I, capítulo II, da parte regulamentar (decretos simples) do Código dos Correios e das Comunicações Eletrónicas é complementado por uma secção 6, com a seguinte redação:</w:t>
      </w:r>
    </w:p>
    <w:p w14:paraId="612AEE8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«Secção 6</w:t>
      </w:r>
      <w:r>
        <w:rPr>
          <w:rFonts w:ascii="Times New Roman" w:hAnsi="Times New Roman"/>
          <w:color w:val="000000"/>
          <w:sz w:val="27"/>
        </w:rPr>
        <w:br/>
        <w:t>Equipamentos terminais de comunicações eletrónicas e equipamentos de rádio</w:t>
      </w:r>
    </w:p>
    <w:p w14:paraId="470CC85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D. 103.- O limite de massa mencionado nos artigos L. 34-9-2, R. 20-29-2 e R. 20-29-3 é fixado em 800 gramas.</w:t>
      </w:r>
    </w:p>
    <w:p w14:paraId="506FA18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Artigo D. 103-1: As disposições do artigo D. 103 são aplicáveis nas ilhas Wallis e Futuna, na Polinésia Francesa e nos territórios austrais e antárticos franceses».</w:t>
      </w:r>
    </w:p>
    <w:p w14:paraId="6593A628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Artigo 4.º</w:t>
      </w:r>
    </w:p>
    <w:p w14:paraId="6C5A33A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presente decreto entra em vigor seis meses após a sua publicação.</w:t>
      </w:r>
      <w:r>
        <w:rPr>
          <w:rFonts w:ascii="Times New Roman" w:hAnsi="Times New Roman"/>
          <w:color w:val="000000"/>
          <w:sz w:val="27"/>
        </w:rPr>
        <w:br/>
        <w:t>No entanto, doze meses após a publicação do presente decreto entrarão em vigor:</w:t>
      </w:r>
      <w:r>
        <w:rPr>
          <w:rFonts w:ascii="Times New Roman" w:hAnsi="Times New Roman"/>
          <w:color w:val="000000"/>
          <w:sz w:val="27"/>
        </w:rPr>
        <w:br/>
        <w:t>1) As disposições do presente decreto para as aeronaves que operem sem uma pessoa registada a bordo nos termos da secção L. 6111-1 do Código dos Transportes antes da data de entrada em vigor referida no primeiro parágrafo;</w:t>
      </w:r>
      <w:r>
        <w:rPr>
          <w:rFonts w:ascii="Times New Roman" w:hAnsi="Times New Roman"/>
          <w:color w:val="000000"/>
          <w:sz w:val="27"/>
        </w:rPr>
        <w:br/>
        <w:t>2) As disposições dos artigos R. 20-29-7 e R. 20-29-8 do Código dos Correios e das Comunicações Eletrónicas e do ponto 14 do artigo R. 48-1 do Código Penal.</w:t>
      </w:r>
      <w:r>
        <w:rPr>
          <w:rFonts w:ascii="Times New Roman" w:hAnsi="Times New Roman"/>
          <w:color w:val="000000"/>
          <w:sz w:val="27"/>
        </w:rPr>
        <w:br/>
        <w:t>As disposições do presente Artigo são aplicáveis na Ilhas de Wallis e Futuna, na Polinésia Francesa, e nos territórios austrais e antárticos franceses.</w:t>
      </w:r>
    </w:p>
    <w:p w14:paraId="5B7BA54B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Artigo 5.º</w:t>
      </w:r>
    </w:p>
    <w:p w14:paraId="3181073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Guardião dos Selos, a Ministra da Justiça, a Ministra da Transição Ecológica e Inclusiva, o Ministro da Economia e das Finanças, o Ministro do Interior, o Ministro dos Assuntos Ultramarinos e o Secretário de Estado junto do Ministro da Transição Ecológica e Inclusiva, responsável pelos Transportes, são responsáveis, no que lhes diz respeito, pela aplicação do presente decreto, que será publicado no Jornal Oficial da República Francesa.</w:t>
      </w:r>
    </w:p>
    <w:p w14:paraId="3DFD8737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Feito em 30 de outubro de 2019.</w:t>
      </w:r>
    </w:p>
    <w:p w14:paraId="42392D76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Edouard Philippe</w:t>
      </w:r>
      <w:r>
        <w:rPr>
          <w:rFonts w:ascii="Times New Roman" w:hAnsi="Times New Roman"/>
          <w:color w:val="000000"/>
          <w:sz w:val="27"/>
        </w:rPr>
        <w:br/>
        <w:t>Pelo primeiro-ministro:</w:t>
      </w:r>
    </w:p>
    <w:p w14:paraId="2691D199" w14:textId="70818E14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ministro da Economia e das Finanças,</w:t>
      </w:r>
      <w:r>
        <w:rPr>
          <w:rFonts w:ascii="Times New Roman" w:hAnsi="Times New Roman"/>
          <w:color w:val="000000"/>
          <w:sz w:val="27"/>
        </w:rPr>
        <w:br/>
      </w:r>
      <w:r w:rsidR="00FD07C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Bruno Le Maire</w:t>
      </w:r>
    </w:p>
    <w:p w14:paraId="4322AA3B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Guardião dos Selos, a Ministra da Justiça,</w:t>
      </w:r>
      <w:r>
        <w:rPr>
          <w:rFonts w:ascii="Times New Roman" w:hAnsi="Times New Roman"/>
          <w:color w:val="000000"/>
          <w:sz w:val="27"/>
        </w:rPr>
        <w:br/>
        <w:t>Nicole Belloubet</w:t>
      </w:r>
    </w:p>
    <w:p w14:paraId="23E9767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 Ministra da Transição Ecológica e Inclusiva,</w:t>
      </w:r>
      <w:r>
        <w:rPr>
          <w:rFonts w:ascii="Times New Roman" w:hAnsi="Times New Roman"/>
          <w:color w:val="000000"/>
          <w:sz w:val="27"/>
        </w:rPr>
        <w:br/>
        <w:t>Elisabeth Borne</w:t>
      </w:r>
    </w:p>
    <w:p w14:paraId="4E73B08A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Ministro do Interior,</w:t>
      </w:r>
      <w:r>
        <w:rPr>
          <w:rFonts w:ascii="Times New Roman" w:hAnsi="Times New Roman"/>
          <w:color w:val="000000"/>
          <w:sz w:val="27"/>
        </w:rPr>
        <w:br/>
        <w:t>Christophe Castaner</w:t>
      </w:r>
    </w:p>
    <w:p w14:paraId="47488622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Ministro dos Assuntos Ultramarinos,</w:t>
      </w:r>
      <w:r>
        <w:rPr>
          <w:rFonts w:ascii="Times New Roman" w:hAnsi="Times New Roman"/>
          <w:color w:val="000000"/>
          <w:sz w:val="27"/>
        </w:rPr>
        <w:br/>
        <w:t>Annick Girardin</w:t>
      </w:r>
    </w:p>
    <w:p w14:paraId="444EA4B0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 Secretário de Estado junto do Ministro da Transição Ecológica e Inclusiva, responsável pelos Transportes,</w:t>
      </w:r>
      <w:r>
        <w:rPr>
          <w:rFonts w:ascii="Times New Roman" w:hAnsi="Times New Roman"/>
          <w:color w:val="000000"/>
          <w:sz w:val="27"/>
        </w:rPr>
        <w:br/>
        <w:t>Jean-Baptiste Djebbari</w:t>
      </w:r>
    </w:p>
    <w:p w14:paraId="1810C1B7" w14:textId="77777777"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C0"/>
    <w:rsid w:val="004044CB"/>
    <w:rsid w:val="004407C0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70B9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2021-08-20T12:39:00Z</dcterms:created>
  <dcterms:modified xsi:type="dcterms:W3CDTF">2021-12-13T11:16:00Z</dcterms:modified>
</cp:coreProperties>
</file>