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8E94"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Dekret nr 2019-1114 av den 30 oktober 2019 om införande av artikel L. 34-9-2 i lagen om postväsendet och elektroniska kommunikationer</w:t>
      </w:r>
    </w:p>
    <w:p w14:paraId="19B09810"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Målgrupp: fjärrpiloter av obemannade luftfartyg som väger mer än 800 gram, tillverkare av obemannade luftfartyg.</w:t>
      </w:r>
      <w:r>
        <w:rPr>
          <w:rFonts w:ascii="Times New Roman" w:hAnsi="Times New Roman"/>
          <w:color w:val="000000"/>
          <w:sz w:val="27"/>
        </w:rPr>
        <w:br/>
        <w:t>Ärende: målen för de elektroniska eller digitala signalanordningar och lampor som obemannade luftfartyg måste utrustas med.</w:t>
      </w:r>
      <w:r>
        <w:rPr>
          <w:rFonts w:ascii="Times New Roman" w:hAnsi="Times New Roman"/>
          <w:color w:val="000000"/>
          <w:sz w:val="27"/>
        </w:rPr>
        <w:br/>
        <w:t>Ikraftträdande: dekretet träder i kraft sex månader efter offentliggörandet, med undantag för bestämmelserna i R. 20–29–7 och R. 20–29–8 i lagen om postväsende och elektronisk kommunikation och R. 48–1 § 14 i strafflagen, å ena sidan, och bestämmelserna i dekretet om obemannade luftfartyg som registrerats enligt artikel L. 6111–1 i transportlagen före detta datum, å andra sidan, vilka träder i kraft tolv månader efter offentliggörandet.</w:t>
      </w:r>
      <w:r>
        <w:rPr>
          <w:rFonts w:ascii="Times New Roman" w:hAnsi="Times New Roman"/>
          <w:color w:val="000000"/>
          <w:sz w:val="27"/>
        </w:rPr>
        <w:br/>
        <w:t>Meddelande: enligt artikel L. 34–9-2 i lagen om postväsende och elektronisk kommunikation, i dess lydelse enligt lag nr 2016–1428 av den 24 oktober 2016 om förstärkning av säkerheten vid användning av civila drönare, ska obemannade luftfartyg (andra än statliga luftfartyg), vars vikt överstiger den lagstadgade tröskeln, vara utrustade med en elektronisk eller digital signalanordning och signalljus. I förordningen fastställs syftena med dessa anordningar, villkoren för undantag från rapporteringsskyldigheten och det tillämpliga sanktionssystemet. I förordningen fastställs den viktgräns över vilken luftfartyg ska omfattas av dessa bestämmelser till 800 gram.</w:t>
      </w:r>
      <w:r>
        <w:rPr>
          <w:rFonts w:ascii="Times New Roman" w:hAnsi="Times New Roman"/>
          <w:color w:val="000000"/>
          <w:sz w:val="27"/>
        </w:rPr>
        <w:br/>
        <w:t>Referenser: dekretet utfärdas för genomförandet av artikel 4.1 i lag nr 2016–1428 av den 24 oktober 2016 om förstärkning av säkerheten vid användning av civila drönare. Lagen för postväsende och elektronisk kommunikation finns, i den version som följer av denna ändring, på Légifrances webbplats (http://www.legifrance.gouv.fr).</w:t>
      </w:r>
    </w:p>
    <w:p w14:paraId="26C65E8D"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Premiärministern har antagit denna förordning</w:t>
      </w:r>
      <w:r>
        <w:rPr>
          <w:rFonts w:ascii="Times New Roman" w:hAnsi="Times New Roman"/>
          <w:color w:val="000000"/>
          <w:sz w:val="27"/>
        </w:rPr>
        <w:br/>
        <w:t>på grundval av rapporten från ekonomi- och finansministern,</w:t>
      </w:r>
      <w:r>
        <w:rPr>
          <w:rFonts w:ascii="Times New Roman" w:hAnsi="Times New Roman"/>
          <w:color w:val="000000"/>
          <w:sz w:val="27"/>
        </w:rPr>
        <w:br/>
        <w:t>med beaktande av Europaparlamentets och rådets direktiv (EU) 2015/1535 av den 9 september 2015 om ett informationsförfarande beträffande tekniska standarder och föreskrifter och beträffande föreskrifter för informationssamhällets tjänster, särskilt anmälan nr 2018/169/F och nr 2018/168/F,</w:t>
      </w:r>
      <w:r>
        <w:rPr>
          <w:rFonts w:ascii="Times New Roman" w:hAnsi="Times New Roman"/>
          <w:color w:val="000000"/>
          <w:sz w:val="27"/>
        </w:rPr>
        <w:br/>
        <w:t xml:space="preserve">med beaktande av Europaparlamentets och rådets förordning (EU) 2018/1139 av den 4 juli 2018 om fastställande av gemensamma bestämmelser på det civila luftfartsområdet och inrättande av Europeiska unionens byrå för luftfartssäkerhet, och om ändring av Europaparlamentets och rådets förordningar (EG) nr. 2111/2005, (EG) nr. 1008/2008, (EU) nr. 996/2010, (EU) nr. 376/2014 och direktiv 2014/30/EU och 2014/53/EU samt om upphävande av Europaparlamentets och rådets förordningar (EG) nr. 552/2004 och (EG) nr. 216/2008 och rådets förordning </w:t>
      </w:r>
      <w:r>
        <w:rPr>
          <w:rFonts w:ascii="Times New Roman" w:hAnsi="Times New Roman"/>
          <w:color w:val="000000"/>
          <w:sz w:val="27"/>
        </w:rPr>
        <w:lastRenderedPageBreak/>
        <w:t>(EEG) nr. 3922/91,</w:t>
      </w:r>
      <w:r>
        <w:rPr>
          <w:rFonts w:ascii="Times New Roman" w:hAnsi="Times New Roman"/>
          <w:color w:val="000000"/>
          <w:sz w:val="27"/>
        </w:rPr>
        <w:br/>
        <w:t>med beaktande av kommissionens delegerade förordning (EU) 2019/945 av den 12 mars 2019 om obemannade luftfartygssystem och om tredjelandsoperatörer av obemannade luftfartygssystem, särskilt artikel 5,</w:t>
      </w:r>
      <w:r>
        <w:rPr>
          <w:rFonts w:ascii="Times New Roman" w:hAnsi="Times New Roman"/>
          <w:color w:val="000000"/>
          <w:sz w:val="27"/>
        </w:rPr>
        <w:br/>
        <w:t>med beaktande av lagen om civil luftfart, särskilt artiklarna R. 124–2 och D. 510–3,</w:t>
      </w:r>
      <w:r>
        <w:rPr>
          <w:rFonts w:ascii="Times New Roman" w:hAnsi="Times New Roman"/>
          <w:color w:val="000000"/>
          <w:sz w:val="27"/>
        </w:rPr>
        <w:br/>
        <w:t>med beaktande av strafflagen, särskilt artikel R. 610–1,</w:t>
      </w:r>
      <w:r>
        <w:rPr>
          <w:rFonts w:ascii="Times New Roman" w:hAnsi="Times New Roman"/>
          <w:color w:val="000000"/>
          <w:sz w:val="27"/>
        </w:rPr>
        <w:br/>
        <w:t>med beaktande av strafflagen, särskilt artikel R. 48–1,</w:t>
      </w:r>
      <w:r>
        <w:rPr>
          <w:rFonts w:ascii="Times New Roman" w:hAnsi="Times New Roman"/>
          <w:color w:val="000000"/>
          <w:sz w:val="27"/>
        </w:rPr>
        <w:br/>
        <w:t>med beaktande av lagen om postväsendet och elektroniska kommunikationer (code des postes et des communications électroniques), särskilt artikel L. 34-9-2,</w:t>
      </w:r>
      <w:r>
        <w:rPr>
          <w:rFonts w:ascii="Times New Roman" w:hAnsi="Times New Roman"/>
          <w:color w:val="000000"/>
          <w:sz w:val="27"/>
        </w:rPr>
        <w:br/>
        <w:t>med beaktande av lagen om inrikes säkerhet, särskilt kapitel VIII, avdelning V,</w:t>
      </w:r>
      <w:r>
        <w:rPr>
          <w:rFonts w:ascii="Times New Roman" w:hAnsi="Times New Roman"/>
          <w:color w:val="000000"/>
          <w:sz w:val="27"/>
        </w:rPr>
        <w:br/>
        <w:t>med beaktande av lagen om idrott, särskilt artikel L. 131–8,</w:t>
      </w:r>
      <w:r>
        <w:rPr>
          <w:rFonts w:ascii="Times New Roman" w:hAnsi="Times New Roman"/>
          <w:color w:val="000000"/>
          <w:sz w:val="27"/>
        </w:rPr>
        <w:br/>
        <w:t>med beaktande av transportlagen, särskilt artiklarna L. 6100–1 och L. 6111–1,</w:t>
      </w:r>
      <w:r>
        <w:rPr>
          <w:rFonts w:ascii="Times New Roman" w:hAnsi="Times New Roman"/>
          <w:color w:val="000000"/>
          <w:sz w:val="27"/>
        </w:rPr>
        <w:br/>
        <w:t>efter att ha hört Conseil d’État (avdelningen för offentliga arbeten),</w:t>
      </w:r>
    </w:p>
    <w:p w14:paraId="23261EAB"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1</w:t>
      </w:r>
    </w:p>
    <w:p w14:paraId="087338A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Avsnitt 5 i kapitel II avdelning I i bok II i regleringsdelen (dekret i Conseil d’État) i lagen om postväsende och elektronisk kommunikation kompletteras med följande underavsnitt 10:</w:t>
      </w:r>
    </w:p>
    <w:p w14:paraId="475015E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”Underavsnitt 10</w:t>
      </w:r>
      <w:r>
        <w:rPr>
          <w:rFonts w:ascii="Times New Roman" w:hAnsi="Times New Roman"/>
          <w:color w:val="000000"/>
          <w:sz w:val="27"/>
        </w:rPr>
        <w:br/>
        <w:t>Bestämmelser om obemannade luftfartyg</w:t>
      </w:r>
    </w:p>
    <w:p w14:paraId="66665A6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 Utan att det påverkar tillämpningen av Europeiska unionens bestämmelser om obemannade luftfartyg med avseende på luftfartssäkerhet ska bestämmelserna i detta underavsnitt tillämpas på sådana luftfartyg för allmänna säkerhetsändamål.</w:t>
      </w:r>
    </w:p>
    <w:p w14:paraId="7FA7D0F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20–29–2.- Syftet med den elektroniska eller digitala signalanordning som föreskrivs i artikel L. 34–9-2 första stycket är att upptäcka flygning med obemannade luftfartyg vars massa överstiger det tröskelvärde som avses i artikel D. 103 och att göra det möjligt att läsa deras identifikationsnummer.</w:t>
      </w:r>
      <w:r>
        <w:rPr>
          <w:rFonts w:ascii="Times New Roman" w:hAnsi="Times New Roman"/>
          <w:color w:val="000000"/>
          <w:sz w:val="27"/>
        </w:rPr>
        <w:br/>
        <w:t>Endast i syfte att förhindra angrepp på statens säkerhet, försvar eller den allmänna säkerheten och för att förebygga, utreda, upptäcka eller lagföra brott får den information som överförs med hjälp av denna anordning användas av de statliga myndigheter som bidrar till den inre säkerheten och det nationella försvaret för att möjliggöra identifiering av ägare av obemannade luftfartyg och deras användare.</w:t>
      </w:r>
    </w:p>
    <w:p w14:paraId="6407F3C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Artikel R. 20–29–3.-Syftet med den ljussignalanordning som föreskrivs i </w:t>
      </w:r>
      <w:r>
        <w:rPr>
          <w:rFonts w:ascii="Times New Roman" w:hAnsi="Times New Roman"/>
          <w:color w:val="000000"/>
          <w:sz w:val="27"/>
        </w:rPr>
        <w:lastRenderedPageBreak/>
        <w:t>artikel L. 34–9-2 första stycket är att lättare lokalisera obemannade luftfartyg under flygning under mörker med en massa som överstiger det tröskelvärde som avses i artikel D. 103 och att skilja det från andra luftfartyg.</w:t>
      </w:r>
    </w:p>
    <w:p w14:paraId="20213E0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20–29–4.-En gemensam order från inrikesministern och ministern för elektronisk kommunikation ska ange den elektroniska eller digitala signalanordningens tekniska egenskaper, den överförda informationens art och format samt signalanordningens tekniska egenskaper.</w:t>
      </w:r>
    </w:p>
    <w:p w14:paraId="3654F5E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20–29–5.- Obemannade luftfartyg ska undantas från kravet på att vara utrustade med en elektronisk eller digital signalanordning</w:t>
      </w:r>
      <w:r>
        <w:rPr>
          <w:rFonts w:ascii="Times New Roman" w:hAnsi="Times New Roman"/>
          <w:color w:val="000000"/>
          <w:sz w:val="27"/>
        </w:rPr>
        <w:br/>
        <w:t>1) när de används för fritidsändamål och fjärrstyrs genom syn av en fjärrpilot som är medlem i en sammanslutning som på nationell nivå erkänts för modellflyg enligt artikel D. 510–3 i civil luftfartslagen, eller i ett multisportförbund som omfattar modellflyg som godkänts av ministern med ansvar för idrott i enlighet med artikel L. 131–8 i idrottslagen inom ett verksamhetsområde som fastställts genom dekret och som ger rätt till detta undantag och offentliggörs av flyginformationskanalen,</w:t>
      </w:r>
      <w:r>
        <w:rPr>
          <w:rFonts w:ascii="Times New Roman" w:hAnsi="Times New Roman"/>
          <w:color w:val="000000"/>
          <w:sz w:val="27"/>
        </w:rPr>
        <w:br/>
        <w:t>2) vid användning i slutna och takbelagda utrymmen,</w:t>
      </w:r>
      <w:r>
        <w:rPr>
          <w:rFonts w:ascii="Times New Roman" w:hAnsi="Times New Roman"/>
          <w:color w:val="000000"/>
          <w:sz w:val="27"/>
        </w:rPr>
        <w:br/>
        <w:t>3) om de omfattas av de luftfartygskategorier som avses i artikel L. 6100–1 andra stycket i transportlagen, utan att det påverkar tillämpningen av de bestämmelser som är tillämpliga på militära och statliga luftfartyg och luftfartyg som används av tullen eller den allmänna säkerheten och den civila säkerhetstjänsten,</w:t>
      </w:r>
      <w:r>
        <w:rPr>
          <w:rFonts w:ascii="Times New Roman" w:hAnsi="Times New Roman"/>
          <w:color w:val="000000"/>
          <w:sz w:val="27"/>
        </w:rPr>
        <w:br/>
        <w:t>4) om de inte tillhör de kategorier av luftfartyg som avses i artikel L. 6100–1 andra stycket i transportlagen, men används i samband med tull-, polis- eller civilsäkerhetsuppdrag eller vid genomförandet av en teknik som avses i avdelning V i volym VIII i lagen om inrikes säkerhet,</w:t>
      </w:r>
      <w:r>
        <w:rPr>
          <w:rFonts w:ascii="Times New Roman" w:hAnsi="Times New Roman"/>
          <w:color w:val="000000"/>
          <w:sz w:val="27"/>
        </w:rPr>
        <w:br/>
        <w:t>5) när de transporteras eller bogseras från ytan av marken eller vattnet.</w:t>
      </w:r>
    </w:p>
    <w:p w14:paraId="746B29B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20–29–6. – Obemannade luftfartyg ska undantas från kravet på att vara utrustade med en ljussignalanordning</w:t>
      </w:r>
      <w:r>
        <w:rPr>
          <w:rFonts w:ascii="Times New Roman" w:hAnsi="Times New Roman"/>
          <w:color w:val="000000"/>
          <w:sz w:val="27"/>
        </w:rPr>
        <w:br/>
        <w:t>1) i de fall som avses i punkterna 1–5 i artikel R. 20–29–5,</w:t>
      </w:r>
      <w:r>
        <w:rPr>
          <w:rFonts w:ascii="Times New Roman" w:hAnsi="Times New Roman"/>
          <w:color w:val="000000"/>
          <w:sz w:val="27"/>
        </w:rPr>
        <w:br/>
        <w:t>2) vid flygning mellan soluppgång och solnedgång,</w:t>
      </w:r>
      <w:r>
        <w:rPr>
          <w:rFonts w:ascii="Times New Roman" w:hAnsi="Times New Roman"/>
          <w:color w:val="000000"/>
          <w:sz w:val="27"/>
        </w:rPr>
        <w:br/>
        <w:t>3) vid försöksflygningar i syfte att testa eller inspektera enligt de villkor som fastställs av ministern med ansvar för civil luftfart.</w:t>
      </w:r>
    </w:p>
    <w:p w14:paraId="4E2D0AA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20–29–7.- Följande ska bestraffas med de böter som anges för överträdelser i klass 4:</w:t>
      </w:r>
      <w:r>
        <w:rPr>
          <w:rFonts w:ascii="Times New Roman" w:hAnsi="Times New Roman"/>
          <w:color w:val="000000"/>
          <w:sz w:val="27"/>
        </w:rPr>
        <w:br/>
        <w:t xml:space="preserve">1) Användning av obemannade luftfartyg i avsaknad av en elektronisk eller digital signalanordning som avses i artikel L. 34–9-2 första stycket eller i </w:t>
      </w:r>
      <w:r>
        <w:rPr>
          <w:rFonts w:ascii="Times New Roman" w:hAnsi="Times New Roman"/>
          <w:color w:val="000000"/>
          <w:sz w:val="27"/>
        </w:rPr>
        <w:lastRenderedPageBreak/>
        <w:t>avsaknad av en fungerande elektronisk eller digital signalanordning.</w:t>
      </w:r>
      <w:r>
        <w:rPr>
          <w:rFonts w:ascii="Times New Roman" w:hAnsi="Times New Roman"/>
          <w:color w:val="000000"/>
          <w:sz w:val="27"/>
        </w:rPr>
        <w:br/>
        <w:t>2) Användning av obemannade luftfartyg i avsaknad av en ljussignalanordning som avses i artikel L. 34–9-2 första stycket eller i avsaknad av en fungerande ljussignalanordning.</w:t>
      </w:r>
      <w:r>
        <w:rPr>
          <w:rFonts w:ascii="Times New Roman" w:hAnsi="Times New Roman"/>
          <w:color w:val="000000"/>
          <w:sz w:val="27"/>
        </w:rPr>
        <w:br/>
        <w:t>Ägaren till ett obemannat luftfartyg ska vara skyldig att betala böterna för de brott som avses i punkterna 1 och 2, såvida de inte visar att det föreligger en flygning eller någon annan force majeure-händelse eller lägger fram alla bevis som styrker att de inte är den verkliga gärningsmannen.</w:t>
      </w:r>
    </w:p>
    <w:p w14:paraId="30FF98F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20–29–8.- Det frivilliga utsändandet av en elektronisk eller digital signal som avses i artikel L. 34–9-2 första stycket ska vara belagt med böter som föreskrivs för överträdelser av klass 5, som inte härrör från obemannade luftfartyg som är registrerade i det register som avses i artikel R. 124–2 i civil luftfartslagen eller som inte motsvarar en faktisk flygning, som pågår vid den tidpunkt då den elektroniska eller digitala signalen utfärdas.</w:t>
      </w:r>
    </w:p>
    <w:p w14:paraId="589B265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20–29–9.- Var och en som är skyldig till de brott som avses i artiklarna R. 20–29–7 och R. 20–29–8 ska också bli föremål för ytterligare påföljd för förverkande av det föremål som använts för att begå brottet.</w:t>
      </w:r>
    </w:p>
    <w:p w14:paraId="531A10A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20–29–10.- Artiklarna R. 20–29–1–R. 20–29–9 ska tillämpas på Wallis- och Futunaöarna, Franska Polynesien och de franska sydliga och antarktiska områdena.”</w:t>
      </w:r>
    </w:p>
    <w:p w14:paraId="29FD899F"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2</w:t>
      </w:r>
    </w:p>
    <w:p w14:paraId="7E95600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48–1 i strafflagen kompletteras med en punkt med följande lydelse:</w:t>
      </w:r>
      <w:r>
        <w:rPr>
          <w:rFonts w:ascii="Times New Roman" w:hAnsi="Times New Roman"/>
          <w:color w:val="000000"/>
          <w:sz w:val="27"/>
        </w:rPr>
        <w:br/>
        <w:t>”14) Överträdelser som är straffbara enligt artikel R. 20–29–7 i lagen om postväsende och elektronisk kommunikation”.</w:t>
      </w:r>
    </w:p>
    <w:p w14:paraId="43916FB1"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3</w:t>
      </w:r>
    </w:p>
    <w:p w14:paraId="3D76A50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Kapitel II i avdelning I i bok II i den lagstiftande delen (enkla dekret) i lagen om postväsendet och elektroniska kommunikationer ska kompletteras med ett avsnitt 6 med följande lydelse:</w:t>
      </w:r>
    </w:p>
    <w:p w14:paraId="0BA6D61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”Avsnitt 6</w:t>
      </w:r>
      <w:r>
        <w:rPr>
          <w:rFonts w:ascii="Times New Roman" w:hAnsi="Times New Roman"/>
          <w:color w:val="000000"/>
          <w:sz w:val="27"/>
        </w:rPr>
        <w:br/>
        <w:t>”Elektroniska kommunikationsterminaler och radioutrustning</w:t>
      </w:r>
    </w:p>
    <w:p w14:paraId="1A6F04B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”Artikel D. 103.- Den viktgräns som anges i artiklarna L. 34-9-2, R. 20-29-2 och R. 20-29-3 fastställs till 800 g.”</w:t>
      </w:r>
    </w:p>
    <w:p w14:paraId="3013F52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D. 103-1.- Bestämmelserna i Artikel D. 103 ska gälla i Franska Polynesien, Wallis- och Futunaöarna och de franska sydliga och antarktiska områdena.</w:t>
      </w:r>
    </w:p>
    <w:p w14:paraId="08B1E1B9"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4</w:t>
      </w:r>
    </w:p>
    <w:p w14:paraId="2B2D1AE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Denna förordning träder i kraft sex månader efter det att den har offentliggjorts.</w:t>
      </w:r>
      <w:r>
        <w:rPr>
          <w:rFonts w:ascii="Times New Roman" w:hAnsi="Times New Roman"/>
          <w:color w:val="000000"/>
          <w:sz w:val="27"/>
        </w:rPr>
        <w:br/>
        <w:t>Tolv månader efter offentliggörandet av denna förordning träder dock i kraft</w:t>
      </w:r>
      <w:r>
        <w:rPr>
          <w:rFonts w:ascii="Times New Roman" w:hAnsi="Times New Roman"/>
          <w:color w:val="000000"/>
          <w:sz w:val="27"/>
        </w:rPr>
        <w:br/>
        <w:t>1) bestämmelserna i denna förordning för luftfartyg som framförs utan person ombord och som är registrerade enligt avsnitt L. 6111–1 i transportlagen före den dag för ikraftträdande som avses i första stycket,</w:t>
      </w:r>
      <w:r>
        <w:rPr>
          <w:rFonts w:ascii="Times New Roman" w:hAnsi="Times New Roman"/>
          <w:color w:val="000000"/>
          <w:sz w:val="27"/>
        </w:rPr>
        <w:br/>
        <w:t>2) bestämmelserna i artiklarna R. 20–29–7 och R. 20–29–8 i lagen om postväsende och elektronisk kommunikation och i artikel R. 48–1 punkt 14 i strafflagen.</w:t>
      </w:r>
      <w:r>
        <w:rPr>
          <w:rFonts w:ascii="Times New Roman" w:hAnsi="Times New Roman"/>
          <w:color w:val="000000"/>
          <w:sz w:val="27"/>
        </w:rPr>
        <w:br/>
        <w:t>Bestämmelserna i denna artikel ska gälla i Franska Polynesien, Wallis- och Futunaöarna och de franska sydliga och antarktiska områdena.</w:t>
      </w:r>
    </w:p>
    <w:p w14:paraId="7C6EA9B8"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5</w:t>
      </w:r>
    </w:p>
    <w:p w14:paraId="3C71FDD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Sigillbevararen, justitieministern, ministern för ekologisk och inkluderande omställning, ekonomi- och finansministern, inrikesministern, ministern för utomeuropeiska frågor och statssekreteraren till ministern för ekologisk och inkluderande omställning med ansvar för transport ansvarar för genomförandet av detta dekret, som kommer att offentliggöras i Republiken Frankrikes officiella tidning.</w:t>
      </w:r>
    </w:p>
    <w:p w14:paraId="7C230C1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Utfärdat den 30 oktober 2019.</w:t>
      </w:r>
    </w:p>
    <w:p w14:paraId="679303E0"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Edouard Phillippe</w:t>
      </w:r>
      <w:r>
        <w:rPr>
          <w:rFonts w:ascii="Times New Roman" w:hAnsi="Times New Roman"/>
          <w:color w:val="000000"/>
          <w:sz w:val="27"/>
        </w:rPr>
        <w:br/>
        <w:t>För premiärministern:</w:t>
      </w:r>
    </w:p>
    <w:p w14:paraId="0E08939A" w14:textId="35253878"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Ekonomi- och finansministern,</w:t>
      </w:r>
      <w:r>
        <w:rPr>
          <w:rFonts w:ascii="Times New Roman" w:hAnsi="Times New Roman"/>
          <w:color w:val="000000"/>
          <w:sz w:val="27"/>
        </w:rPr>
        <w:br/>
      </w:r>
      <w:r w:rsidR="00C10CE6">
        <w:rPr>
          <w:rFonts w:ascii="Times New Roman" w:eastAsia="Times New Roman" w:hAnsi="Times New Roman" w:cs="Times New Roman"/>
          <w:color w:val="000000"/>
          <w:sz w:val="27"/>
          <w:szCs w:val="27"/>
          <w:lang w:eastAsia="fr-FR"/>
        </w:rPr>
        <w:t>Bruno Le Maire</w:t>
      </w:r>
    </w:p>
    <w:p w14:paraId="7A132BA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Sigillbevararen, justitieministern</w:t>
      </w:r>
      <w:r>
        <w:rPr>
          <w:rFonts w:ascii="Times New Roman" w:hAnsi="Times New Roman"/>
          <w:color w:val="000000"/>
          <w:sz w:val="27"/>
        </w:rPr>
        <w:br/>
        <w:t>Nicole Belloubet</w:t>
      </w:r>
    </w:p>
    <w:p w14:paraId="4C7E5BB1"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Minister för ekologisk och inkluderande omställning,</w:t>
      </w:r>
      <w:r>
        <w:rPr>
          <w:rFonts w:ascii="Times New Roman" w:hAnsi="Times New Roman"/>
          <w:color w:val="000000"/>
          <w:sz w:val="27"/>
        </w:rPr>
        <w:br/>
        <w:t>Elisabeth Borne</w:t>
      </w:r>
    </w:p>
    <w:p w14:paraId="26906DCB"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Inrikesministern</w:t>
      </w:r>
      <w:r>
        <w:rPr>
          <w:rFonts w:ascii="Times New Roman" w:hAnsi="Times New Roman"/>
          <w:color w:val="000000"/>
          <w:sz w:val="27"/>
        </w:rPr>
        <w:br/>
        <w:t>Christophe Castaner</w:t>
      </w:r>
    </w:p>
    <w:p w14:paraId="0DD0CC1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Utrikesministern</w:t>
      </w:r>
      <w:r>
        <w:rPr>
          <w:rFonts w:ascii="Times New Roman" w:hAnsi="Times New Roman"/>
          <w:color w:val="000000"/>
          <w:sz w:val="27"/>
        </w:rPr>
        <w:br/>
        <w:t>Annick Girardin</w:t>
      </w:r>
    </w:p>
    <w:p w14:paraId="1E31F21C"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Statssekreterare till ministern för ekologisk och inkluderande omställning med ansvar för transport,</w:t>
      </w:r>
      <w:r>
        <w:rPr>
          <w:rFonts w:ascii="Times New Roman" w:hAnsi="Times New Roman"/>
          <w:color w:val="000000"/>
          <w:sz w:val="27"/>
        </w:rPr>
        <w:br/>
        <w:t>Jean-Baptiste Djebbari</w:t>
      </w:r>
    </w:p>
    <w:p w14:paraId="7D21E3A6"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C10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9518"/>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2021-12-13T11:16:00Z</dcterms:modified>
</cp:coreProperties>
</file>