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>
        <w:rPr>
          <w:rFonts w:ascii="Courier New" w:hAnsi="Courier New"/>
          <w:sz w:val="20"/>
        </w:rPr>
        <w:t>1. ------IND- 2020 0682 S-- MT-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ABBOZZ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>Ordinanza li temenda l-Ordinanza dwar il-Pestiċidi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>Fir-rigward tal-Ordinanza dwar il-Pestiċidi (2014:425), il-Gvern jistabbilixxi</w:t>
      </w:r>
      <w:r w:rsidR="004F7236">
        <w:rPr>
          <w:rStyle w:val="FootnoteReference"/>
        </w:rPr>
        <w:footnoteReference w:id="2"/>
      </w:r>
    </w:p>
    <w:p w14:paraId="0A8FEE22" w14:textId="570FFF44" w:rsidR="00394D15" w:rsidRDefault="00394D15" w:rsidP="006B5212">
      <w:pPr>
        <w:pStyle w:val="BodyTextIndent"/>
      </w:pPr>
      <w:r>
        <w:rPr>
          <w:i/>
        </w:rPr>
        <w:t>li</w:t>
      </w:r>
      <w:r>
        <w:t xml:space="preserve"> Kapitolu 2, §§ 11, 20, 37–39 u 40–43 għandhom ikunu fformulati kif ġej,</w:t>
      </w:r>
    </w:p>
    <w:p w14:paraId="32D3C6D4" w14:textId="45DCC067" w:rsidR="000561D2" w:rsidRDefault="00394D15" w:rsidP="006B5212">
      <w:pPr>
        <w:pStyle w:val="BodyTextIndent"/>
      </w:pPr>
      <w:r>
        <w:rPr>
          <w:i/>
        </w:rPr>
        <w:t>li</w:t>
      </w:r>
      <w:r>
        <w:t xml:space="preserve"> ħames taqsimiet ġodda – Kapitolu 2, §§ 37a, 38a, 40a, 41a u 43a għandhom jiddaħħlu u jiġu fformulati kif jidher hawn taħt.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Kapitolu 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>§ 11</w:t>
      </w:r>
      <w:r>
        <w:t>    L-utenti tal-prodotti għall-protezzjoni tal-pjanti għandhom jingħataw taħriġ li jipprovdi għarfien suffiċjenti tal-oqsma tas-suġġetti elenkati fl-Anness I tad-Direttiva 2009/128/KE tal-Parlament Ewropew u tal-Kunsill tal-21 ta’ Ottubru 2019 li tistabbilixxi qafas għal azzjoni Komunitarja biex jinkiseb użu sostenibbli tal-pestiċidi, fit-test oriġinali. It-taħriġ għandu jiġi offrut minn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1. il-Bord Żvediż tal-Agrikoltura, f’termini ta’ użu</w:t>
      </w:r>
    </w:p>
    <w:p w14:paraId="5CC76910" w14:textId="106FFFFD" w:rsidR="00822E88" w:rsidRDefault="006B3972" w:rsidP="006B5212">
      <w:pPr>
        <w:pStyle w:val="BodyTextIndent"/>
      </w:pPr>
      <w:r>
        <w:t>a) fl-agrikoltura, il-forestrija, il-ġestjoni tal-parks jew l-ortikultura,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fuq biċċiet ta’ art għal bini residenzjali,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fi btieħi tal-iskola u btieħi għall-iskejjel preprimarji,</w:t>
      </w:r>
    </w:p>
    <w:p w14:paraId="70E30FC9" w14:textId="57DF4493" w:rsidR="00822E88" w:rsidRPr="005E4DF0" w:rsidRDefault="006B3972" w:rsidP="006B5212">
      <w:pPr>
        <w:pStyle w:val="BodyTextIndent"/>
      </w:pPr>
      <w:r>
        <w:t>d) fi grawnds għat-tfal li l-pubbliku għandu aċċess għalihom,</w:t>
      </w:r>
    </w:p>
    <w:p w14:paraId="51E18C27" w14:textId="2EA52458" w:rsidR="00822E88" w:rsidRDefault="006B3972" w:rsidP="006B5212">
      <w:pPr>
        <w:pStyle w:val="BodyTextIndent"/>
      </w:pPr>
      <w:r>
        <w:t>e) f’faċilitajiet sportivi u ta’ divertiment,</w:t>
      </w:r>
    </w:p>
    <w:p w14:paraId="54CA9101" w14:textId="77777777" w:rsidR="00822E88" w:rsidRDefault="006B3972" w:rsidP="006B5212">
      <w:pPr>
        <w:pStyle w:val="BodyTextIndent"/>
      </w:pPr>
      <w:r>
        <w:t>f) waqt xogħol ta’ ppjanar u kostruzzjoni,</w:t>
      </w:r>
    </w:p>
    <w:p w14:paraId="7A29AF39" w14:textId="77777777" w:rsidR="00822E88" w:rsidRDefault="006B3972" w:rsidP="006B5212">
      <w:pPr>
        <w:pStyle w:val="BodyTextIndent"/>
      </w:pPr>
      <w:r>
        <w:t>g) f’żoni tat-toroq u fuq imbankmenti,</w:t>
      </w:r>
    </w:p>
    <w:p w14:paraId="2C341212" w14:textId="77777777" w:rsidR="00822E88" w:rsidRDefault="006B3972" w:rsidP="006B5212">
      <w:pPr>
        <w:pStyle w:val="BodyTextIndent"/>
      </w:pPr>
      <w:r>
        <w:t>h) fuq uċuħ taż-żrar u uċuħ oħra permeabbli ħafna, u</w:t>
      </w:r>
    </w:p>
    <w:p w14:paraId="64A619D3" w14:textId="77777777" w:rsidR="00822E88" w:rsidRDefault="006B3972" w:rsidP="006B5212">
      <w:pPr>
        <w:pStyle w:val="BodyTextIndent"/>
      </w:pPr>
      <w:r>
        <w:t>i) fuq uċuħ ta’ asfalt jew konkrit jew materjali oħra mwebbsa,</w:t>
      </w:r>
    </w:p>
    <w:p w14:paraId="533992F6" w14:textId="18ECAF48" w:rsidR="00822E88" w:rsidRDefault="006B3972" w:rsidP="006B5212">
      <w:pPr>
        <w:pStyle w:val="BodyTextIndent"/>
      </w:pPr>
      <w:r>
        <w:t>2. l-Aġenzija tas-Saħħa Pubblika tal-Iżvezja, fir-rigward tal-użu fi u madwar imħażen jew faċilitajiet oħra ta’ ħażna, u</w:t>
      </w:r>
    </w:p>
    <w:p w14:paraId="62C7C301" w14:textId="77777777" w:rsidR="006B3972" w:rsidRDefault="006B3972" w:rsidP="006B5212">
      <w:pPr>
        <w:pStyle w:val="BodyTextIndent"/>
      </w:pPr>
      <w:r>
        <w:t>3. l-Awtorità Żvediża dwar l-Ambjent tax-Xogħol, fir-rigward ta’ użi oħra.</w:t>
      </w:r>
    </w:p>
    <w:p w14:paraId="7068F900" w14:textId="77777777" w:rsidR="00C32849" w:rsidRDefault="00C32849" w:rsidP="006B5212">
      <w:pPr>
        <w:pStyle w:val="BodyTextIndent"/>
      </w:pPr>
    </w:p>
    <w:p w14:paraId="64744DDC" w14:textId="1CBA1F61" w:rsidR="00822E88" w:rsidRDefault="00822E88" w:rsidP="006B5212">
      <w:pPr>
        <w:pStyle w:val="BodyText"/>
        <w:keepNext/>
        <w:keepLines/>
      </w:pPr>
      <w:r>
        <w:rPr>
          <w:b/>
        </w:rPr>
        <w:t>§ 20</w:t>
      </w:r>
      <w:r>
        <w:t xml:space="preserve">   Kwistjonijiet oħra li jikkonċernaw </w:t>
      </w:r>
      <w:r w:rsidR="00541780">
        <w:t>il-permess</w:t>
      </w:r>
      <w:r>
        <w:t xml:space="preserve"> għall-użu skont § 18 jew § 19 huma eżaminati minn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1. il-Bord Żvediż tal-Agrikoltura, f’termini ta’ użu</w:t>
      </w:r>
    </w:p>
    <w:p w14:paraId="6EA86D89" w14:textId="3315F699" w:rsidR="005E2C2A" w:rsidRDefault="00822E88" w:rsidP="006B5212">
      <w:pPr>
        <w:pStyle w:val="BodyTextIndent"/>
      </w:pPr>
      <w:r>
        <w:t>a) fl-agrikoltura, il-forestrija, il-ġestjoni tal-parks jew l-ortikultura,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fuq biċċiet ta’ art għal bini residenzjali,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fi btieħi tal-iskola u btieħi għall-iskejjel preprimarji,</w:t>
      </w:r>
    </w:p>
    <w:p w14:paraId="094DF240" w14:textId="5488311A" w:rsidR="00330D88" w:rsidRDefault="00822E88" w:rsidP="006B5212">
      <w:pPr>
        <w:pStyle w:val="BodyTextIndent"/>
      </w:pPr>
      <w:r>
        <w:lastRenderedPageBreak/>
        <w:t>d) fi grawnds għat-tfal li l-pubbliku għandu aċċess għalihom,</w:t>
      </w:r>
    </w:p>
    <w:p w14:paraId="545F5DAF" w14:textId="1D8B753A" w:rsidR="00822E88" w:rsidRDefault="00822E88" w:rsidP="006B5212">
      <w:pPr>
        <w:pStyle w:val="BodyTextIndent"/>
      </w:pPr>
      <w:r>
        <w:t>e) f’faċilitajiet sportivi u ta’ divertiment,</w:t>
      </w:r>
    </w:p>
    <w:p w14:paraId="6999EF5E" w14:textId="77777777" w:rsidR="00822E88" w:rsidRDefault="00822E88" w:rsidP="006B5212">
      <w:pPr>
        <w:pStyle w:val="BodyTextIndent"/>
      </w:pPr>
      <w:r>
        <w:t>f) waqt xogħol ta’ ppjanar u kostruzzjoni,</w:t>
      </w:r>
    </w:p>
    <w:p w14:paraId="5180DF76" w14:textId="77777777" w:rsidR="00822E88" w:rsidRDefault="00822E88" w:rsidP="006B5212">
      <w:pPr>
        <w:pStyle w:val="BodyTextIndent"/>
      </w:pPr>
      <w:r>
        <w:t>g) f’żoni tat-toroq u fuq imbankmenti,</w:t>
      </w:r>
    </w:p>
    <w:p w14:paraId="58098470" w14:textId="77777777" w:rsidR="00822E88" w:rsidRDefault="00822E88" w:rsidP="006B5212">
      <w:pPr>
        <w:pStyle w:val="BodyTextIndent"/>
      </w:pPr>
      <w:r>
        <w:t>h) fuq uċuħ taż-żrar u uċuħ oħra permeabbli ħafna, u</w:t>
      </w:r>
    </w:p>
    <w:p w14:paraId="002A9CF9" w14:textId="77777777" w:rsidR="00822E88" w:rsidRDefault="00822E88" w:rsidP="006B5212">
      <w:pPr>
        <w:pStyle w:val="BodyTextIndent"/>
      </w:pPr>
      <w:r>
        <w:t>i) fuq uċuħ ta’ asfalt jew konkrit jew materjali oħra mwebbsa,</w:t>
      </w:r>
    </w:p>
    <w:p w14:paraId="7DD4BF97" w14:textId="4B0D2F47" w:rsidR="00822E88" w:rsidRDefault="00822E88" w:rsidP="006B5212">
      <w:pPr>
        <w:pStyle w:val="BodyTextIndent"/>
      </w:pPr>
      <w:r>
        <w:t>2. l-Aġenzija tas-Saħħa Pubblika tal-Iżvezja, fir-rigward tal-użu fi u madwar imħażen jew faċilitajiet oħra ta’ ħażna, u</w:t>
      </w:r>
    </w:p>
    <w:p w14:paraId="65C6FA77" w14:textId="77777777" w:rsidR="00822E88" w:rsidRDefault="00822E88" w:rsidP="006B5212">
      <w:pPr>
        <w:pStyle w:val="BodyTextIndent"/>
      </w:pPr>
      <w:r>
        <w:t>3. l-Awtorità Żvediża dwar l-Ambjent tax-Xogħol, fir-rigward ta’ użi oħra.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37</w:t>
      </w:r>
      <w:r>
        <w:t>    Il-prodotti għall-protezzjoni tal-pjanti ma jistgħux jintużaw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>1. fuq mergħat jew bwar li mhumiex adattati għall-ħart iżda jistgħu jintużaw għall-ħsad jew għar-ragħa;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2. fi btieħi tal-iskejjel jew btieħi għall-iskejjel preprimarji u fi grawnds għat-tfal li l-pubbliku għandu aċċess għalihom;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3. f’parks jew ġonna jew żoni oħra li huma primarjament maħsuba biex ikunu żoni ta’ rikreazzjoni li l-pubbliku għandu aċċess għalihom;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4. f’żoni ta’ ġonna allokati jew f’serer li ma jintużawx professjonalment;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5. fuq biċċiet ta’ art għal bini residenzjali jew fuq pjanti mħawla f’ambjent ta’ ġnien tad-dar, jew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>6. fuq pjanti ġewwa ħlief f’bini tal-produzzjoni, imħażen u bħal dawn.</w:t>
      </w:r>
    </w:p>
    <w:p w14:paraId="6BD7C352" w14:textId="77777777" w:rsidR="000561D2" w:rsidRDefault="000561D2" w:rsidP="006B5212">
      <w:pPr>
        <w:pStyle w:val="BodyText"/>
      </w:pPr>
    </w:p>
    <w:p w14:paraId="402B4AB9" w14:textId="6686F9C1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</w:rPr>
        <w:t>§ 37a</w:t>
      </w:r>
      <w:r>
        <w:t>    L-Aġenzija Żvediża għas-Sustanzi Kimiċi tista’ toħroġ regolamenti dwar eżenzjonijiet mill-projbizzjonijiet fi § 37(2–6) għal sustanzi attivi fi prodotti għall-protezzjoni tal-pjanti li huma meqjusa li jippreżentaw riskju limitat għas-saħħa tal-bniedem u għall-ambjent.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Qabel ma l-Aġenzija Żvediża għall-Kimiċi toħroġ regolamenti, l-Aġenzija għandha tagħti lill-awtoritajiet rilevanti l-oħra l-opportunità li jikkummentaw.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38</w:t>
      </w:r>
      <w:r>
        <w:t>    Il-Bord Żvediż tal-Agrikoltura jista’ joħroġ regolamenti dwar eżenzjonijiet mill-projbizzjonijiet f’§ 37: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1. jekk meħtieġ biex tiġi evitata l-introduzzjoni, l-istabbiliment u t-tixrid ta’ pesti ta’ kwarantina skont ir-Regolament (UE) 2016/2031 tal-Parlament Ewropew u tal-Kunsill tas-26 ta’ Ottubru 2016 dwar il-miżuri protettivi kontra pesti tal-pjanti, li jemenda r-Regolamenti (UE) Nru 228/2013, (UE) Nru 652/2014 u (UE) Nru 1143/2014 tal-Parlament Ewropew u tal-Kunsill u li jħassar id-Direttivi tal-Kunsill 69/464/KEE, 74/647/KEE, 93/85/KEE, 98/57/KE, 2000/29/KE, 2006/91/KE u 2007/33/KE, jew skont id-dispożizzjonijiet li jimplimentaw dak ir-Regolament, jew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2. li hu meħtieġ għall-kultivazzjoni ta’ pjanti li huma ppreservati fil-Bank Nazzjonali Żvediż tal-Ġene jew fiċ-Ċentru tar-Riżorsi Ġenetiċi Nordiku.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>Il-Bord Żvediż tal-Agrikoltura jista’ joħroġ regolamenti dwar eżenzjonijiet mill-projbizzjonijiet f’§ 37(1) sabiex jipprevjeni l-introduzzjoni, l-istabbiliment u t-tixrid ta’ speċi aljeni invażivi.</w:t>
      </w:r>
    </w:p>
    <w:p w14:paraId="78B53D2B" w14:textId="159FF5F5" w:rsidR="00937E7E" w:rsidRDefault="00881D46" w:rsidP="006B5212">
      <w:pPr>
        <w:pStyle w:val="BodyTextIndent"/>
        <w:pBdr>
          <w:left w:val="single" w:sz="4" w:space="4" w:color="auto"/>
        </w:pBdr>
      </w:pPr>
      <w:r>
        <w:t>Qabel ma l-Bord Żvediż tal-Agrikoltura j</w:t>
      </w:r>
      <w:r w:rsidR="00641AEE">
        <w:t>oħroġ</w:t>
      </w:r>
      <w:r>
        <w:t xml:space="preserve"> regolamenti, il-Bord għandu jagħti lill-awtoritajiet rilevanti l-oħra l-opportunità li jikkummentaw.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EF7F6A9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§</w:t>
      </w:r>
      <w:r>
        <w:t> </w:t>
      </w:r>
      <w:r>
        <w:rPr>
          <w:b/>
        </w:rPr>
        <w:t>38a</w:t>
      </w:r>
      <w:r>
        <w:t xml:space="preserve">    L-Aġenzija Żvediża għall-Protezzjoni Ambjentali tista’ toħroġ regolamenti dwar eżenzjonijiet mill-projbizzjonijiet f’§ 37(2–6) biex </w:t>
      </w:r>
      <w:r>
        <w:lastRenderedPageBreak/>
        <w:t>tipprevjeni l-introduzzjoni, l-istabbiliment u t-tixrid ta’ speċi aljeni invażivi.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Qabel ma l-Aġenzija Żvediża għall-Protezzjoni Ambjentali toħroġ regolamenti, l-Aġenzija għandha tagħti lill-awtoritajiet rilevanti l-oħra l-opportunità li jikkummentaw.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1" w:name="_Hlk45635514"/>
      <w:r>
        <w:rPr>
          <w:b/>
        </w:rPr>
        <w:t>§ 39</w:t>
      </w:r>
      <w:r>
        <w:t>    Il-bord muniċipali jista’ fil-każ individwali jagħti eżenzjoni mill-projbizzjonijiet f’§ 37, jekk il-prodott għall-protezzjoni tal-pjanti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>1. huwa approvat mill-Aġenzija Żvediża għall-Kimiċi u l-użu huwa skont il-kondizzjonijiet tal-approvazzjoni, u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>2. huwa meħtieġ għall-kultivazzjoni ta’ pjanti li huma ppreservati fil-Bank Nazzjonali Żvediż tal-Ġene jew fiċ-Ċentru ta’ Riżorsi Ġenetiċi Nordiku, jew huwa meħtieġ għal raġunijiet speċjali oħra.</w:t>
      </w:r>
    </w:p>
    <w:bookmarkEnd w:id="1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2" w:name="_Hlk45635066"/>
      <w:r>
        <w:rPr>
          <w:b/>
        </w:rPr>
        <w:t>§</w:t>
      </w:r>
      <w:r>
        <w:t> </w:t>
      </w:r>
      <w:r>
        <w:rPr>
          <w:b/>
        </w:rPr>
        <w:t>40</w:t>
      </w:r>
      <w:r>
        <w:t>    Huwa pprojbit li jintużaw prodotti għall-protezzjoni tal-pjanti professjonalment mingħajr permess speċjali mill-bord muniċipali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1. f’faċilitajiet sportivi u ta’ divertiment,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2. waqt xogħol ta’ ppjanar u kostruzzjoni,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3. f’żoni tat-toroq kif ukoll uċuħ taż-żrar u uċuħ oħra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>permeabbli ħafna, u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4. fuq uċuħ ta’ asfalt, konkrit jew materjali oħra mwebbsa.</w:t>
      </w:r>
    </w:p>
    <w:p w14:paraId="3492C08E" w14:textId="6DF347ED" w:rsidR="00DB0828" w:rsidRDefault="00DB0828" w:rsidP="006B5212">
      <w:pPr>
        <w:pStyle w:val="BodyTextIndent"/>
      </w:pPr>
    </w:p>
    <w:p w14:paraId="4BAB64A5" w14:textId="58E61DC4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</w:rPr>
        <w:t>§</w:t>
      </w:r>
      <w:r>
        <w:t> </w:t>
      </w:r>
      <w:r>
        <w:rPr>
          <w:b/>
        </w:rPr>
        <w:t>40a</w:t>
      </w:r>
      <w:r>
        <w:t>    Ir-rekwiżit tal-permess f’§ 40 ma japplikax għal prodotti għall-protezzjoni tal-pjanti li f’regolamenti maħruġa skont § 37a kienu eżentati mill-projbizzjoni tal-użu f’§ 37.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>Ir-rekwiżit tal-permess f’§ 40(3) u (4) ma japplikax għall-użu ta’ prodotti għall-protezzjoni tal-pjanti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>1. f’żoni tat-toroq, biex jipprevjenu l-introduzzjoni, l-istabbiliment jew it-tixrid ta’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>a. speċi aljeni invażivi, jew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>b. pesti tal-kwarantina skont ir-Regolament (UE) 2016/2031 tal-Parlament Ewropew u tal-Kunsill jew skont id-dispożizzjonijiet li jimplimentaw dak ir-Regolament, jew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2. fuq imbankmenti.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/>
        </w:rPr>
        <w:t>§ 41</w:t>
      </w:r>
      <w:r>
        <w:t>    Huwa pprojbit li tuża prodotti għall-protezzjoni tal-pjanti professjonalment mingħajr notifika bil-miktub lill-bord muniċipali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>1. f’żoni tat-toroq, biex jipprevjenu l-introduzzjoni, l-istabbiliment jew it-tixrid ta’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>a. speċi aljeni invażivi, jew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>b. pesti tal-kwarantina skont ir-Regolament (UE) 2016/2031 tal-Parlament Ewropew u tal-Kunsill jew skont id-dispożizzjonijiet li jimplimentaw dak ir-Regolament;</w:t>
      </w:r>
    </w:p>
    <w:p w14:paraId="0E67826B" w14:textId="77777777" w:rsidR="00C92F1A" w:rsidRDefault="00C92F1A" w:rsidP="006B5212">
      <w:pPr>
        <w:pStyle w:val="BodyTextIndent"/>
      </w:pPr>
      <w:r>
        <w:t>2. fuq imbankmenti, u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>3. f’żoni li mhumiex koperti minn projbizzjoni skont § 37 jew ħtieġa ta’ permess skont § 40 u li għandhom żona kontigwa li taqbeż l-1 000 metru kwadru fejn il-pubbliku jista’ jivvjaġġa liberament.</w:t>
      </w:r>
    </w:p>
    <w:p w14:paraId="253DE428" w14:textId="3DC6F8DA" w:rsidR="00C92F1A" w:rsidRDefault="00C92F1A" w:rsidP="006B5212">
      <w:pPr>
        <w:pStyle w:val="BodyTextIndent"/>
      </w:pPr>
      <w:r>
        <w:t>L-attivitajiet soġġetti għan-notifika jistgħu jinbdew mhux qabel erba’ ġimgħat wara li tkun saret in-notifika, sakemm il-Bord ma jiddeċidix mod ieħor.</w:t>
      </w:r>
    </w:p>
    <w:p w14:paraId="49F9AEB1" w14:textId="273AE27B" w:rsidR="00C4347E" w:rsidRDefault="00C4347E" w:rsidP="006B5212">
      <w:pPr>
        <w:pStyle w:val="BodyTextIndent"/>
      </w:pPr>
    </w:p>
    <w:p w14:paraId="49840DA2" w14:textId="40819A0A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</w:rPr>
        <w:t>§ 41a</w:t>
      </w:r>
      <w:r>
        <w:t>    Ir-rekwiżit għan-notifika f’§ 41 ma japplikax għal prodotti għall-protezzjoni tal-pjanti li f’regolamenti maħruġa skont § 37a kienu eżentati mill-projbizzjoni tal-użu f’§ 37.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lastRenderedPageBreak/>
        <w:t>Ir-rekwiżit għan-notifika f’§ 41(1)(3) ma japplikax għall-użu fuq art li tinħarat.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 42</w:t>
      </w:r>
      <w:r>
        <w:t xml:space="preserve">    Id-dispożizzjonijiet ta’ § 37(1), § 40 u § 41 ma japplikawx għall-użu li 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1. għandu l-karattru ta’ proċessar ta’ punti, u</w:t>
      </w:r>
    </w:p>
    <w:p w14:paraId="5957CF83" w14:textId="2E07FC07" w:rsidR="00D81F2D" w:rsidRDefault="002438B7" w:rsidP="006B5212">
      <w:pPr>
        <w:pStyle w:val="BodyTextIndent"/>
      </w:pPr>
      <w:r>
        <w:t>2. għandu skop tant limitat li s-saħħa tal-bniedem u l-ambjent mhumiex f’riskju ta’ ħsara.</w:t>
      </w:r>
      <w:bookmarkEnd w:id="2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</w:rPr>
        <w:t>§ 43</w:t>
      </w:r>
      <w:r>
        <w:t>    L-Aġenzija Żvediża għall-Protezzjoni Ambjentali tista’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>1. toħroġ regolamenti aktar dettaljati dwar eżenzjoni skont § 39(2), u</w:t>
      </w:r>
    </w:p>
    <w:p w14:paraId="3715AAED" w14:textId="426B3E91" w:rsidR="000B1D37" w:rsidRPr="0028222F" w:rsidRDefault="003319B3" w:rsidP="006B5212">
      <w:pPr>
        <w:pStyle w:val="BodyTextIndent"/>
      </w:pPr>
      <w:r>
        <w:t>2. fil-każ ta’ użu ta’ prodotti għall-protezzjoni tal-pjanti għajr l-użu fuq art tal-foresta, toħroġ regolamenti dwar l-infurzar ta’ §§ 40–42.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Qabel ma l-Aġenzija Żvediża għall-Protezzjoni Ambjentali toħroġ regolamenti, l-Aġenzija għandha tagħti lill-awtoritajiet rilevanti l-oħra l-opportunità li jikkummentaw.</w:t>
      </w:r>
    </w:p>
    <w:p w14:paraId="6967A017" w14:textId="477581A0" w:rsidR="002F6352" w:rsidRDefault="002F6352" w:rsidP="006B5212">
      <w:pPr>
        <w:pStyle w:val="BodyTextIndent"/>
      </w:pPr>
    </w:p>
    <w:p w14:paraId="3058FAD7" w14:textId="04CEB2EE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§</w:t>
      </w:r>
      <w:r>
        <w:t> </w:t>
      </w:r>
      <w:r>
        <w:rPr>
          <w:b/>
        </w:rPr>
        <w:t>43a</w:t>
      </w:r>
      <w:r>
        <w:t xml:space="preserve">    Il-Bord Żvediż tal-Agrikoltura jista’ joħroġ regolamenti aktar dettaljati dwar eżenzjonijiet skont </w:t>
      </w:r>
      <w:r w:rsidRPr="00F82E0B">
        <w:rPr>
          <w:bCs/>
        </w:rPr>
        <w:t>§</w:t>
      </w:r>
      <w:r>
        <w:t> 39(1).</w:t>
      </w:r>
    </w:p>
    <w:p w14:paraId="6EF3A461" w14:textId="29658C9A" w:rsidR="002F6352" w:rsidRDefault="002F6352" w:rsidP="006B5212">
      <w:pPr>
        <w:pStyle w:val="BodyTextIndent"/>
        <w:pBdr>
          <w:left w:val="single" w:sz="4" w:space="4" w:color="auto"/>
        </w:pBdr>
      </w:pPr>
      <w:r>
        <w:t xml:space="preserve">Qabel ma l-Bord Żvediż tal-Agrikoltura joħroġ regolamenti, </w:t>
      </w:r>
      <w:r w:rsidR="00482D1F">
        <w:t>i</w:t>
      </w:r>
      <w:r>
        <w:t>l-</w:t>
      </w:r>
      <w:r w:rsidR="00482D1F">
        <w:t>Bord</w:t>
      </w:r>
      <w:r>
        <w:t xml:space="preserve"> għand</w:t>
      </w:r>
      <w:r w:rsidR="00482D1F">
        <w:t>u</w:t>
      </w:r>
      <w:r>
        <w:t xml:space="preserve"> </w:t>
      </w:r>
      <w:r w:rsidR="00482D1F">
        <w:t>j</w:t>
      </w:r>
      <w:r>
        <w:t>agħti lill-awtoritajiet rilevanti l-oħra l-opportunità li jikkummentaw.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Din l-Ordinanza għandha tidħol fis-seħħ fl-1 ta’ Frar 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 Il-permessi skont Kapitolu 2, </w:t>
      </w:r>
      <w:r w:rsidRPr="00FD4D39">
        <w:rPr>
          <w:bCs/>
        </w:rPr>
        <w:t>§</w:t>
      </w:r>
      <w:r>
        <w:t> 40 biex jużaw professjonalment prodotti għall-protezzjoni tal-pjanti li ġew deċiżi skont regolamenti aktar antiki għadhom japplikaw, madankollu, mhux wara l-31 ta’ Diċembru 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34A62" w14:textId="77777777" w:rsidR="00E0238F" w:rsidRDefault="00E0238F" w:rsidP="00680442">
      <w:r>
        <w:separator/>
      </w:r>
    </w:p>
  </w:endnote>
  <w:endnote w:type="continuationSeparator" w:id="0">
    <w:p w14:paraId="5210D8AF" w14:textId="77777777" w:rsidR="00E0238F" w:rsidRDefault="00E0238F" w:rsidP="00680442">
      <w:r>
        <w:continuationSeparator/>
      </w:r>
    </w:p>
  </w:endnote>
  <w:endnote w:type="continuationNotice" w:id="1">
    <w:p w14:paraId="4A3A058B" w14:textId="77777777" w:rsidR="00E0238F" w:rsidRDefault="00E02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90928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B867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C635" w14:textId="77777777" w:rsidR="00E0238F" w:rsidRDefault="00E0238F" w:rsidP="00680442"/>
  </w:footnote>
  <w:footnote w:type="continuationSeparator" w:id="0">
    <w:p w14:paraId="5E397E3A" w14:textId="77777777" w:rsidR="00E0238F" w:rsidRPr="00C26807" w:rsidRDefault="00E0238F" w:rsidP="00C26807">
      <w:pPr>
        <w:pStyle w:val="Footer"/>
      </w:pPr>
    </w:p>
  </w:footnote>
  <w:footnote w:type="continuationNotice" w:id="1">
    <w:p w14:paraId="13C86AE6" w14:textId="77777777" w:rsidR="00E0238F" w:rsidRDefault="00E0238F"/>
  </w:footnote>
  <w:footnote w:id="2">
    <w:p w14:paraId="67641870" w14:textId="351317D4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Ara d-Direttiva 2009/128/KE tal-Parlament Ewropew u tal-Kunsill tal-21 ta’ Ottubru 2009 li tistabbilixxi qafas għal azzjoni Komunitarja biex jinkiseb użu sostenibbli tal-pestiċidi, fit-test skont i</w:t>
      </w:r>
      <w:r w:rsidR="00435E67">
        <w:t>r</w:t>
      </w:r>
      <w:r>
        <w:t>-</w:t>
      </w:r>
      <w:r w:rsidR="00435E67">
        <w:t>Regolament</w:t>
      </w:r>
      <w:r>
        <w:t xml:space="preserve"> (UE) 2019/1243 tal-Parlament Ewropew u tal-Kunsill. Ara wkoll id-Direttiva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F2FA" w14:textId="77777777" w:rsidR="007A5642" w:rsidRDefault="00E0238F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DOKUMENT TA’ PROVA, MHUWIEX DOKUMENT VALIDU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488A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57C64"/>
    <w:rsid w:val="00162B76"/>
    <w:rsid w:val="00165B5E"/>
    <w:rsid w:val="00175988"/>
    <w:rsid w:val="00181BC1"/>
    <w:rsid w:val="001974BD"/>
    <w:rsid w:val="001B1C41"/>
    <w:rsid w:val="001B2688"/>
    <w:rsid w:val="001B4DB6"/>
    <w:rsid w:val="001C75EC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3050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35E67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2D1F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3864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2A55"/>
    <w:rsid w:val="005349CC"/>
    <w:rsid w:val="00534BEB"/>
    <w:rsid w:val="005363FB"/>
    <w:rsid w:val="005373FC"/>
    <w:rsid w:val="00541780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1AEE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83E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47CF7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C54E8"/>
    <w:rsid w:val="00DD0175"/>
    <w:rsid w:val="00DD4B76"/>
    <w:rsid w:val="00DD64FA"/>
    <w:rsid w:val="00DE120E"/>
    <w:rsid w:val="00DE5571"/>
    <w:rsid w:val="00DE5B23"/>
    <w:rsid w:val="00DF648E"/>
    <w:rsid w:val="00DF68E0"/>
    <w:rsid w:val="00E0238F"/>
    <w:rsid w:val="00E1310A"/>
    <w:rsid w:val="00E21E6F"/>
    <w:rsid w:val="00E237FA"/>
    <w:rsid w:val="00E3386F"/>
    <w:rsid w:val="00E37BB1"/>
    <w:rsid w:val="00E4120C"/>
    <w:rsid w:val="00E52CB7"/>
    <w:rsid w:val="00E54759"/>
    <w:rsid w:val="00E71CB2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2E0B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4D3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F23166EA-C9ED-45B5-9806-9E16A8C0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/>
    <w:lsdException w:name="heading 4" w:semiHidden="1" w:uiPriority="9" w:unhideWhenUsed="1"/>
    <w:lsdException w:name="heading 5" w:semiHidden="1" w:uiPriority="1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0561D2"/>
    <w:rPr>
      <w:u w:val="dotted"/>
    </w:rPr>
  </w:style>
  <w:style w:type="character" w:customStyle="1" w:styleId="SmartLink1">
    <w:name w:val="SmartLink1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B35894A1-9AD0-425F-91F2-3A463A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4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David Grech</cp:lastModifiedBy>
  <cp:revision>18</cp:revision>
  <cp:lastPrinted>2016-10-14T09:17:00Z</cp:lastPrinted>
  <dcterms:created xsi:type="dcterms:W3CDTF">2020-11-02T09:57:00Z</dcterms:created>
  <dcterms:modified xsi:type="dcterms:W3CDTF">2020-11-06T14:46:00Z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