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D01B" w14:textId="5C936F3F" w:rsidR="00E76296" w:rsidRPr="00E76296" w:rsidRDefault="00E76296" w:rsidP="00E76296">
      <w:pPr>
        <w:spacing w:after="0" w:line="240" w:lineRule="auto"/>
        <w:rPr>
          <w:sz w:val="20"/>
          <w:szCs w:val="20"/>
          <w:rFonts w:ascii="Courier New" w:hAnsi="Courier New"/>
        </w:rPr>
      </w:pPr>
      <w:bookmarkStart w:id="0" w:name="_Hlk55249587"/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0682 S-- SK-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 xml:space="preserve">NÁVRH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 xml:space="preserve">Nariadenie, ktorým sa mení nariadenie o pesticídoch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 xml:space="preserve">S ohľadom na nariadenie o pesticídoch (2014:425) vláda stanovuje</w:t>
      </w:r>
      <w:r w:rsidR="004F7236">
        <w:rPr>
          <w:rStyle w:val="FootnoteReference"/>
        </w:rPr>
        <w:footnoteReference w:id="2"/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 xml:space="preserve">že</w:t>
      </w:r>
      <w:r>
        <w:t xml:space="preserve"> kapitola 2 § 11, § 20, § 37 – § 39 a § 40 – § 43 budú mať nasledujúce znenie,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 xml:space="preserve">že</w:t>
      </w:r>
      <w:r>
        <w:t xml:space="preserve"> sa vkladá päť nových oddielov – kapitola 2 § 37a, § 38a, § 40a, § 41a a § 43a s nižšie uvedeným znením.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 xml:space="preserve">Kapitola 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 xml:space="preserve">§ 11</w:t>
      </w:r>
      <w:r>
        <w:t xml:space="preserve">    Pre používateľov prípravkov na ochranu rastlín sa zabezpečí odborná príprava, ktorou sa poskytnú dostatočné znalosti v tematických oblastiach uvedených v prílohe I k smernici Európskeho parlamentu a Rady 2009/128/ES z 21. októbra 2009, ktorou sa ustanovuje rámec pre činnosť Spoločenstva na dosiahnutie trvalo udržateľného používania pesticídov, v pôvodnom znení.</w:t>
      </w:r>
      <w:r>
        <w:t xml:space="preserve"> </w:t>
      </w:r>
      <w:r>
        <w:t xml:space="preserve">Odbornú prípravu poskytne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 xml:space="preserve">1. Švédska rada pre poľnohospodárstvo, pokiaľ ide o použitie</w:t>
      </w:r>
    </w:p>
    <w:p w14:paraId="5CC76910" w14:textId="106FFFFD" w:rsidR="00822E88" w:rsidRDefault="006B3972" w:rsidP="006B5212">
      <w:pPr>
        <w:pStyle w:val="BodyTextIndent"/>
      </w:pPr>
      <w:r>
        <w:t xml:space="preserve">a) v poľnohospodárstve, lesnom hospodárstve, správe parkov alebo záhradníctve,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b) na pozemkoch pre obytné budovy,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c) na školských dvoroch a dvoroch pre predškolské zariadenia,</w:t>
      </w:r>
    </w:p>
    <w:p w14:paraId="70E30FC9" w14:textId="57DF4493" w:rsidR="00822E88" w:rsidRPr="005E4DF0" w:rsidRDefault="006B3972" w:rsidP="006B5212">
      <w:pPr>
        <w:pStyle w:val="BodyTextIndent"/>
      </w:pPr>
      <w:r>
        <w:t xml:space="preserve">d) na ihriskách, ku ktorým má verejnosť prístup,</w:t>
      </w:r>
    </w:p>
    <w:p w14:paraId="51E18C27" w14:textId="2EA52458" w:rsidR="00822E88" w:rsidRDefault="006B3972" w:rsidP="006B5212">
      <w:pPr>
        <w:pStyle w:val="BodyTextIndent"/>
      </w:pPr>
      <w:r>
        <w:t xml:space="preserve">e) v športových a rekreačných zariadeniach,</w:t>
      </w:r>
    </w:p>
    <w:p w14:paraId="54CA9101" w14:textId="77777777" w:rsidR="00822E88" w:rsidRDefault="006B3972" w:rsidP="006B5212">
      <w:pPr>
        <w:pStyle w:val="BodyTextIndent"/>
      </w:pPr>
      <w:r>
        <w:t xml:space="preserve">f) počas plánovacích a stavebných prác,</w:t>
      </w:r>
    </w:p>
    <w:p w14:paraId="7A29AF39" w14:textId="77777777" w:rsidR="00822E88" w:rsidRDefault="006B3972" w:rsidP="006B5212">
      <w:pPr>
        <w:pStyle w:val="BodyTextIndent"/>
      </w:pPr>
      <w:r>
        <w:t xml:space="preserve">g) na cestných plochách a násypoch,</w:t>
      </w:r>
    </w:p>
    <w:p w14:paraId="2C341212" w14:textId="77777777" w:rsidR="00822E88" w:rsidRDefault="006B3972" w:rsidP="006B5212">
      <w:pPr>
        <w:pStyle w:val="BodyTextIndent"/>
      </w:pPr>
      <w:r>
        <w:t xml:space="preserve">h) na štrkových povrchoch a iných vysoko priepustných povrchoch a</w:t>
      </w:r>
    </w:p>
    <w:p w14:paraId="64A619D3" w14:textId="77777777" w:rsidR="00822E88" w:rsidRDefault="006B3972" w:rsidP="006B5212">
      <w:pPr>
        <w:pStyle w:val="BodyTextIndent"/>
      </w:pPr>
      <w:r>
        <w:t xml:space="preserve">i) na povrchoch z asfaltu alebo betónu alebo iných tvrdených materiálov,</w:t>
      </w:r>
    </w:p>
    <w:p w14:paraId="533992F6" w14:textId="18ECAF48" w:rsidR="00822E88" w:rsidRDefault="006B3972" w:rsidP="006B5212">
      <w:pPr>
        <w:pStyle w:val="BodyTextIndent"/>
      </w:pPr>
      <w:r>
        <w:t xml:space="preserve">2. Švédska agentúra pre verejné zdravie, pokiaľ ide o použitie v skladoch alebo iných skladovacích zariadeniach a v ich okolí, a</w:t>
      </w:r>
    </w:p>
    <w:p w14:paraId="62C7C301" w14:textId="77777777" w:rsidR="006B3972" w:rsidRDefault="006B3972" w:rsidP="006B5212">
      <w:pPr>
        <w:pStyle w:val="BodyTextIndent"/>
      </w:pPr>
      <w:r>
        <w:t xml:space="preserve">3. Švédsky úrad pre pracovné prostredie, pokiaľ ide o ďalšie použitia.</w:t>
      </w:r>
    </w:p>
    <w:p w14:paraId="7068F900" w14:textId="77777777" w:rsidR="00C32849" w:rsidRDefault="00C32849" w:rsidP="006B5212">
      <w:pPr>
        <w:pStyle w:val="BodyTextIndent"/>
      </w:pPr>
    </w:p>
    <w:p w14:paraId="64744DDC" w14:textId="56927669" w:rsidR="00822E88" w:rsidRDefault="00822E88" w:rsidP="006B5212">
      <w:pPr>
        <w:pStyle w:val="BodyText"/>
        <w:keepNext/>
        <w:keepLines/>
      </w:pPr>
      <w:r>
        <w:rPr>
          <w:b/>
        </w:rPr>
        <w:t xml:space="preserve">§ 20</w:t>
      </w:r>
      <w:r>
        <w:t xml:space="preserve">    Otázky týkajúce sa povolenia na používanie podľa § 18 alebo § 19 skúma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 xml:space="preserve">1. Švédska rada pre poľnohospodárstvo, pokiaľ ide o použitie</w:t>
      </w:r>
    </w:p>
    <w:p w14:paraId="6EA86D89" w14:textId="3315F699" w:rsidR="005E2C2A" w:rsidRDefault="00822E88" w:rsidP="006B5212">
      <w:pPr>
        <w:pStyle w:val="BodyTextIndent"/>
      </w:pPr>
      <w:r>
        <w:t xml:space="preserve">a) v poľnohospodárstve, lesnom hospodárstve, správe parkov alebo záhradníctve,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 xml:space="preserve">b) na pozemkoch pre obytné budovy,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 xml:space="preserve">c) na školských dvoroch a dvoroch pre predškolské zariadenia,</w:t>
      </w:r>
    </w:p>
    <w:p w14:paraId="094DF240" w14:textId="5488311A" w:rsidR="00330D88" w:rsidRDefault="00822E88" w:rsidP="006B5212">
      <w:pPr>
        <w:pStyle w:val="BodyTextIndent"/>
      </w:pPr>
      <w:r>
        <w:t xml:space="preserve">d) na ihriskách, ku ktorým má verejnosť prístup,</w:t>
      </w:r>
    </w:p>
    <w:p w14:paraId="545F5DAF" w14:textId="1D8B753A" w:rsidR="00822E88" w:rsidRDefault="00822E88" w:rsidP="006B5212">
      <w:pPr>
        <w:pStyle w:val="BodyTextIndent"/>
      </w:pPr>
      <w:r>
        <w:t xml:space="preserve">e) v športových a rekreačných zariadeniach,</w:t>
      </w:r>
    </w:p>
    <w:p w14:paraId="6999EF5E" w14:textId="77777777" w:rsidR="00822E88" w:rsidRDefault="00822E88" w:rsidP="006B5212">
      <w:pPr>
        <w:pStyle w:val="BodyTextIndent"/>
      </w:pPr>
      <w:r>
        <w:t xml:space="preserve">f) počas plánovacích a stavebných prác,</w:t>
      </w:r>
    </w:p>
    <w:p w14:paraId="5180DF76" w14:textId="77777777" w:rsidR="00822E88" w:rsidRDefault="00822E88" w:rsidP="006B5212">
      <w:pPr>
        <w:pStyle w:val="BodyTextIndent"/>
      </w:pPr>
      <w:r>
        <w:t xml:space="preserve">g) na cestných plochách a násypoch,</w:t>
      </w:r>
    </w:p>
    <w:p w14:paraId="58098470" w14:textId="77777777" w:rsidR="00822E88" w:rsidRDefault="00822E88" w:rsidP="006B5212">
      <w:pPr>
        <w:pStyle w:val="BodyTextIndent"/>
      </w:pPr>
      <w:r>
        <w:t xml:space="preserve">h) na štrkových povrchoch a iných vysoko priepustných povrchoch a</w:t>
      </w:r>
    </w:p>
    <w:p w14:paraId="002A9CF9" w14:textId="77777777" w:rsidR="00822E88" w:rsidRDefault="00822E88" w:rsidP="006B5212">
      <w:pPr>
        <w:pStyle w:val="BodyTextIndent"/>
      </w:pPr>
      <w:r>
        <w:t xml:space="preserve">i) na povrchoch z asfaltu alebo betónu alebo iných tvrdených materiálov,</w:t>
      </w:r>
    </w:p>
    <w:p w14:paraId="7DD4BF97" w14:textId="4B0D2F47" w:rsidR="00822E88" w:rsidRDefault="00822E88" w:rsidP="006B5212">
      <w:pPr>
        <w:pStyle w:val="BodyTextIndent"/>
      </w:pPr>
      <w:r>
        <w:t xml:space="preserve">2. Švédska agentúra pre verejné zdravie, pokiaľ ide o použitie v skladoch alebo iných skladovacích zariadeniach a v ich okolí, a</w:t>
      </w:r>
    </w:p>
    <w:p w14:paraId="65C6FA77" w14:textId="77777777" w:rsidR="00822E88" w:rsidRDefault="00822E88" w:rsidP="006B5212">
      <w:pPr>
        <w:pStyle w:val="BodyTextIndent"/>
      </w:pPr>
      <w:r>
        <w:t xml:space="preserve">3. Švédsky úrad pre pracovné prostredie, pokiaľ ide o ďalšie použitia.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 xml:space="preserve">§</w:t>
      </w:r>
      <w:r>
        <w:rPr>
          <w:b/>
        </w:rPr>
        <w:t xml:space="preserve"> 37</w:t>
      </w:r>
      <w:r>
        <w:t xml:space="preserve">    Prípravky na ochranu rastlín sa nesmú používať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 na lúkach alebo pastvinách, ktoré nie sú vhodné na orbu, ale dajú sa použiť na kosenie alebo pastvu;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2. na školských dvoroch, dvoroch pre predškolské zariadenia a na ihriskách, ku ktorým má prístup verejnosť;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 xml:space="preserve">3. v parkoch, záhradách alebo iných oblastiach, ktoré sú určené predovšetkým ako rekreačné oblasti, ku ktorým má prístup verejnosť;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 xml:space="preserve">4. na záhradkárskych plochách a v skleníkoch nepoužívaných profesionálne;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 xml:space="preserve">5. na pozemkoch pre obytné budovy alebo na rastlinách v kvetináčoch v prostredí domácej záhrady, alebo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 na rastlinách, ktoré sú v interiéroch, okrem tých, ktoré sú vo výrobných priestoroch, v skladoch a podobne.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§ </w:t>
      </w:r>
      <w:r>
        <w:rPr>
          <w:b/>
        </w:rPr>
        <w:t xml:space="preserve">37a</w:t>
      </w:r>
      <w:r>
        <w:t xml:space="preserve">    Švédska chemická agentúra môže vydať predpisy o výnimkách zo zákazov uvedených v § 37 ods. 2 – 6, pokiaľ ide o účinné látky v prípravkoch na ochranu rastlín, ktoré sa považujú za látky, ktoré predstavujú obmedzené riziko pre ľudské zdravie a životné prostredie.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 xml:space="preserve">Predtým ako Švédska chemická agentúra vydá predpisy, poskytne agentúra ostatným príslušným orgánom príležitosť na vyjadrenie pripomienok.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§ 38</w:t>
      </w:r>
      <w:r>
        <w:t xml:space="preserve">    Švédska rada pre poľnohospodárstvo môže vydať predpisy o výnimkách zo zákazov uvedených v § 37: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 ak je to potrebné na zabránenie zavlečeniu, usídleniu a šíreniu karanténnych škodcov podľa nariadenia Európskeho parlamentu a Rady (EÚ) 2016/2031 z 26. októbra 2016 o ochranných opatreniach proti škodcom rastlín, ktorým sa menia nariadenia Európskeho parlamentu a Rady (EÚ) č. 228/2013, (EÚ) č. 652/2014 a (EÚ) č. 1143/2014 a zrušujú smernice Rady 69/464/EHS, 74/647/EHS, 93/85/EHS, 98/57/ES, 2000/29/ES, 2006/91/ES a 2007/33/ES, alebo v súlade s ustanoveniami, ktorými sa vykonáva toto nariadenie, alebo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2. ak sa to vyžaduje na účely pestovania rastlín, ktoré sa uchovávajú vo Švédskej národnej génovej banke alebo v Severskom centre genetických zdrojov.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 xml:space="preserve">Švédska rada pre poľnohospodárstvo môže vydať predpisy o výnimkách zo zákazov uvedených v § 37 ods. 1 s cieľom zabrániť zavlečeniu, usídleniu a šíreniu inváznych nepôvodných druhov.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 xml:space="preserve">Predtým ako Švédska rada pre poľnohospodárstvo vydá predpisy, poskytne rada ostatným príslušným orgánom príležitosť na vyjadrenie pripomienok.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38a</w:t>
      </w:r>
      <w:r>
        <w:t xml:space="preserve">    Švédska agentúra na ochranu životného prostredia môže vydať predpisy o výnimkách zo zákazov uvedených v § 37 ods. 2 – 6 s cieľom zabrániť zavlečeniu, usídleniu a šíreniu inváznych nepôvodných druhov.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 xml:space="preserve">Predtým ako Švédska agentúra na ochranu životného prostredia vydá predpisy, poskytne agentúra ostatným príslušným orgánom príležitosť na vyjadrenie pripomienok.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>
        <w:rPr>
          <w:b/>
        </w:rPr>
        <w:t xml:space="preserve">§ 39</w:t>
      </w:r>
      <w:r>
        <w:t xml:space="preserve">    Obecná rada môže v individuálnom prípade udeliť výnimku zo zákazov uvedených v § 37, ak prípravok na ochranu rastlín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 schválila Švédska chemická agentúra a jeho použitie je v súlade s podmienkami schválenia a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 xml:space="preserve">2. vyžaduje sa na účely pestovania rastlín, ktoré sa uchovávajú vo Švédskej národnej génovej banke alebo v Severskom centre genetických zdrojov, alebo sa vyžaduje z iných osobitných dôvodov.</w:t>
      </w:r>
    </w:p>
    <w:bookmarkEnd w:id="2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3" w:name="_Hlk45635066"/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40</w:t>
      </w:r>
      <w:r>
        <w:t xml:space="preserve">    Prípravky na ochranu rastlín je bez osobitného povolenia obecnej rady zakázané profesionálne používať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 xml:space="preserve">1. v športových a rekreačných zariadeniach,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 počas plánovacích a stavebných prác,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3. na cestných plochách, ako aj na štrkových povrchoch a iných vysoko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 xml:space="preserve">priepustných povrchoch a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 xml:space="preserve">4. na povrchoch z asfaltu, betónu alebo iných tvrdených materiálov.</w:t>
      </w:r>
    </w:p>
    <w:p w14:paraId="3492C08E" w14:textId="6DF347ED" w:rsidR="00DB0828" w:rsidRDefault="00DB0828" w:rsidP="006B5212">
      <w:pPr>
        <w:pStyle w:val="BodyTextIndent"/>
      </w:pPr>
    </w:p>
    <w:p w14:paraId="4BAB64A5" w14:textId="6B91279E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§</w:t>
      </w:r>
      <w:r>
        <w:t xml:space="preserve"> </w:t>
      </w:r>
      <w:r>
        <w:rPr>
          <w:b/>
        </w:rPr>
        <w:t xml:space="preserve">40a</w:t>
      </w:r>
      <w:r>
        <w:t xml:space="preserve">    Požiadavka týkajúca sa povolenia v § 40 sa nevzťahuje na prípravky na ochranu rastlín, ktoré boli v predpisoch vydaných v súlade s § 37a vyňaté zo zákazu používania v § 37.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Požiadavka týkajúca sa povolenia v § 40 ods. 3 a 4 sa nevzťahuje na používanie prípravkov na ochranu rastlín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na cestných plochách, aby sa zabránilo zavlečeniu, usídleniu a šíreniu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a) inváznych nepôvodných druhov, alebo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 xml:space="preserve">b) karanténnych škodcov podľa nariadenia Európskeho parlamentu a Rady (EÚ) 2016/2031 alebo podľa ustanovení, ktorými sa vykonáva uvedené nariadenie, alebo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2. na násypoch.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/>
          <w:bCs/>
        </w:rPr>
        <w:t xml:space="preserve">§ </w:t>
      </w:r>
      <w:r>
        <w:rPr>
          <w:b/>
        </w:rPr>
        <w:t xml:space="preserve">41</w:t>
      </w:r>
      <w:r>
        <w:t xml:space="preserve">    Prípravky na ochranu rastlín je bez písomného oznámenia obecnej rade zakázané profesionálne používať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na cestných plochách, aby sa zabránilo zavlečeniu, usídleniu a šíreniu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a) inváznych nepôvodných druhov, alebo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 xml:space="preserve">b) karanténnych škodcov podľa nariadenia Európskeho parlamentu a Rady (EÚ) 2016/2031 alebo podľa ustanovení, ktorými sa vykonáva uvedené nariadenie;</w:t>
      </w:r>
    </w:p>
    <w:p w14:paraId="0E67826B" w14:textId="77777777" w:rsidR="00C92F1A" w:rsidRDefault="00C92F1A" w:rsidP="006B5212">
      <w:pPr>
        <w:pStyle w:val="BodyTextIndent"/>
      </w:pPr>
      <w:r>
        <w:t xml:space="preserve">2. na násypoch a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 na plochách, na ktoré sa nevzťahuje zákaz podľa § 37 alebo požiadavka týkajúca sa povolenia podľa § 40, a ktoré majú susednú plochu presahujúcu 1 000 metrov štvorcových, kde sa môže verejnosť voľne pohybovať.</w:t>
      </w:r>
    </w:p>
    <w:p w14:paraId="253DE428" w14:textId="3DC6F8DA" w:rsidR="00C92F1A" w:rsidRDefault="00C92F1A" w:rsidP="006B5212">
      <w:pPr>
        <w:pStyle w:val="BodyTextIndent"/>
      </w:pPr>
      <w:r>
        <w:t xml:space="preserve">Činnosti podliehajúce oznámeniu možno začať najskôr štyri týždne po vykonaní oznámenia, pokiaľ rada nerozhodne inak.</w:t>
      </w:r>
    </w:p>
    <w:p w14:paraId="49F9AEB1" w14:textId="273AE27B" w:rsidR="00C4347E" w:rsidRDefault="00C4347E" w:rsidP="006B5212">
      <w:pPr>
        <w:pStyle w:val="BodyTextIndent"/>
      </w:pPr>
    </w:p>
    <w:p w14:paraId="49840DA2" w14:textId="0EF86A45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Cs/>
          <w:b/>
          <w:bCs/>
        </w:rPr>
        <w:t xml:space="preserve">§</w:t>
      </w:r>
      <w:r>
        <w:rPr>
          <w:b/>
          <w:bCs/>
        </w:rPr>
        <w:t xml:space="preserve"> </w:t>
      </w:r>
      <w:r>
        <w:rPr>
          <w:b/>
        </w:rPr>
        <w:t xml:space="preserve">41a</w:t>
      </w:r>
      <w:r>
        <w:t xml:space="preserve">    Požiadavka týkajúca sa oznámenia v § 41 sa nevzťahuje na prípravky na ochranu rastlín, ktoré boli v predpisoch vydaných v súlade s § 37a vyňaté zo zákazu používania v § 37.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 xml:space="preserve">Požiadavka týkajúca sa oznámenia v § 41 ods. 1 bode 3 sa nevzťahuje na použitie na ornej pôde.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 xml:space="preserve">§ </w:t>
      </w:r>
      <w:r>
        <w:rPr>
          <w:b/>
        </w:rPr>
        <w:t xml:space="preserve">42</w:t>
      </w:r>
      <w:r>
        <w:t xml:space="preserve">    Ustanovenia § 37 ods. 1, § 40 a § 41 sa nevzťahujú na používanie, ktoré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 xml:space="preserve">1. má charakter bodového spracovania a</w:t>
      </w:r>
    </w:p>
    <w:p w14:paraId="5957CF83" w14:textId="2E07FC07" w:rsidR="00D81F2D" w:rsidRDefault="002438B7" w:rsidP="006B5212">
      <w:pPr>
        <w:pStyle w:val="BodyTextIndent"/>
      </w:pPr>
      <w:r>
        <w:t xml:space="preserve">2. má taký obmedzený rozsah, že nepredstavuje riziko ohrozenia zdravia ľudí a životného prostredia.</w:t>
      </w:r>
      <w:bookmarkEnd w:id="3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  <w:bCs/>
        </w:rPr>
        <w:t xml:space="preserve">§ </w:t>
      </w:r>
      <w:r>
        <w:rPr>
          <w:b/>
        </w:rPr>
        <w:t xml:space="preserve">43</w:t>
      </w:r>
      <w:r>
        <w:t xml:space="preserve">    Švédska agentúra na ochranu životného prostredia môže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 vydať podrobnejšie predpisy o výnimkách podľa § 39 ods. 2 a</w:t>
      </w:r>
    </w:p>
    <w:p w14:paraId="3715AAED" w14:textId="426B3E91" w:rsidR="000B1D37" w:rsidRPr="0028222F" w:rsidRDefault="003319B3" w:rsidP="006B5212">
      <w:pPr>
        <w:pStyle w:val="BodyTextIndent"/>
      </w:pPr>
      <w:r>
        <w:t xml:space="preserve">2. v prípade iného používania prípravkov na ochranu rastlín, ako je používanie na lesnej pôde, vydať predpisy o presadzovaní ustanovení § 40 – § 42.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 xml:space="preserve">Predtým ako Švédska agentúra na ochranu životného prostredia vydá predpisy, poskytne agentúra ostatným príslušným orgánom príležitosť na vyjadrenie pripomienok.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43a</w:t>
      </w:r>
      <w:r>
        <w:t xml:space="preserve">     Švédska rada pre poľnohospodárstvo môže vydať podrobnejšie predpisy o výnimkách v súlade s § 39 ods. 1.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 xml:space="preserve">Predtým ako Švédska rada pre poľnohospodárstvo vydá predpisy, poskytne rada ostatným príslušným orgánom príležitosť na vyjadrenie pripomienok.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 xml:space="preserve"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 xml:space="preserve">1.</w:t>
      </w:r>
      <w:r>
        <w:t xml:space="preserve"> </w:t>
      </w:r>
      <w:r>
        <w:t xml:space="preserve">Toto nariadenie nadobúda účinnosť 1. februára 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</w:t>
      </w:r>
      <w:r>
        <w:t xml:space="preserve"> </w:t>
      </w:r>
      <w:r>
        <w:t xml:space="preserve">Povolenia na profesionálne používanie prípravkov na ochranu rastlín podľa kapitoly 2 § 40, o ktorých sa rozhodlo v súlade so staršími predpismi, platia naďalej, nie však po 31. decembri 2022.</w:t>
      </w:r>
    </w:p>
    <w:sectPr w:rsidR="00B55815" w:rsidRPr="00CA3E21" w:rsidSect="00B045CC">
      <w:headerReference w:type="even" r:id="rId16"/>
      <w:headerReference w:type="default" r:id="rId17"/>
      <w:footerReference w:type="default" r:id="rId18"/>
      <w:footerReference w:type="first" r:id="rId19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0928" w14:textId="77777777" w:rsidR="004043E4" w:rsidRDefault="004043E4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B867" w14:textId="77777777" w:rsidR="005B2C6E" w:rsidRDefault="005B2C6E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Pozri smernicu Európskeho parlamentu a Rady 2009/128/ES z 21. októbra 2009, ktorou sa ustanovuje rámec pre činnosť Spoločenstva na dosiahnutie trvalo udržateľného používania pesticídov, v znení podľa nariadenia Európskeho parlamentu a Rady (EÚ) 2019/1243.</w:t>
      </w:r>
      <w:r>
        <w:t xml:space="preserve"> </w:t>
      </w:r>
      <w:r>
        <w:t xml:space="preserve">Pozri tiež smernicu Európskeho parlamentu a Rady (EÚ) 2015/1535 z 9. septembra 2015, ktorou sa stanovuje postup pri poskytovaní informácií v oblasti technických predpisov a pravidiel vzťahujúcich sa na služby informačnej spoločnosti.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BF2FA" w14:textId="77777777" w:rsidR="007A5642" w:rsidRDefault="00FE719B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SKÚŠOBNÝ DOKUMENT, NIE JE PLATNÝ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488A" w14:textId="77777777" w:rsidR="00F77ABC" w:rsidRDefault="00B045CC" w:rsidP="00F77ABC">
    <w:pPr>
      <w:pStyle w:val="Head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dirty" w:grammar="dirty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7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35894A1-9AD0-425F-91F2-3A463A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KONTEKST</cp:lastModifiedBy>
  <cp:revision>3</cp:revision>
  <cp:lastPrinted>2016-10-14T09:17:00Z</cp:lastPrinted>
  <dcterms:created xsi:type="dcterms:W3CDTF">2020-11-02T09:57:00Z</dcterms:created>
  <dcterms:modified xsi:type="dcterms:W3CDTF">2020-11-05T11:44:00Z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