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64" w:rsidRPr="00814C17" w:rsidRDefault="004A4164" w:rsidP="004A4164">
      <w:pPr>
        <w:jc w:val="center"/>
        <w:rPr>
          <w:rFonts w:ascii="Courier New" w:hAnsi="Courier New"/>
          <w:sz w:val="20"/>
          <w:szCs w:val="20"/>
        </w:rPr>
      </w:pPr>
      <w:r>
        <w:rPr>
          <w:rFonts w:ascii="Courier New" w:hAnsi="Courier New"/>
          <w:sz w:val="20"/>
        </w:rPr>
        <w:t>1. ------IND- 2019 0309 HU- EL- ------ 20190703 --- --- PROJET</w:t>
      </w:r>
    </w:p>
    <w:p w:rsidR="00FC1B4C" w:rsidRPr="00D4046D" w:rsidRDefault="00FC1B4C" w:rsidP="004A4164">
      <w:pPr>
        <w:jc w:val="center"/>
        <w:rPr>
          <w:b/>
        </w:rPr>
      </w:pPr>
      <w:r>
        <w:rPr>
          <w:b/>
        </w:rPr>
        <w:t xml:space="preserve">Ο Υπουργός Γεωργίας </w:t>
      </w:r>
    </w:p>
    <w:p w:rsidR="00FC1B4C" w:rsidRPr="00D4046D" w:rsidRDefault="00FC1B4C" w:rsidP="004A4164">
      <w:pPr>
        <w:jc w:val="center"/>
        <w:rPr>
          <w:b/>
        </w:rPr>
      </w:pPr>
    </w:p>
    <w:p w:rsidR="00FC1B4C" w:rsidRPr="00D4046D" w:rsidRDefault="00453591" w:rsidP="004A4164">
      <w:pPr>
        <w:jc w:val="center"/>
        <w:rPr>
          <w:b/>
        </w:rPr>
      </w:pPr>
      <w:r>
        <w:rPr>
          <w:b/>
        </w:rPr>
        <w:t>Διάταγμα .../2019 της ... .... 2019</w:t>
      </w:r>
    </w:p>
    <w:p w:rsidR="00FC1B4C" w:rsidRPr="00D4046D" w:rsidRDefault="00FC1B4C" w:rsidP="004A4164">
      <w:pPr>
        <w:jc w:val="both"/>
        <w:rPr>
          <w:b/>
          <w:bCs/>
        </w:rPr>
      </w:pPr>
    </w:p>
    <w:p w:rsidR="00FC1B4C" w:rsidRPr="00D4046D" w:rsidRDefault="00FC1B4C" w:rsidP="004A4164">
      <w:pPr>
        <w:jc w:val="center"/>
        <w:rPr>
          <w:rFonts w:eastAsiaTheme="minorHAnsi"/>
          <w:b/>
          <w:bCs/>
        </w:rPr>
      </w:pPr>
      <w:r>
        <w:rPr>
          <w:rFonts w:eastAsiaTheme="minorHAnsi"/>
          <w:b/>
        </w:rPr>
        <w:t>για την τροποποίηση του διατάγματος του υπουργού Γεωργίας αριθ. 53/2017 της 18ης Οκτωβρίου 2017 για τις συνθήκες λειτουργίας μονάδων καύσης με ολική ονομαστική θερμική ισχύ μεγαλύτερη ή ίση με 140 kW</w:t>
      </w:r>
      <w:r>
        <w:rPr>
          <w:rFonts w:eastAsiaTheme="minorHAnsi"/>
          <w:b/>
          <w:vertAlign w:val="subscript"/>
        </w:rPr>
        <w:t>th</w:t>
      </w:r>
      <w:r>
        <w:rPr>
          <w:rFonts w:eastAsiaTheme="minorHAnsi"/>
          <w:b/>
        </w:rPr>
        <w:t xml:space="preserve"> αλλά μικρότερη από 50 MW</w:t>
      </w:r>
      <w:r>
        <w:rPr>
          <w:rFonts w:eastAsiaTheme="minorHAnsi"/>
          <w:b/>
          <w:vertAlign w:val="subscript"/>
        </w:rPr>
        <w:t>th</w:t>
      </w:r>
      <w:r>
        <w:rPr>
          <w:rFonts w:eastAsiaTheme="minorHAnsi"/>
          <w:b/>
        </w:rPr>
        <w:t xml:space="preserve"> και για τις οριακές τιμές ατμοσφαιρικών ρύπων που εκπέμπονται από αυτές</w:t>
      </w:r>
    </w:p>
    <w:p w:rsidR="00FC1B4C" w:rsidRPr="00D4046D" w:rsidRDefault="00FC1B4C" w:rsidP="004A4164">
      <w:pPr>
        <w:jc w:val="both"/>
        <w:rPr>
          <w:rFonts w:eastAsiaTheme="minorHAnsi"/>
          <w:b/>
          <w:bCs/>
        </w:rPr>
      </w:pPr>
    </w:p>
    <w:p w:rsidR="00FC1B4C" w:rsidRPr="00D4046D" w:rsidRDefault="00FC1B4C" w:rsidP="004A4164">
      <w:pPr>
        <w:jc w:val="both"/>
        <w:rPr>
          <w:i/>
          <w:iCs/>
          <w:u w:val="single"/>
        </w:rPr>
      </w:pPr>
    </w:p>
    <w:p w:rsidR="00FC1B4C" w:rsidRPr="00D4046D" w:rsidRDefault="00FC1B4C" w:rsidP="004A4164">
      <w:pPr>
        <w:jc w:val="both"/>
        <w:rPr>
          <w:bCs/>
          <w:iCs/>
        </w:rPr>
      </w:pPr>
      <w:r>
        <w:t>Δυνάμει της εξουσιοδότησης που χορηγείται κατά το άρθρο 110 παράγραφος 8 στοιχείο ζ) του νόμου LIII του 1995 σχετικά με τους γενικούς κανόνες περιβαλλοντικής προστασίας, ενεργώντας στο πλαίσιο των αρμοδιοτήτων μου, όπως ορίζονται στο άρθρο 79 παράγραφος 9 του κυβερνητικού διατάγματος αριθ. 94/2018 της 22ας Μαΐου 2018 σχετικά με τις αρμοδιότητες και τις εξουσίες των μελών της κυβέρνησης, διά του παρόντος εκδίδω το ακόλουθο διάταγμα:</w:t>
      </w:r>
    </w:p>
    <w:p w:rsidR="00FC1B4C" w:rsidRPr="00D4046D" w:rsidRDefault="00FC1B4C" w:rsidP="004A4164">
      <w:pPr>
        <w:jc w:val="both"/>
        <w:rPr>
          <w:i/>
        </w:rPr>
      </w:pPr>
    </w:p>
    <w:p w:rsidR="00287AE1" w:rsidRDefault="00D606F7" w:rsidP="004A4164">
      <w:pPr>
        <w:keepNext/>
        <w:keepLines/>
        <w:jc w:val="center"/>
        <w:rPr>
          <w:b/>
        </w:rPr>
      </w:pPr>
      <w:r>
        <w:rPr>
          <w:b/>
        </w:rPr>
        <w:t>Άρθρο 1</w:t>
      </w:r>
    </w:p>
    <w:p w:rsidR="00D606F7" w:rsidRDefault="00D606F7" w:rsidP="004A4164">
      <w:pPr>
        <w:keepNext/>
        <w:keepLines/>
        <w:jc w:val="center"/>
        <w:rPr>
          <w:b/>
        </w:rPr>
      </w:pPr>
    </w:p>
    <w:p w:rsidR="009F7DF7" w:rsidRPr="009F7DF7" w:rsidRDefault="004A4164" w:rsidP="004A4164">
      <w:pPr>
        <w:pStyle w:val="ListParagraph"/>
        <w:autoSpaceDE w:val="0"/>
        <w:autoSpaceDN w:val="0"/>
        <w:adjustRightInd w:val="0"/>
        <w:spacing w:before="60"/>
        <w:ind w:left="0"/>
        <w:jc w:val="both"/>
        <w:rPr>
          <w:bCs/>
          <w:iCs/>
        </w:rPr>
      </w:pPr>
      <w:r>
        <w:t>1) Το ακόλουθο σημείο 1α προστίθεται στο άρθρο 2 παράγραφος 1 του διατάγματος 53/2017 του υπουργού Γεωργίας της 18ης Οκτωβρίου 2017 για τις συνθήκες λειτουργίας μονάδων καύσης με ολική ονομαστική θερμική ισχύ μεγαλύτερη ή ίση με 140 kW</w:t>
      </w:r>
      <w:r>
        <w:rPr>
          <w:vertAlign w:val="subscript"/>
        </w:rPr>
        <w:t>th</w:t>
      </w:r>
      <w:r>
        <w:t xml:space="preserve"> αλλά μικρότερη από 50 MW</w:t>
      </w:r>
      <w:r>
        <w:rPr>
          <w:vertAlign w:val="subscript"/>
        </w:rPr>
        <w:t>th</w:t>
      </w:r>
      <w:r>
        <w:t xml:space="preserve"> και για τις οριακές τιμές ατμοσφαιρικών ρύπων που εκπέμπονται από αυτές (εφεξής αναφερόμενο: το διάταγμα):</w:t>
      </w:r>
    </w:p>
    <w:p w:rsidR="009F7DF7" w:rsidRPr="009F7DF7" w:rsidRDefault="009F7DF7" w:rsidP="004A4164">
      <w:pPr>
        <w:autoSpaceDE w:val="0"/>
        <w:autoSpaceDN w:val="0"/>
        <w:adjustRightInd w:val="0"/>
        <w:spacing w:before="60"/>
        <w:jc w:val="both"/>
        <w:rPr>
          <w:bCs/>
          <w:i/>
          <w:iCs/>
        </w:rPr>
      </w:pPr>
      <w:r>
        <w:rPr>
          <w:i/>
        </w:rPr>
        <w:t>(Για τους σκοπούς του παρόντος διατάγματος)</w:t>
      </w:r>
    </w:p>
    <w:p w:rsidR="009F7DF7" w:rsidRDefault="009F7DF7" w:rsidP="004A4164">
      <w:pPr>
        <w:autoSpaceDE w:val="0"/>
        <w:autoSpaceDN w:val="0"/>
        <w:adjustRightInd w:val="0"/>
        <w:spacing w:before="60"/>
        <w:jc w:val="both"/>
        <w:rPr>
          <w:bCs/>
          <w:iCs/>
        </w:rPr>
      </w:pPr>
      <w:r>
        <w:t>«1.α</w:t>
      </w:r>
      <w:r>
        <w:rPr>
          <w:i/>
        </w:rPr>
        <w:t xml:space="preserve"> «σύστημα μεταφοράς αερίου» </w:t>
      </w:r>
      <w:r>
        <w:t>νοείται ως ένα συνεργατικό σύστημα φυσικού αερίου δυνάμει του νόμου XL του 2008 για την παροχή φυσικού αερίου·»</w:t>
      </w:r>
    </w:p>
    <w:p w:rsidR="009F7DF7" w:rsidRDefault="009F7DF7" w:rsidP="004A4164">
      <w:pPr>
        <w:autoSpaceDE w:val="0"/>
        <w:autoSpaceDN w:val="0"/>
        <w:adjustRightInd w:val="0"/>
        <w:spacing w:before="60"/>
        <w:jc w:val="both"/>
        <w:rPr>
          <w:bCs/>
          <w:iCs/>
        </w:rPr>
      </w:pPr>
    </w:p>
    <w:p w:rsidR="00D606F7" w:rsidRDefault="009F7DF7" w:rsidP="004A4164">
      <w:pPr>
        <w:keepNext/>
        <w:keepLines/>
        <w:autoSpaceDE w:val="0"/>
        <w:autoSpaceDN w:val="0"/>
        <w:adjustRightInd w:val="0"/>
        <w:spacing w:before="60"/>
        <w:jc w:val="both"/>
        <w:rPr>
          <w:bCs/>
          <w:iCs/>
        </w:rPr>
      </w:pPr>
      <w:r>
        <w:t>2) Το άρθρο 2 παράγραφος 1 σημείο 9 του διατάγματος αντικαθίσταται από τα ακόλουθα:</w:t>
      </w:r>
    </w:p>
    <w:p w:rsidR="00D606F7" w:rsidRDefault="00D606F7" w:rsidP="004A4164">
      <w:pPr>
        <w:autoSpaceDE w:val="0"/>
        <w:autoSpaceDN w:val="0"/>
        <w:adjustRightInd w:val="0"/>
        <w:spacing w:before="60"/>
        <w:jc w:val="both"/>
        <w:rPr>
          <w:bCs/>
          <w:iCs/>
        </w:rPr>
      </w:pPr>
      <w:r>
        <w:t xml:space="preserve">«9. </w:t>
      </w:r>
      <w:r>
        <w:rPr>
          <w:i/>
        </w:rPr>
        <w:t>«συνολική ονομαστική θερμική ισχύς»</w:t>
      </w:r>
      <w:r>
        <w:t xml:space="preserve"> νοείται ως το άθροισμα των ονομαστικών θερμικών ισχύων μονάδων καύσης που υπολογίζεται σύμφωνα με τον κανόνα συνυπολογισμού, το οποίο στην περίπτωση μονάδας καύσης είναι ισοδύναμο με την ονομαστική θερμική ισχύ της·»</w:t>
      </w:r>
    </w:p>
    <w:p w:rsidR="00D606F7" w:rsidRDefault="00D606F7" w:rsidP="004A4164">
      <w:pPr>
        <w:autoSpaceDE w:val="0"/>
        <w:autoSpaceDN w:val="0"/>
        <w:adjustRightInd w:val="0"/>
        <w:spacing w:before="60"/>
        <w:jc w:val="both"/>
        <w:rPr>
          <w:bCs/>
          <w:iCs/>
        </w:rPr>
      </w:pPr>
    </w:p>
    <w:p w:rsidR="00D606F7" w:rsidRPr="00D606F7" w:rsidRDefault="00D606F7" w:rsidP="004A4164">
      <w:pPr>
        <w:keepNext/>
        <w:keepLines/>
        <w:jc w:val="center"/>
        <w:rPr>
          <w:b/>
        </w:rPr>
      </w:pPr>
      <w:r>
        <w:rPr>
          <w:b/>
        </w:rPr>
        <w:t>Άρθρο 2</w:t>
      </w:r>
    </w:p>
    <w:p w:rsidR="00DE6CCA" w:rsidRPr="00D4046D" w:rsidRDefault="00DE6CCA" w:rsidP="004A4164">
      <w:pPr>
        <w:pStyle w:val="ListParagraph"/>
        <w:keepNext/>
        <w:keepLines/>
        <w:ind w:left="0"/>
        <w:jc w:val="center"/>
        <w:rPr>
          <w:i/>
        </w:rPr>
      </w:pPr>
    </w:p>
    <w:p w:rsidR="00F3461C" w:rsidRPr="004A4164" w:rsidRDefault="004A4164" w:rsidP="004A4164">
      <w:pPr>
        <w:keepNext/>
        <w:keepLines/>
        <w:autoSpaceDE w:val="0"/>
        <w:autoSpaceDN w:val="0"/>
        <w:adjustRightInd w:val="0"/>
        <w:spacing w:before="60"/>
        <w:jc w:val="both"/>
        <w:rPr>
          <w:bCs/>
          <w:iCs/>
        </w:rPr>
      </w:pPr>
      <w:r>
        <w:t>1) Το άρθρο 4 παράγραφος 6 και 7 του διατάγματος τίθενται σε ισχύ με την εξής διατύπωση:</w:t>
      </w:r>
    </w:p>
    <w:p w:rsidR="00287AE1" w:rsidRPr="00D4046D" w:rsidRDefault="00287AE1" w:rsidP="004A4164">
      <w:pPr>
        <w:autoSpaceDE w:val="0"/>
        <w:autoSpaceDN w:val="0"/>
        <w:adjustRightInd w:val="0"/>
        <w:spacing w:before="60"/>
        <w:jc w:val="both"/>
        <w:rPr>
          <w:bCs/>
          <w:iCs/>
        </w:rPr>
      </w:pPr>
      <w:r>
        <w:t>«6) Οι οριακές τιμές εκπομπών που ορίζονται στο παράρτημα 1 εφαρμόζονται στις μονάδες καύσεις κατηγορίας I με συνολική ονομαστική θερμική ισχύ μεγαλύτερη από ή ίση με 1 MW</w:t>
      </w:r>
      <w:r>
        <w:rPr>
          <w:vertAlign w:val="subscript"/>
        </w:rPr>
        <w:t>th</w:t>
      </w:r>
      <w:r>
        <w:t xml:space="preserve"> και που λειτουργούν για έως 500 ώρες λειτουργίας ανά έτος, ως κυλιόμενος μέσος όρος σε περίοδο πέντε ετών, με την εξαίρεση πως η οριακή τιμή εκπομπών για στερεά υλικά για μονάδες καύσης που τροφοδοτούνται με στερεά καύσιμα από βιομάζας είναι 200 mg/Nm3 και η οριακή τιμή εκπομπών μονοξειδίου του άνθρακα είναι 375 mg/Nm</w:t>
      </w:r>
      <w:r>
        <w:rPr>
          <w:vertAlign w:val="superscript"/>
        </w:rPr>
        <w:t>3</w:t>
      </w:r>
      <w:r>
        <w:t>.</w:t>
      </w:r>
    </w:p>
    <w:p w:rsidR="00287AE1" w:rsidRPr="00D4046D" w:rsidRDefault="00287AE1" w:rsidP="004A4164">
      <w:pPr>
        <w:jc w:val="both"/>
        <w:rPr>
          <w:i/>
        </w:rPr>
      </w:pPr>
      <w:r>
        <w:t>7) Έως την 1η Ιανουαρίου 2030, οι οριακές τιμές που ορίζονται στο παράρτημα 1 ισχύουν για εγκαταστάσεις καύσης κατηγορίας I με συνολική ονομαστική θερμική ισχύ μεγαλύτερη από 5 MW</w:t>
      </w:r>
      <w:r>
        <w:rPr>
          <w:vertAlign w:val="subscript"/>
        </w:rPr>
        <w:t>th</w:t>
      </w:r>
      <w:r>
        <w:t xml:space="preserve">, όπου το 50 % της παραγωγής χρήσιμης θερμότητας των εν λόγω μονάδων, ως κυλιόμενος </w:t>
      </w:r>
      <w:r>
        <w:lastRenderedPageBreak/>
        <w:t>μέσος όρος σε περίοδο πέντε ετών, παραδίδεται με τη μορφή ατμού ή θερμότητας ή θερμού νερού σε δημόσιο δίκτυο οικιακής θέρμανσης, με την εξαίρεση πως η οριακή τιμή εκπομπών διοξειδίου του θείου για μονάδες που τροφοδοτούνται με στερεά και υγρά καύσιμα είναι 1 100 mg/Nm</w:t>
      </w:r>
      <w:r>
        <w:rPr>
          <w:vertAlign w:val="subscript"/>
        </w:rPr>
        <w:t>3</w:t>
      </w:r>
      <w:r>
        <w:t xml:space="preserve"> και η οριακή τιμή εκπομπών για στερεά καύσιμα για μονάδες καύσης που τροφοδοτούνται με στερεά καύσιμα είναι 150 mg/Nm</w:t>
      </w:r>
      <w:r>
        <w:rPr>
          <w:vertAlign w:val="superscript"/>
        </w:rPr>
        <w:t>3</w:t>
      </w:r>
      <w:r>
        <w:t>, ενώ η οριακή τιμή μονοξειδίου του άνθρακα για μονάδες καύσης που τροφοδοτούνται με στερεό καύσιμο από βιομάζα είναι 375 mg/Nm</w:t>
      </w:r>
      <w:r>
        <w:rPr>
          <w:vertAlign w:val="superscript"/>
        </w:rPr>
        <w:t>3</w:t>
      </w:r>
      <w:r>
        <w:t>.»</w:t>
      </w:r>
    </w:p>
    <w:p w:rsidR="00FE5F56" w:rsidRPr="00D4046D" w:rsidRDefault="00FE5F56" w:rsidP="004A4164">
      <w:pPr>
        <w:autoSpaceDE w:val="0"/>
        <w:autoSpaceDN w:val="0"/>
        <w:adjustRightInd w:val="0"/>
        <w:spacing w:before="60"/>
        <w:jc w:val="both"/>
        <w:rPr>
          <w:bCs/>
          <w:iCs/>
        </w:rPr>
      </w:pPr>
    </w:p>
    <w:p w:rsidR="004257C8" w:rsidRPr="00D4046D" w:rsidRDefault="00FC1B4C" w:rsidP="004A4164">
      <w:pPr>
        <w:keepNext/>
        <w:keepLines/>
        <w:autoSpaceDE w:val="0"/>
        <w:autoSpaceDN w:val="0"/>
        <w:adjustRightInd w:val="0"/>
        <w:spacing w:before="60"/>
        <w:jc w:val="both"/>
        <w:rPr>
          <w:bCs/>
          <w:iCs/>
        </w:rPr>
      </w:pPr>
      <w:r>
        <w:t>2) Το άρθρο 4 παράγραφος 9 του διατάγματος πρέπει να τεθεί σε ισχύ με την ακόλουθη διατύπωση:</w:t>
      </w:r>
    </w:p>
    <w:p w:rsidR="004257C8" w:rsidRDefault="004257C8" w:rsidP="004A4164">
      <w:pPr>
        <w:autoSpaceDE w:val="0"/>
        <w:autoSpaceDN w:val="0"/>
        <w:adjustRightInd w:val="0"/>
        <w:jc w:val="both"/>
        <w:rPr>
          <w:rFonts w:eastAsiaTheme="minorEastAsia"/>
        </w:rPr>
      </w:pPr>
      <w:r>
        <w:t>«9) Έως την 1η Ιανουαρίου 2030, οι οριακές τιμές εκπομπών που ορίζονται στο παράρτημα 1 πρέπει να εφαρμόζονται σε οξείδια του αζώτου από κινητήρες κατηγορίας 1 και αεριοστροβίλους με συνολική ονομαστική θερμική ισχύ άνω των 5 MW</w:t>
      </w:r>
      <w:r>
        <w:rPr>
          <w:vertAlign w:val="subscript"/>
        </w:rPr>
        <w:t>th</w:t>
      </w:r>
      <w:r>
        <w:t xml:space="preserve"> και χρησιμοποιούνται για τη λειτουργία σταθμών συμπίεσης αερίου που απαιτούνται για την εγγύηση της ασφάλειας και προστασίας των συστημάτων μεταφοράς, με την εξαίρεση πως σε περίπτωση κινητήρων αερίου που τέθηκαν σε λειτουργία πριν από την 1η Ιανουαρίου 1994, η οριακή τιμή εκπομπών για οξείδια αζώτου είναι 565 mg/Nm</w:t>
      </w:r>
      <w:r>
        <w:rPr>
          <w:vertAlign w:val="superscript"/>
        </w:rPr>
        <w:t>3</w:t>
      </w:r>
      <w:r>
        <w:t>.»</w:t>
      </w:r>
    </w:p>
    <w:p w:rsidR="00740D2A" w:rsidRPr="00D4046D" w:rsidRDefault="00740D2A" w:rsidP="004A4164">
      <w:pPr>
        <w:autoSpaceDE w:val="0"/>
        <w:autoSpaceDN w:val="0"/>
        <w:adjustRightInd w:val="0"/>
        <w:jc w:val="both"/>
        <w:rPr>
          <w:bCs/>
          <w:iCs/>
        </w:rPr>
      </w:pPr>
    </w:p>
    <w:p w:rsidR="00FC1B4C" w:rsidRPr="00D4046D" w:rsidRDefault="004257C8" w:rsidP="004A4164">
      <w:pPr>
        <w:keepNext/>
        <w:keepLines/>
        <w:autoSpaceDE w:val="0"/>
        <w:autoSpaceDN w:val="0"/>
        <w:adjustRightInd w:val="0"/>
        <w:spacing w:before="60"/>
        <w:jc w:val="both"/>
        <w:rPr>
          <w:bCs/>
          <w:iCs/>
        </w:rPr>
      </w:pPr>
      <w:r>
        <w:t>3) Η παράγραφος 4 σημείο 10 του διατάγματος αντικαθίσταται από τα ακόλουθα:</w:t>
      </w:r>
    </w:p>
    <w:p w:rsidR="00FC1B4C" w:rsidRPr="00D4046D" w:rsidRDefault="00FC1B4C" w:rsidP="004A4164">
      <w:pPr>
        <w:autoSpaceDE w:val="0"/>
        <w:autoSpaceDN w:val="0"/>
        <w:adjustRightInd w:val="0"/>
        <w:spacing w:before="60"/>
        <w:jc w:val="both"/>
        <w:rPr>
          <w:bCs/>
          <w:iCs/>
        </w:rPr>
      </w:pPr>
      <w:r>
        <w:t>«10) Οι οριακές τιμές εκπομπών που ορίζονται στο παράρτημα 1 εφαρμόζονται σε μονάδες καύσης κατηγορίας II που λειτουργούν για έως 500 ώρες λειτουργίας ανά έτος, ως κυλιόμενος μέσος όρος σε περίοδο πέντε ετών, με την εξαίρεση πως η οριακή τιμή εκπομπών για στερεά υλικά μονάδων καύσης που τροφοδοτούνται με στερεά καύσιμα από βιομάζα είναι 100 mg/Nm3 και η οριακή τιμή εκπομπών μονοξειδίου του άνθρακα για μονάδες καύσης με συνολική θερμική ισχύ μεγαλύτερη ή ίση με 1 MW</w:t>
      </w:r>
      <w:r>
        <w:rPr>
          <w:vertAlign w:val="subscript"/>
        </w:rPr>
        <w:t>th</w:t>
      </w:r>
      <w:r>
        <w:t>, οι οποίες τροφοδοτούνται με στερεό καύσιμο από βιομάζα είναι 375 mg/Nm</w:t>
      </w:r>
      <w:r>
        <w:rPr>
          <w:vertAlign w:val="subscript"/>
        </w:rPr>
        <w:t>3</w:t>
      </w:r>
      <w:r>
        <w:t>.»</w:t>
      </w:r>
    </w:p>
    <w:p w:rsidR="00DE6CCA" w:rsidRPr="00D4046D" w:rsidRDefault="00DE6CCA" w:rsidP="004A4164">
      <w:pPr>
        <w:autoSpaceDE w:val="0"/>
        <w:autoSpaceDN w:val="0"/>
        <w:adjustRightInd w:val="0"/>
        <w:spacing w:before="60"/>
        <w:jc w:val="both"/>
        <w:rPr>
          <w:bCs/>
          <w:iCs/>
        </w:rPr>
      </w:pPr>
    </w:p>
    <w:p w:rsidR="00DE6CCA" w:rsidRPr="00D4046D" w:rsidRDefault="004916B6" w:rsidP="004A4164">
      <w:pPr>
        <w:pStyle w:val="ListParagraph"/>
        <w:keepNext/>
        <w:keepLines/>
        <w:autoSpaceDE w:val="0"/>
        <w:autoSpaceDN w:val="0"/>
        <w:adjustRightInd w:val="0"/>
        <w:spacing w:before="60"/>
        <w:ind w:left="0"/>
        <w:jc w:val="both"/>
        <w:rPr>
          <w:bCs/>
          <w:iCs/>
        </w:rPr>
      </w:pPr>
      <w:r>
        <w:t>4) Η παράγραφος 4 σημείο 13 του διατάγματος αντικαθίσταται από τα ακόλουθα:</w:t>
      </w:r>
    </w:p>
    <w:p w:rsidR="00DE6CCA" w:rsidRPr="00553495" w:rsidRDefault="00DE6CCA" w:rsidP="004A4164">
      <w:pPr>
        <w:keepNext/>
        <w:keepLines/>
        <w:autoSpaceDE w:val="0"/>
        <w:autoSpaceDN w:val="0"/>
        <w:adjustRightInd w:val="0"/>
        <w:jc w:val="both"/>
        <w:rPr>
          <w:bCs/>
          <w:iCs/>
        </w:rPr>
      </w:pPr>
      <w:r>
        <w:t>«13) Στην περίπτωση σταθερών κινητήρων, οι οριακές τιμές εκπομπών δεν ισχύουν για</w:t>
      </w:r>
    </w:p>
    <w:p w:rsidR="00DE6CCA" w:rsidRPr="00D4046D" w:rsidRDefault="00DE6CCA" w:rsidP="004A4164">
      <w:pPr>
        <w:autoSpaceDE w:val="0"/>
        <w:autoSpaceDN w:val="0"/>
        <w:adjustRightInd w:val="0"/>
        <w:jc w:val="both"/>
      </w:pPr>
      <w:r>
        <w:rPr>
          <w:i/>
        </w:rPr>
        <w:t>α)</w:t>
      </w:r>
      <w:r>
        <w:t xml:space="preserve"> </w:t>
      </w:r>
      <w:r>
        <w:rPr>
          <w:i/>
        </w:rPr>
        <w:t>κινητήρες</w:t>
      </w:r>
      <w:r>
        <w:t xml:space="preserve"> με ονομαστική θερμική ισχύ μικρότερη από 1 MW</w:t>
      </w:r>
      <w:r>
        <w:rPr>
          <w:vertAlign w:val="subscript"/>
        </w:rPr>
        <w:t>th</w:t>
      </w:r>
      <w:r>
        <w:t>, του οποίου η χρήση καυσίμου είναι μικρότερη από 50 kg/h και</w:t>
      </w:r>
    </w:p>
    <w:p w:rsidR="00DE6CCA" w:rsidRPr="00D4046D" w:rsidRDefault="00DE6CCA" w:rsidP="004A4164">
      <w:pPr>
        <w:autoSpaceDE w:val="0"/>
        <w:autoSpaceDN w:val="0"/>
        <w:adjustRightInd w:val="0"/>
        <w:jc w:val="both"/>
      </w:pPr>
      <w:r>
        <w:rPr>
          <w:i/>
        </w:rPr>
        <w:t>β)</w:t>
      </w:r>
      <w:r>
        <w:t xml:space="preserve"> </w:t>
      </w:r>
      <w:r>
        <w:rPr>
          <w:i/>
        </w:rPr>
        <w:t xml:space="preserve">σταθερούς κινητήρες </w:t>
      </w:r>
      <w:r>
        <w:t>με παροχή έκτακτης ανάγκης, η οποία λειτουργεί για λιγότερο από 50 ώρες ανά έτος.»</w:t>
      </w:r>
    </w:p>
    <w:p w:rsidR="00DE6CCA" w:rsidRPr="00D4046D" w:rsidRDefault="00DE6CCA" w:rsidP="004A4164">
      <w:pPr>
        <w:pStyle w:val="ListParagraph"/>
        <w:autoSpaceDE w:val="0"/>
        <w:autoSpaceDN w:val="0"/>
        <w:adjustRightInd w:val="0"/>
        <w:spacing w:before="60"/>
        <w:ind w:left="0"/>
        <w:jc w:val="both"/>
        <w:rPr>
          <w:bCs/>
          <w:iCs/>
        </w:rPr>
      </w:pPr>
    </w:p>
    <w:p w:rsidR="00FC1B4C" w:rsidRPr="00D4046D" w:rsidRDefault="00D606F7" w:rsidP="004A4164">
      <w:pPr>
        <w:keepNext/>
        <w:keepLines/>
        <w:autoSpaceDE w:val="0"/>
        <w:autoSpaceDN w:val="0"/>
        <w:adjustRightInd w:val="0"/>
        <w:jc w:val="center"/>
        <w:rPr>
          <w:b/>
          <w:bCs/>
          <w:iCs/>
        </w:rPr>
      </w:pPr>
      <w:r>
        <w:rPr>
          <w:b/>
        </w:rPr>
        <w:t>Άρθρο 3</w:t>
      </w:r>
    </w:p>
    <w:p w:rsidR="00D26C98" w:rsidRPr="00D4046D" w:rsidRDefault="00D26C98" w:rsidP="004A4164">
      <w:pPr>
        <w:keepNext/>
        <w:keepLines/>
        <w:autoSpaceDE w:val="0"/>
        <w:autoSpaceDN w:val="0"/>
        <w:adjustRightInd w:val="0"/>
        <w:jc w:val="center"/>
        <w:rPr>
          <w:bCs/>
          <w:iCs/>
        </w:rPr>
      </w:pPr>
    </w:p>
    <w:p w:rsidR="00FC1B4C" w:rsidRPr="00D4046D" w:rsidRDefault="00FC1B4C" w:rsidP="004A4164">
      <w:pPr>
        <w:keepNext/>
        <w:keepLines/>
        <w:autoSpaceDE w:val="0"/>
        <w:autoSpaceDN w:val="0"/>
        <w:adjustRightInd w:val="0"/>
        <w:jc w:val="both"/>
      </w:pPr>
      <w:r>
        <w:t>Το άρθρο 12 παράγραφοι 2 και 3 του διατάγματος αντικαθίσταται από τα ακόλουθα:</w:t>
      </w:r>
    </w:p>
    <w:p w:rsidR="00D26C98" w:rsidRPr="00D4046D" w:rsidRDefault="00D26C98" w:rsidP="004A4164">
      <w:pPr>
        <w:keepNext/>
        <w:keepLines/>
        <w:autoSpaceDE w:val="0"/>
        <w:autoSpaceDN w:val="0"/>
        <w:adjustRightInd w:val="0"/>
        <w:jc w:val="both"/>
      </w:pPr>
    </w:p>
    <w:p w:rsidR="006B0CC9" w:rsidRPr="00D4046D" w:rsidRDefault="00FC1B4C" w:rsidP="004A4164">
      <w:pPr>
        <w:autoSpaceDE w:val="0"/>
        <w:autoSpaceDN w:val="0"/>
        <w:adjustRightInd w:val="0"/>
        <w:spacing w:before="60"/>
        <w:jc w:val="both"/>
      </w:pPr>
      <w:r>
        <w:t>«2) Έως τις 31 Δεκεμβρίου 2029, οι οριακές τιμές εκπομπών που ορίζονται στο παράρτημα 1 εφαρμόζονται σε μονάδες καύσης κατηγορίας I με συνολική ονομαστική θερμική ισχύ μεγαλύτερη από ή ίση με 1 MW</w:t>
      </w:r>
      <w:r>
        <w:rPr>
          <w:vertAlign w:val="subscript"/>
        </w:rPr>
        <w:t>th</w:t>
      </w:r>
      <w:r>
        <w:t xml:space="preserve"> αλλά μικρότερη από 5 MW</w:t>
      </w:r>
      <w:r>
        <w:rPr>
          <w:vertAlign w:val="subscript"/>
        </w:rPr>
        <w:t>th</w:t>
      </w:r>
      <w:r>
        <w:t xml:space="preserve">, με τις ακόλουθες εξαιρέσεις: </w:t>
      </w:r>
    </w:p>
    <w:p w:rsidR="00FC1B4C" w:rsidRPr="00D4046D" w:rsidRDefault="00FC1B4C" w:rsidP="004A4164">
      <w:pPr>
        <w:pStyle w:val="ListParagraph"/>
        <w:numPr>
          <w:ilvl w:val="0"/>
          <w:numId w:val="50"/>
        </w:numPr>
        <w:autoSpaceDE w:val="0"/>
        <w:autoSpaceDN w:val="0"/>
        <w:adjustRightInd w:val="0"/>
        <w:spacing w:before="60"/>
        <w:ind w:left="426" w:hanging="426"/>
        <w:jc w:val="both"/>
      </w:pPr>
      <w:r>
        <w:t>σε περίπτωση καύσης στερεής βιομάζας, η οριακή τιμή εκπομπών μονοξειδίου του άνθρακα είναι 375 mg/Nm</w:t>
      </w:r>
      <w:r>
        <w:rPr>
          <w:vertAlign w:val="superscript"/>
        </w:rPr>
        <w:t>3</w:t>
      </w:r>
      <w:r>
        <w:t>,</w:t>
      </w:r>
    </w:p>
    <w:p w:rsidR="006B0CC9" w:rsidRPr="00D4046D" w:rsidRDefault="006B0CC9" w:rsidP="004A4164">
      <w:pPr>
        <w:pStyle w:val="ListParagraph"/>
        <w:numPr>
          <w:ilvl w:val="0"/>
          <w:numId w:val="50"/>
        </w:numPr>
        <w:autoSpaceDE w:val="0"/>
        <w:autoSpaceDN w:val="0"/>
        <w:adjustRightInd w:val="0"/>
        <w:spacing w:before="60"/>
        <w:ind w:left="426" w:hanging="426"/>
        <w:jc w:val="both"/>
      </w:pPr>
      <w:r>
        <w:t>σε περίπτωση κινητήρων αερίου που τέθηκαν σε λειτουργία πριν από την 1η Ιανουαρίου 1994, οι οποίοι έχουν συνολική ονομαστική θερμική ισχύ άνω των 3 MW</w:t>
      </w:r>
      <w:r>
        <w:rPr>
          <w:vertAlign w:val="subscript"/>
        </w:rPr>
        <w:t>th</w:t>
      </w:r>
      <w:r>
        <w:t>, η οριακή τιμή οξειδίων του αζώτου είναι 565 mg/Nm3, η οριακή τιμή εκπομπών CO για τετράχρονους κινητήρες είναι 375 mg/Nm</w:t>
      </w:r>
      <w:r>
        <w:rPr>
          <w:vertAlign w:val="superscript"/>
        </w:rPr>
        <w:t>3</w:t>
      </w:r>
      <w:r>
        <w:t>, για δίχρονους κινητήρες είναι 320 mg/Nm</w:t>
      </w:r>
      <w:r>
        <w:rPr>
          <w:vertAlign w:val="superscript"/>
        </w:rPr>
        <w:t>3</w:t>
      </w:r>
      <w:r>
        <w:t xml:space="preserve"> και για ολικές οργανικές ενώσεις, οι </w:t>
      </w:r>
      <w:r>
        <w:lastRenderedPageBreak/>
        <w:t>οποίες εκφράζονται ως C (άνθρακα), εκτός από το μεθάνιο, η οριακή τιμή εκπομπών είναι 115 mg/Nm</w:t>
      </w:r>
      <w:r>
        <w:rPr>
          <w:vertAlign w:val="superscript"/>
        </w:rPr>
        <w:t>3</w:t>
      </w:r>
      <w:r>
        <w:t>.</w:t>
      </w:r>
    </w:p>
    <w:p w:rsidR="006B0CC9" w:rsidRPr="00D4046D" w:rsidRDefault="00115E21" w:rsidP="004A4164">
      <w:pPr>
        <w:autoSpaceDE w:val="0"/>
        <w:autoSpaceDN w:val="0"/>
        <w:adjustRightInd w:val="0"/>
        <w:jc w:val="both"/>
      </w:pPr>
      <w:r>
        <w:t>3) Έως τις 31 Δεκεμβρίου 2024, οι οριακές τιμές εκπομπών στο παράρτημα 1 εφαρμόζονται σε μονάδες καύσης κατηγορίας I με συνολική ονομαστική θερμική ισχύ μεγαλύτερη από 5 MW</w:t>
      </w:r>
      <w:r>
        <w:rPr>
          <w:vertAlign w:val="subscript"/>
        </w:rPr>
        <w:t>th</w:t>
      </w:r>
      <w:r>
        <w:t xml:space="preserve"> με τις ακόλουθες εξαιρέσεις:</w:t>
      </w:r>
    </w:p>
    <w:p w:rsidR="006B0CC9" w:rsidRPr="00D4046D" w:rsidRDefault="00FC1B4C" w:rsidP="004A4164">
      <w:pPr>
        <w:pStyle w:val="ListParagraph"/>
        <w:numPr>
          <w:ilvl w:val="0"/>
          <w:numId w:val="55"/>
        </w:numPr>
        <w:autoSpaceDE w:val="0"/>
        <w:autoSpaceDN w:val="0"/>
        <w:adjustRightInd w:val="0"/>
        <w:spacing w:before="60"/>
        <w:ind w:left="426" w:hanging="426"/>
        <w:jc w:val="both"/>
      </w:pPr>
      <w:bookmarkStart w:id="0" w:name="_GoBack"/>
      <w:bookmarkEnd w:id="0"/>
      <w:r>
        <w:t>σε περίπτωση καύσης στερεής βιομάζας, η οριακή τιμή εκπομπών μονοξειδίου του άνθρακα είναι 375 mg/Nm</w:t>
      </w:r>
      <w:r>
        <w:rPr>
          <w:vertAlign w:val="superscript"/>
        </w:rPr>
        <w:t>3</w:t>
      </w:r>
      <w:r>
        <w:t>,</w:t>
      </w:r>
    </w:p>
    <w:p w:rsidR="00FC1B4C" w:rsidRPr="00D4046D" w:rsidRDefault="006B0CC9" w:rsidP="004A4164">
      <w:pPr>
        <w:pStyle w:val="ListParagraph"/>
        <w:numPr>
          <w:ilvl w:val="0"/>
          <w:numId w:val="55"/>
        </w:numPr>
        <w:autoSpaceDE w:val="0"/>
        <w:autoSpaceDN w:val="0"/>
        <w:adjustRightInd w:val="0"/>
        <w:spacing w:before="60"/>
        <w:ind w:left="426" w:hanging="426"/>
        <w:jc w:val="both"/>
      </w:pPr>
      <w:r>
        <w:t>σε περίπτωση κινητήρων αερίου που τέθηκαν σε λειτουργία πριν από την 1η Ιανουαρίου 1994, η οριακή τιμή οξειδίων του αζώτου είναι 565 mg/Nm</w:t>
      </w:r>
      <w:r>
        <w:rPr>
          <w:vertAlign w:val="superscript"/>
        </w:rPr>
        <w:t>3</w:t>
      </w:r>
      <w:r>
        <w:t>, η οριακή τιμή εκπομπών μονοξειδίου του άνθρακα για τετράχρονους κινητήρες είναι 375 mg/Nm</w:t>
      </w:r>
      <w:r>
        <w:rPr>
          <w:vertAlign w:val="superscript"/>
        </w:rPr>
        <w:t>3</w:t>
      </w:r>
      <w:r>
        <w:t>, για δίχρονους κινητήρες είναι 320 mg/Nm</w:t>
      </w:r>
      <w:r>
        <w:rPr>
          <w:vertAlign w:val="superscript"/>
        </w:rPr>
        <w:t>3</w:t>
      </w:r>
      <w:r>
        <w:t xml:space="preserve"> και για ολικές οργανικές ενώσεις, οι οποίες εκφράζονται ως C (άνθρακα), εκτός από το μεθάνιο, η οριακή τιμή εκπομπών είναι 115 mg/Nm</w:t>
      </w:r>
      <w:r>
        <w:rPr>
          <w:vertAlign w:val="superscript"/>
        </w:rPr>
        <w:t>3</w:t>
      </w:r>
      <w:r>
        <w:t>.»</w:t>
      </w:r>
    </w:p>
    <w:p w:rsidR="00115E21" w:rsidRPr="00D4046D" w:rsidRDefault="00115E21" w:rsidP="004A4164">
      <w:pPr>
        <w:autoSpaceDE w:val="0"/>
        <w:autoSpaceDN w:val="0"/>
        <w:adjustRightInd w:val="0"/>
        <w:jc w:val="both"/>
      </w:pPr>
    </w:p>
    <w:p w:rsidR="00115E21" w:rsidRPr="00D4046D" w:rsidRDefault="00D606F7" w:rsidP="004A4164">
      <w:pPr>
        <w:keepNext/>
        <w:keepLines/>
        <w:autoSpaceDE w:val="0"/>
        <w:autoSpaceDN w:val="0"/>
        <w:adjustRightInd w:val="0"/>
        <w:jc w:val="center"/>
        <w:rPr>
          <w:b/>
        </w:rPr>
      </w:pPr>
      <w:r>
        <w:rPr>
          <w:b/>
        </w:rPr>
        <w:t>Άρθρο 4</w:t>
      </w:r>
    </w:p>
    <w:p w:rsidR="00FC1B4C" w:rsidRPr="00D4046D" w:rsidRDefault="00FC1B4C" w:rsidP="004A4164">
      <w:pPr>
        <w:keepNext/>
        <w:keepLines/>
        <w:autoSpaceDE w:val="0"/>
        <w:autoSpaceDN w:val="0"/>
        <w:adjustRightInd w:val="0"/>
      </w:pPr>
    </w:p>
    <w:p w:rsidR="00C77639" w:rsidRPr="00D4046D" w:rsidRDefault="00C77639" w:rsidP="004A4164">
      <w:pPr>
        <w:autoSpaceDE w:val="0"/>
        <w:autoSpaceDN w:val="0"/>
        <w:adjustRightInd w:val="0"/>
      </w:pPr>
      <w:r>
        <w:t>1) Το παράρτημα 1 του διατάγματος τροποποιείται σύμφωνα με το παράρτημα 1.</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2) Το παράρτημα 2 του διατάγματος τίθεται σε ισχύ σύμφωνα με το παράρτημα 2.</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3) Το παράρτημα 3 του διατάγματος τίθεται σε ισχύ σύμφωνα με το παράρτημα 3.</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4) Το παράρτημα 4 του διατάγματος τροποποιείται σύμφωνα με το παράρτημα 4.</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5) Το παράρτημα 5 του διατάγματος τροποποιείται σύμφωνα με το παράρτημα 5.</w:t>
      </w:r>
    </w:p>
    <w:p w:rsidR="00C77639" w:rsidRDefault="00C77639" w:rsidP="004A4164">
      <w:pPr>
        <w:autoSpaceDE w:val="0"/>
        <w:autoSpaceDN w:val="0"/>
        <w:adjustRightInd w:val="0"/>
      </w:pPr>
    </w:p>
    <w:p w:rsidR="00052A46" w:rsidRPr="00D4046D" w:rsidRDefault="00D606F7" w:rsidP="004A4164">
      <w:pPr>
        <w:keepNext/>
        <w:keepLines/>
        <w:autoSpaceDE w:val="0"/>
        <w:autoSpaceDN w:val="0"/>
        <w:adjustRightInd w:val="0"/>
        <w:jc w:val="center"/>
        <w:rPr>
          <w:b/>
        </w:rPr>
      </w:pPr>
      <w:r>
        <w:rPr>
          <w:b/>
        </w:rPr>
        <w:t>Άρθρο 5</w:t>
      </w:r>
    </w:p>
    <w:p w:rsidR="00052A46" w:rsidRDefault="00052A46" w:rsidP="004A4164">
      <w:pPr>
        <w:keepNext/>
        <w:keepLines/>
        <w:autoSpaceDE w:val="0"/>
        <w:autoSpaceDN w:val="0"/>
        <w:adjustRightInd w:val="0"/>
      </w:pPr>
    </w:p>
    <w:p w:rsidR="00052A46" w:rsidRDefault="00052A46" w:rsidP="004A4164">
      <w:pPr>
        <w:autoSpaceDE w:val="0"/>
        <w:autoSpaceDN w:val="0"/>
        <w:adjustRightInd w:val="0"/>
      </w:pPr>
      <w:r>
        <w:t>Στο παράρτημα 4 σημείο 3, το υποσημείο 3.4 του διατάγματος καταργείται διά του παρόντος.</w:t>
      </w:r>
    </w:p>
    <w:p w:rsidR="00052A46" w:rsidRPr="00D4046D" w:rsidRDefault="00052A46" w:rsidP="004A4164">
      <w:pPr>
        <w:autoSpaceDE w:val="0"/>
        <w:autoSpaceDN w:val="0"/>
        <w:adjustRightInd w:val="0"/>
      </w:pPr>
    </w:p>
    <w:p w:rsidR="00C77639" w:rsidRPr="00D4046D" w:rsidRDefault="00D606F7" w:rsidP="004A4164">
      <w:pPr>
        <w:keepNext/>
        <w:keepLines/>
        <w:autoSpaceDE w:val="0"/>
        <w:autoSpaceDN w:val="0"/>
        <w:adjustRightInd w:val="0"/>
        <w:jc w:val="center"/>
        <w:rPr>
          <w:b/>
        </w:rPr>
      </w:pPr>
      <w:r>
        <w:rPr>
          <w:b/>
        </w:rPr>
        <w:t>Άρθρο 6</w:t>
      </w:r>
    </w:p>
    <w:p w:rsidR="00C77639" w:rsidRPr="00D4046D" w:rsidRDefault="00C77639" w:rsidP="004A4164">
      <w:pPr>
        <w:keepNext/>
        <w:keepLines/>
        <w:autoSpaceDE w:val="0"/>
        <w:autoSpaceDN w:val="0"/>
        <w:adjustRightInd w:val="0"/>
      </w:pPr>
    </w:p>
    <w:p w:rsidR="00FC1B4C" w:rsidRPr="00D4046D" w:rsidRDefault="00FC1B4C" w:rsidP="004A4164">
      <w:pPr>
        <w:autoSpaceDE w:val="0"/>
        <w:autoSpaceDN w:val="0"/>
        <w:adjustRightInd w:val="0"/>
        <w:jc w:val="both"/>
      </w:pPr>
      <w:r>
        <w:t>1) Το παρόν διάταγμα, με τις εξαιρέσεις που ορίζονται στις παραγράφους 2 έως 3, τίθεται σε ισχύ την 15η ημέρα από τη δημοσίευσή του.</w:t>
      </w:r>
    </w:p>
    <w:p w:rsidR="004916B6" w:rsidRPr="00D4046D" w:rsidRDefault="004916B6" w:rsidP="004A4164">
      <w:pPr>
        <w:autoSpaceDE w:val="0"/>
        <w:autoSpaceDN w:val="0"/>
        <w:adjustRightInd w:val="0"/>
        <w:jc w:val="both"/>
      </w:pPr>
    </w:p>
    <w:p w:rsidR="004916B6" w:rsidRDefault="004A4164" w:rsidP="004A4164">
      <w:pPr>
        <w:pStyle w:val="ListParagraph"/>
        <w:autoSpaceDE w:val="0"/>
        <w:autoSpaceDN w:val="0"/>
        <w:adjustRightInd w:val="0"/>
        <w:ind w:left="0"/>
        <w:jc w:val="both"/>
      </w:pPr>
      <w:r>
        <w:t>2) Το άρθρο 2 παράγραφος 1 και 2, άρθρο 4 παράγραφος 3 και το παράρτημα 3 τίθενται σε ισχύ την 1η Ιανουαρίου 2025.</w:t>
      </w:r>
    </w:p>
    <w:p w:rsidR="00567A90" w:rsidRPr="00D4046D" w:rsidRDefault="00567A90" w:rsidP="004A4164">
      <w:pPr>
        <w:pStyle w:val="ListParagraph"/>
        <w:autoSpaceDE w:val="0"/>
        <w:autoSpaceDN w:val="0"/>
        <w:adjustRightInd w:val="0"/>
        <w:ind w:left="0"/>
        <w:jc w:val="both"/>
      </w:pPr>
    </w:p>
    <w:p w:rsidR="00767D9D" w:rsidRDefault="004A4164" w:rsidP="004A4164">
      <w:pPr>
        <w:pStyle w:val="ListParagraph"/>
        <w:autoSpaceDE w:val="0"/>
        <w:autoSpaceDN w:val="0"/>
        <w:adjustRightInd w:val="0"/>
        <w:ind w:left="0"/>
        <w:jc w:val="both"/>
      </w:pPr>
      <w:r>
        <w:t>3) Το άρθρο 4 παράγραφος 2 και το παράρτημα 2 τίθενται σε ισχύ την 1η Ιανουαρίου 2030.</w:t>
      </w:r>
    </w:p>
    <w:p w:rsidR="00567A90" w:rsidRPr="00567A90" w:rsidRDefault="00567A90" w:rsidP="004A4164">
      <w:pPr>
        <w:pStyle w:val="ListParagraph"/>
        <w:autoSpaceDE w:val="0"/>
        <w:autoSpaceDN w:val="0"/>
        <w:adjustRightInd w:val="0"/>
        <w:ind w:left="0"/>
        <w:jc w:val="both"/>
        <w:rPr>
          <w:rFonts w:eastAsiaTheme="minorHAnsi"/>
        </w:rPr>
      </w:pPr>
    </w:p>
    <w:p w:rsidR="00767D9D" w:rsidRPr="001E77B8" w:rsidRDefault="001F134F" w:rsidP="004A4164">
      <w:pPr>
        <w:keepNext/>
        <w:keepLines/>
        <w:jc w:val="center"/>
        <w:rPr>
          <w:b/>
        </w:rPr>
      </w:pPr>
      <w:r>
        <w:rPr>
          <w:b/>
        </w:rPr>
        <w:t>Άρθρο 7</w:t>
      </w:r>
    </w:p>
    <w:p w:rsidR="00716094" w:rsidRPr="00D4046D" w:rsidRDefault="00716094" w:rsidP="004A4164">
      <w:pPr>
        <w:keepNext/>
        <w:keepLines/>
      </w:pPr>
    </w:p>
    <w:p w:rsidR="00716094" w:rsidRPr="00D4046D" w:rsidRDefault="00716094" w:rsidP="004A4164">
      <w:pPr>
        <w:autoSpaceDE w:val="0"/>
        <w:autoSpaceDN w:val="0"/>
        <w:adjustRightInd w:val="0"/>
        <w:jc w:val="both"/>
        <w:rPr>
          <w:rFonts w:eastAsiaTheme="minorEastAsia"/>
        </w:rPr>
      </w:pPr>
      <w:r>
        <w:t>1) Το εν λόγω διάταγμα εξυπηρετεί τον σκοπό συμμόρφωσης με την οδηγία (ΕΕ) 2015/2193 του Ευρωπαϊκού Κοινοβουλίου και του Συμβουλίου, της 25ης Νοεμβρίου 2015, για τον περιορισμό των εκπομπών ορισμένων ρύπων στην ατμόσφαιρα από μεσαίου μεγέθους μονάδες καύσης.</w:t>
      </w:r>
    </w:p>
    <w:p w:rsidR="00716094" w:rsidRPr="00D4046D" w:rsidRDefault="00716094" w:rsidP="004A4164">
      <w:pPr>
        <w:autoSpaceDE w:val="0"/>
        <w:autoSpaceDN w:val="0"/>
        <w:adjustRightInd w:val="0"/>
        <w:jc w:val="both"/>
        <w:rPr>
          <w:rFonts w:eastAsiaTheme="minorEastAsia"/>
        </w:rPr>
      </w:pPr>
    </w:p>
    <w:p w:rsidR="00716094" w:rsidRPr="00D4046D" w:rsidRDefault="00716094" w:rsidP="004A4164">
      <w:pPr>
        <w:autoSpaceDE w:val="0"/>
        <w:autoSpaceDN w:val="0"/>
        <w:adjustRightInd w:val="0"/>
        <w:jc w:val="both"/>
        <w:rPr>
          <w:rFonts w:eastAsiaTheme="minorEastAsia"/>
        </w:rPr>
      </w:pPr>
      <w:r>
        <w:t xml:space="preserve">2) Τηρείται η απαίτηση για προηγούμενη κοινοποίηση αυτού του σχεδίου διατάγματος, όπως ορίζεται στα άρθρα 5 έως 7 της οδηγίας (ΕΕ) 2015/1535 του Ευρωπαϊκού Κοινοβουλίου και του </w:t>
      </w:r>
      <w:r>
        <w:lastRenderedPageBreak/>
        <w:t>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rsidR="00716094" w:rsidRPr="00D4046D" w:rsidRDefault="00716094" w:rsidP="004A4164"/>
    <w:p w:rsidR="00115E21" w:rsidRPr="000B1A9E" w:rsidRDefault="00115E21" w:rsidP="004A4164">
      <w:r>
        <w:t>Βουδαπέστη, [ημερομηνία] Ιουνίου 2019.»</w:t>
      </w:r>
    </w:p>
    <w:p w:rsidR="00115E21" w:rsidRPr="00832B17" w:rsidRDefault="00115E21" w:rsidP="004A4164"/>
    <w:p w:rsidR="004A4164" w:rsidRDefault="002125C2" w:rsidP="004A4164">
      <w:pPr>
        <w:ind w:left="6379"/>
      </w:pPr>
      <w:r>
        <w:t>Δρ István Nagy</w:t>
      </w:r>
    </w:p>
    <w:p w:rsidR="004A4164" w:rsidRPr="004A4164" w:rsidRDefault="004A4164" w:rsidP="004A4164">
      <w:pPr>
        <w:ind w:left="6379"/>
      </w:pPr>
      <w:r>
        <w:rPr>
          <w:i/>
        </w:rPr>
        <w:t>Ο Υπουργός Γεωργίας</w:t>
      </w:r>
    </w:p>
    <w:p w:rsidR="00FC1B4C" w:rsidRPr="00D4046D" w:rsidRDefault="00FC1B4C" w:rsidP="004A4164">
      <w:pPr>
        <w:keepNext/>
        <w:keepLines/>
        <w:pageBreakBefore/>
        <w:autoSpaceDE w:val="0"/>
        <w:autoSpaceDN w:val="0"/>
        <w:adjustRightInd w:val="0"/>
        <w:jc w:val="right"/>
        <w:rPr>
          <w:i/>
        </w:rPr>
      </w:pPr>
      <w:r>
        <w:rPr>
          <w:i/>
        </w:rPr>
        <w:lastRenderedPageBreak/>
        <w:t>Παράρτημα 1 του διατάγματος αριθ. .../2019 της ... ... 2019 του Υπουργού Γεωργίας</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keepNext/>
        <w:keepLines/>
        <w:autoSpaceDE w:val="0"/>
        <w:autoSpaceDN w:val="0"/>
        <w:adjustRightInd w:val="0"/>
      </w:pPr>
      <w:r>
        <w:t>1. Στο παράρτημα 1 σημείο 2, το υποσημείο 2.3 του διατάγματος αντικαθίσταται από τα εξής:</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«2.3 Η οριακή τιμή εκπομπών NOx είναι 320 mg/m</w:t>
      </w:r>
      <w:r>
        <w:rPr>
          <w:vertAlign w:val="superscript"/>
        </w:rPr>
        <w:t>3</w:t>
      </w:r>
      <w:r>
        <w:t>για καύση λιγνίτη, 300 mg/m</w:t>
      </w:r>
      <w:r>
        <w:rPr>
          <w:vertAlign w:val="superscript"/>
        </w:rPr>
        <w:t>3</w:t>
      </w:r>
      <w:r>
        <w:t xml:space="preserve"> για λέβητες καύσης ρευστών καυσίμων που τροφοδοτούνται με στερεά καύσιμα από βιομάζα και 210 mg/m</w:t>
      </w:r>
      <w:r>
        <w:rPr>
          <w:vertAlign w:val="superscript"/>
        </w:rPr>
        <w:t>3</w:t>
      </w:r>
      <w:r>
        <w:t xml:space="preserve"> για λέβητες καύσης ρευστών καυσίμων που τροφοδοτούνται με άλλα στερεά καύσιμα.»</w:t>
      </w:r>
    </w:p>
    <w:p w:rsidR="00FC1B4C" w:rsidRPr="00D4046D" w:rsidRDefault="00FC1B4C" w:rsidP="004A4164">
      <w:pPr>
        <w:autoSpaceDE w:val="0"/>
        <w:autoSpaceDN w:val="0"/>
        <w:adjustRightInd w:val="0"/>
        <w:jc w:val="both"/>
      </w:pPr>
    </w:p>
    <w:p w:rsidR="00462608" w:rsidRPr="00D4046D" w:rsidRDefault="00462608" w:rsidP="004A4164">
      <w:pPr>
        <w:autoSpaceDE w:val="0"/>
        <w:autoSpaceDN w:val="0"/>
        <w:adjustRightInd w:val="0"/>
        <w:jc w:val="both"/>
      </w:pPr>
    </w:p>
    <w:p w:rsidR="00462608" w:rsidRPr="00D4046D" w:rsidRDefault="00462608" w:rsidP="004A4164">
      <w:pPr>
        <w:keepNext/>
        <w:keepLines/>
        <w:autoSpaceDE w:val="0"/>
        <w:autoSpaceDN w:val="0"/>
        <w:adjustRightInd w:val="0"/>
        <w:jc w:val="both"/>
      </w:pPr>
      <w:r>
        <w:t>2. Το Παράρτημα 1 σημείο 3 υποσημείο 3.1 του διατάγματος αντικαθίσταται από τα εξής:</w:t>
      </w:r>
    </w:p>
    <w:p w:rsidR="00462608" w:rsidRPr="00D4046D" w:rsidRDefault="00462608" w:rsidP="004A4164">
      <w:pPr>
        <w:keepNext/>
        <w:keepLines/>
        <w:autoSpaceDE w:val="0"/>
        <w:autoSpaceDN w:val="0"/>
        <w:adjustRightInd w:val="0"/>
        <w:jc w:val="both"/>
      </w:pPr>
    </w:p>
    <w:p w:rsidR="00462608" w:rsidRPr="00D4046D" w:rsidRDefault="00462608" w:rsidP="004A4164">
      <w:pPr>
        <w:autoSpaceDE w:val="0"/>
        <w:autoSpaceDN w:val="0"/>
        <w:adjustRightInd w:val="0"/>
        <w:jc w:val="both"/>
      </w:pPr>
      <w:r>
        <w:t>«3.1 Η οριακή τιμή εκπομπών NOx είναι 300 mg/m</w:t>
      </w:r>
      <w:r>
        <w:rPr>
          <w:vertAlign w:val="superscript"/>
        </w:rPr>
        <w:t>3</w:t>
      </w:r>
      <w:r>
        <w:t xml:space="preserve"> για δίχρονους κινητήρες, 225 mg/m</w:t>
      </w:r>
      <w:r>
        <w:rPr>
          <w:vertAlign w:val="superscript"/>
        </w:rPr>
        <w:t>3</w:t>
      </w:r>
      <w:r>
        <w:t xml:space="preserve"> για τετράχρονους κινητήρες που τροφοδοτούνται με αέριο βιομάζας και υγειονομικής ταφής, 1 650 mg/m</w:t>
      </w:r>
      <w:r>
        <w:rPr>
          <w:vertAlign w:val="superscript"/>
        </w:rPr>
        <w:t>3</w:t>
      </w:r>
      <w:r>
        <w:t xml:space="preserve"> για κινητήρες ντίζελ που χρησιμοποιούνται αποκλειστικά για ερευνητικές γεωτρήσεις και 1 500 mg/m</w:t>
      </w:r>
      <w:r>
        <w:rPr>
          <w:vertAlign w:val="superscript"/>
        </w:rPr>
        <w:t>3</w:t>
      </w:r>
      <w:r>
        <w:t xml:space="preserve"> για άλλους κινητήρες ντίζελ.»</w:t>
      </w:r>
    </w:p>
    <w:p w:rsidR="00C060D9" w:rsidRDefault="00C060D9" w:rsidP="004A4164">
      <w:pPr>
        <w:autoSpaceDE w:val="0"/>
        <w:autoSpaceDN w:val="0"/>
        <w:adjustRightInd w:val="0"/>
        <w:jc w:val="both"/>
      </w:pPr>
    </w:p>
    <w:p w:rsidR="004A4164" w:rsidRPr="00D4046D" w:rsidRDefault="004A4164" w:rsidP="004A4164">
      <w:pPr>
        <w:autoSpaceDE w:val="0"/>
        <w:autoSpaceDN w:val="0"/>
        <w:adjustRightInd w:val="0"/>
        <w:jc w:val="both"/>
      </w:pPr>
    </w:p>
    <w:p w:rsidR="00C060D9" w:rsidRPr="00D4046D" w:rsidRDefault="00C060D9" w:rsidP="004A4164">
      <w:pPr>
        <w:keepNext/>
        <w:keepLines/>
        <w:autoSpaceDE w:val="0"/>
        <w:autoSpaceDN w:val="0"/>
        <w:adjustRightInd w:val="0"/>
        <w:jc w:val="both"/>
      </w:pPr>
      <w:r>
        <w:t xml:space="preserve">3. Στο παράρτημα 1 σημείο 3 του διατάγματος προστίθεται το ακόλουθο υποσημείο 3.4: </w:t>
      </w:r>
    </w:p>
    <w:p w:rsidR="00C060D9" w:rsidRPr="00D4046D" w:rsidRDefault="00C060D9" w:rsidP="004A4164">
      <w:pPr>
        <w:keepNext/>
        <w:keepLines/>
        <w:autoSpaceDE w:val="0"/>
        <w:autoSpaceDN w:val="0"/>
        <w:adjustRightInd w:val="0"/>
        <w:jc w:val="both"/>
      </w:pPr>
    </w:p>
    <w:p w:rsidR="00C060D9" w:rsidRPr="00D4046D" w:rsidRDefault="00C060D9" w:rsidP="004A4164">
      <w:pPr>
        <w:autoSpaceDE w:val="0"/>
        <w:autoSpaceDN w:val="0"/>
        <w:adjustRightInd w:val="0"/>
        <w:jc w:val="both"/>
      </w:pPr>
      <w:r>
        <w:t>«3.4 Η οριακή τιμή εκπομπών TOC για κινητήρες αερίου που χρησιμοποιούν φυσικό αέριο με περιεκτικότητα σε αιθάνιο μεγαλύτερη από 5 % είναι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lastRenderedPageBreak/>
        <w:t>Παράρτημα 2 του διατάγματος αριθ. .../2019 της ... ... 2019 του Υπουργού Γεωργίας</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autoSpaceDE w:val="0"/>
        <w:autoSpaceDN w:val="0"/>
        <w:adjustRightInd w:val="0"/>
        <w:jc w:val="both"/>
      </w:pPr>
      <w:r>
        <w:t>1. Στο κελί B:5 του πίνακα στο παράρτημα 5 σημείο 2 του διατάγματος, ο αριθμός «1 500» αντικαθίσταται από το «375».</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pPr>
      <w:r>
        <w:t>2. Στο παράρτημα 2 σημείο 2 του διατάγματος, το υποσημείο 2.5 τίθεται σε ισχύ ως εξής:</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«2.5 Η οριακή τιμή εκπομπών NOx είναι 320 mg/Nm</w:t>
      </w:r>
      <w:r>
        <w:rPr>
          <w:vertAlign w:val="superscript"/>
        </w:rPr>
        <w:t>3</w:t>
      </w:r>
      <w:r>
        <w:t xml:space="preserve"> για καύση λιγνίτη, 300 mg/m</w:t>
      </w:r>
      <w:r>
        <w:rPr>
          <w:vertAlign w:val="superscript"/>
        </w:rPr>
        <w:t>3</w:t>
      </w:r>
      <w:r>
        <w:t xml:space="preserve"> για λέβητες καύσης ρευστών καυσίμων που τροφοδοτούνται με στερεά καύσιμα από βιομάζα και 210 mg/Nm</w:t>
      </w:r>
      <w:r>
        <w:rPr>
          <w:vertAlign w:val="superscript"/>
        </w:rPr>
        <w:t>3</w:t>
      </w:r>
      <w:r>
        <w:t xml:space="preserve"> για λέβητες καύσης υγρών καυσίμων που τροφοδοτούνται με άλλα στερεά καύσιμα.»</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DD14C1" w:rsidRPr="00D4046D" w:rsidRDefault="00C060D9" w:rsidP="004A4164">
      <w:pPr>
        <w:keepNext/>
        <w:keepLines/>
        <w:autoSpaceDE w:val="0"/>
        <w:autoSpaceDN w:val="0"/>
        <w:adjustRightInd w:val="0"/>
        <w:jc w:val="both"/>
      </w:pPr>
      <w:r>
        <w:t>3. Στο παράρτημα 2 σημείο 3 του διατάγματος, το υποσημείο 3.3 τίθεται σε ισχύ ως εξής:</w:t>
      </w:r>
    </w:p>
    <w:p w:rsidR="00DD14C1" w:rsidRPr="00D4046D" w:rsidRDefault="00DD14C1" w:rsidP="004A4164">
      <w:pPr>
        <w:keepNext/>
        <w:keepLines/>
        <w:autoSpaceDE w:val="0"/>
        <w:autoSpaceDN w:val="0"/>
        <w:adjustRightInd w:val="0"/>
        <w:jc w:val="both"/>
      </w:pPr>
    </w:p>
    <w:p w:rsidR="00DD14C1" w:rsidRPr="00D4046D" w:rsidRDefault="00DD14C1" w:rsidP="004A4164">
      <w:pPr>
        <w:autoSpaceDE w:val="0"/>
        <w:autoSpaceDN w:val="0"/>
        <w:adjustRightInd w:val="0"/>
        <w:jc w:val="both"/>
      </w:pPr>
      <w:r>
        <w:t>«3.3 Η οριακή τιμή εκπομπών NOx είναι 1 500 mg/Nm</w:t>
      </w:r>
      <w:r>
        <w:rPr>
          <w:vertAlign w:val="superscript"/>
        </w:rPr>
        <w:t>3</w:t>
      </w:r>
      <w:r>
        <w:t>στις ακόλουθες περιπτώσεις:</w:t>
      </w:r>
    </w:p>
    <w:p w:rsidR="00DD14C1" w:rsidRPr="00D4046D" w:rsidRDefault="00DD14C1" w:rsidP="004A4164">
      <w:pPr>
        <w:autoSpaceDE w:val="0"/>
        <w:autoSpaceDN w:val="0"/>
        <w:adjustRightInd w:val="0"/>
        <w:jc w:val="both"/>
      </w:pPr>
      <w:r>
        <w:t>α)</w:t>
      </w:r>
      <w:r>
        <w:tab/>
        <w:t>για κινητήρες ντίζελ που η κατασκευή τους ξεκίνησε πριν από τις 18 Μαΐου 2006,</w:t>
      </w:r>
    </w:p>
    <w:p w:rsidR="00FC1B4C" w:rsidRPr="00D4046D" w:rsidRDefault="00DD14C1" w:rsidP="004A4164">
      <w:pPr>
        <w:autoSpaceDE w:val="0"/>
        <w:autoSpaceDN w:val="0"/>
        <w:adjustRightInd w:val="0"/>
        <w:jc w:val="both"/>
      </w:pPr>
      <w:r>
        <w:t>β)</w:t>
      </w:r>
      <w:r>
        <w:tab/>
        <w:t>για κινητήρες διπλού καυσίμου σε υγρή μορφή.»</w:t>
      </w:r>
    </w:p>
    <w:p w:rsidR="00400308" w:rsidRDefault="00400308" w:rsidP="004A4164"/>
    <w:p w:rsidR="004A4164" w:rsidRPr="00D4046D" w:rsidRDefault="004A4164" w:rsidP="004A4164"/>
    <w:p w:rsidR="00400308" w:rsidRPr="00D4046D" w:rsidRDefault="00400308" w:rsidP="004A4164">
      <w:pPr>
        <w:keepNext/>
        <w:keepLines/>
        <w:autoSpaceDE w:val="0"/>
        <w:autoSpaceDN w:val="0"/>
        <w:adjustRightInd w:val="0"/>
        <w:jc w:val="both"/>
      </w:pPr>
      <w:r>
        <w:t xml:space="preserve">4. Στο παράρτημα 2 σημείο 3 του διατάγματος προστίθεται το ακόλουθο υποσημείο 3.8: </w:t>
      </w:r>
    </w:p>
    <w:p w:rsidR="00400308" w:rsidRPr="00D4046D" w:rsidRDefault="00400308" w:rsidP="004A4164">
      <w:pPr>
        <w:keepNext/>
        <w:keepLines/>
        <w:autoSpaceDE w:val="0"/>
        <w:autoSpaceDN w:val="0"/>
        <w:adjustRightInd w:val="0"/>
        <w:jc w:val="both"/>
      </w:pPr>
    </w:p>
    <w:p w:rsidR="00400308" w:rsidRPr="00D4046D" w:rsidRDefault="00400308" w:rsidP="004A4164">
      <w:pPr>
        <w:autoSpaceDE w:val="0"/>
        <w:autoSpaceDN w:val="0"/>
        <w:adjustRightInd w:val="0"/>
        <w:jc w:val="both"/>
      </w:pPr>
      <w:r>
        <w:t>«3.8 Η οριακή τιμή εκπομπών TOC για κινητήρες αερίου που χρησιμοποιούν φυσικό αέριο με περιεκτικότητα σε αιθάνιο μεγαλύτερη από 5 % είναι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t>Παράρτημα 3 του διατάγματος αριθ. .../2019 της ... ... 2019 του Υπουργού Γεωργίας</w:t>
      </w:r>
    </w:p>
    <w:p w:rsidR="00FC1B4C" w:rsidRDefault="00FC1B4C" w:rsidP="004A4164">
      <w:pPr>
        <w:keepNext/>
        <w:keepLines/>
        <w:autoSpaceDE w:val="0"/>
        <w:autoSpaceDN w:val="0"/>
        <w:adjustRightInd w:val="0"/>
        <w:jc w:val="both"/>
      </w:pPr>
    </w:p>
    <w:p w:rsidR="004A4164" w:rsidRPr="00D4046D" w:rsidRDefault="004A4164"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1. Στο κελί B:5 του πίνακα στο παράρτημα 3 σημείο 2 του διατάγματος, ο αριθμός «1 500» αντικαθίσταται από το «375».</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jc w:val="both"/>
      </w:pPr>
      <w:r>
        <w:t>2. Στο παράρτημα 3 σημείο 2 του διατάγματος το υποσημείο 2.6 τίθεται σε ισχύ ως εξής:</w:t>
      </w:r>
    </w:p>
    <w:p w:rsidR="00FC1B4C" w:rsidRPr="00D4046D" w:rsidRDefault="00FC1B4C"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«2.6 Η οριακή τιμή εκπομπών NOx είναι 320 mg/m</w:t>
      </w:r>
      <w:r>
        <w:rPr>
          <w:vertAlign w:val="superscript"/>
        </w:rPr>
        <w:t>3</w:t>
      </w:r>
      <w:r>
        <w:t>για καύση λιγνίτη, 300 mg/m</w:t>
      </w:r>
      <w:r>
        <w:rPr>
          <w:vertAlign w:val="superscript"/>
        </w:rPr>
        <w:t>3</w:t>
      </w:r>
      <w:r>
        <w:t xml:space="preserve"> για λέβητες καύσης ρευστών καυσίμων που τροφοδοτούνται με στερεά καύσιμα από βιομάζα και 210 mg/m</w:t>
      </w:r>
      <w:r>
        <w:rPr>
          <w:vertAlign w:val="superscript"/>
        </w:rPr>
        <w:t>3</w:t>
      </w:r>
      <w:r>
        <w:t xml:space="preserve"> για λέβητες καύσης υγρών καυσίμων που τροφοδοτούνται με άλλα στερεά καύσιμα.»</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A00383" w:rsidP="004A4164">
      <w:pPr>
        <w:keepNext/>
        <w:keepLines/>
        <w:autoSpaceDE w:val="0"/>
        <w:autoSpaceDN w:val="0"/>
        <w:adjustRightInd w:val="0"/>
        <w:jc w:val="both"/>
      </w:pPr>
      <w:r>
        <w:t>3. Στο παράρτημα 3 σημείο 3 του διατάγματος το υποσημείο 3.2 τίθεται σε ισχύ ως εξής:</w:t>
      </w:r>
    </w:p>
    <w:p w:rsidR="00F86AAE" w:rsidRPr="00D4046D" w:rsidRDefault="00F86AAE" w:rsidP="004A4164">
      <w:pPr>
        <w:keepNext/>
        <w:keepLines/>
      </w:pPr>
    </w:p>
    <w:p w:rsidR="00F86AAE" w:rsidRPr="00D4046D" w:rsidRDefault="00F86AAE" w:rsidP="004A4164">
      <w:r>
        <w:t>«3.2 Η οριακή τιμή εκπομπών NOx είναι 1 500 mg/Nm</w:t>
      </w:r>
      <w:r>
        <w:rPr>
          <w:vertAlign w:val="superscript"/>
        </w:rPr>
        <w:t>3</w:t>
      </w:r>
      <w:r>
        <w:t>στις ακόλουθες περιπτώσεις:</w:t>
      </w:r>
    </w:p>
    <w:p w:rsidR="00F86AAE" w:rsidRPr="00D4046D" w:rsidRDefault="00F86AAE" w:rsidP="004A4164">
      <w:r>
        <w:t>α)</w:t>
      </w:r>
      <w:r>
        <w:tab/>
        <w:t>για κινητήρες ντίζελ που η κατασκευή τους ξεκίνησε πριν από τις 18 Μαΐου 2006,</w:t>
      </w:r>
    </w:p>
    <w:p w:rsidR="00A00383" w:rsidRPr="00D4046D" w:rsidRDefault="00F86AAE" w:rsidP="004A4164">
      <w:r>
        <w:t>β)</w:t>
      </w:r>
      <w:r>
        <w:tab/>
        <w:t>για κινητήρες διπλού καυσίμου σε υγρή μορφή.»</w:t>
      </w:r>
    </w:p>
    <w:p w:rsidR="00A00383" w:rsidRDefault="00A00383" w:rsidP="004A4164"/>
    <w:p w:rsidR="004A4164" w:rsidRPr="00D4046D" w:rsidRDefault="004A4164" w:rsidP="004A4164"/>
    <w:p w:rsidR="00A00383" w:rsidRPr="00D4046D" w:rsidRDefault="00A00383" w:rsidP="004A4164">
      <w:pPr>
        <w:keepNext/>
        <w:keepLines/>
        <w:autoSpaceDE w:val="0"/>
        <w:autoSpaceDN w:val="0"/>
        <w:adjustRightInd w:val="0"/>
        <w:jc w:val="both"/>
      </w:pPr>
      <w:r>
        <w:t xml:space="preserve">4. Το παράρτημα 3 σημείο 3 του διατάγματος τίθεται σε ισχύ με τα ακόλουθα υποσημεία 3.9 και 3.10: </w:t>
      </w:r>
    </w:p>
    <w:p w:rsidR="00A00383" w:rsidRPr="00D4046D" w:rsidRDefault="00A00383" w:rsidP="004A4164">
      <w:pPr>
        <w:keepNext/>
        <w:keepLines/>
        <w:autoSpaceDE w:val="0"/>
        <w:autoSpaceDN w:val="0"/>
        <w:adjustRightInd w:val="0"/>
        <w:jc w:val="both"/>
      </w:pPr>
    </w:p>
    <w:p w:rsidR="00D4046D" w:rsidRPr="00D4046D" w:rsidRDefault="00A00383" w:rsidP="004A4164">
      <w:pPr>
        <w:autoSpaceDE w:val="0"/>
        <w:autoSpaceDN w:val="0"/>
        <w:adjustRightInd w:val="0"/>
        <w:jc w:val="both"/>
      </w:pPr>
      <w:r>
        <w:t>«3.9 Η οριακή τιμή εκπομπών TOC για κινητήρες αερίου που χρησιμοποιούν φυσικό αέριο με περιεκτικότητα σε αιθάνιο μεγαλύτερη από 5 % είναι 95 mg/m</w:t>
      </w:r>
      <w:r>
        <w:rPr>
          <w:vertAlign w:val="superscript"/>
        </w:rPr>
        <w:t>3</w:t>
      </w:r>
      <w:r>
        <w:t>.</w:t>
      </w:r>
    </w:p>
    <w:p w:rsidR="00380F30" w:rsidRPr="00D4046D" w:rsidRDefault="00380F30" w:rsidP="004A4164">
      <w:pPr>
        <w:autoSpaceDE w:val="0"/>
        <w:autoSpaceDN w:val="0"/>
        <w:adjustRightInd w:val="0"/>
        <w:jc w:val="both"/>
        <w:rPr>
          <w:rFonts w:eastAsiaTheme="minorEastAsia"/>
        </w:rPr>
      </w:pPr>
      <w:r>
        <w:t>3.10 Στην περίπτωση κινητήρων αερίου που τίθενται σε λειτουργία πριν από την 1η Ιανουαρίου 1994 που χρησιμοποιούνται για τη λειτουργία σταθμών συμπίεσης αερίου που απαιτούνται για την εγγύηση της ασφάλειας και προστασίας του συστήματος μεταφοράς αερίου, η οριακή τιμή εκπομπών CO για τετράχρονους κινητήρες είναι 375 mg/m</w:t>
      </w:r>
      <w:r>
        <w:rPr>
          <w:rFonts w:eastAsiaTheme="minorEastAsia"/>
          <w:vertAlign w:val="superscript"/>
        </w:rPr>
        <w:t>3</w:t>
      </w:r>
      <w:r>
        <w:t>, για δίχρονους κινητήρες είναι 320 mg/m</w:t>
      </w:r>
      <w:r>
        <w:rPr>
          <w:rFonts w:eastAsiaTheme="minorEastAsia"/>
          <w:vertAlign w:val="superscript"/>
        </w:rPr>
        <w:t>3</w:t>
      </w:r>
      <w:r>
        <w:t xml:space="preserve"> και η οριακή τιμή εκπομπών TOC είναι 115 mg/m έως την 1η Ιανουαρίου 2030».</w:t>
      </w:r>
    </w:p>
    <w:p w:rsidR="00F94FF8" w:rsidRPr="00D4046D" w:rsidRDefault="00F94FF8" w:rsidP="004A4164">
      <w:pPr>
        <w:keepNext/>
        <w:keepLines/>
        <w:pageBreakBefore/>
        <w:autoSpaceDE w:val="0"/>
        <w:autoSpaceDN w:val="0"/>
        <w:adjustRightInd w:val="0"/>
        <w:jc w:val="right"/>
        <w:rPr>
          <w:i/>
        </w:rPr>
      </w:pPr>
      <w:r>
        <w:rPr>
          <w:i/>
        </w:rPr>
        <w:t>Παράρτημα 4 του διατάγματος αριθ. .../2019 της ... ... 2019 του Υπουργού Γεωργίας</w:t>
      </w:r>
    </w:p>
    <w:p w:rsidR="00846AD7" w:rsidRPr="00D4046D" w:rsidRDefault="00846AD7" w:rsidP="004A4164">
      <w:pPr>
        <w:keepNext/>
        <w:keepLines/>
      </w:pPr>
    </w:p>
    <w:p w:rsidR="00F94FF8" w:rsidRPr="00D4046D" w:rsidRDefault="00F94FF8" w:rsidP="004A4164">
      <w:pPr>
        <w:keepNext/>
        <w:keepLines/>
      </w:pPr>
    </w:p>
    <w:p w:rsidR="00F94FF8" w:rsidRPr="00D4046D" w:rsidRDefault="00F94FF8" w:rsidP="004A4164">
      <w:pPr>
        <w:keepNext/>
        <w:keepLines/>
        <w:autoSpaceDE w:val="0"/>
        <w:autoSpaceDN w:val="0"/>
        <w:adjustRightInd w:val="0"/>
      </w:pPr>
      <w:r>
        <w:t>1. Το Παράρτημα 4 σημείο 2 υποσημείο 2.5 του διατάγματος αντικαθίσταται από τα εξής:</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«2.5 Η οριακή τιμή εκπομπών NOx είναι 320 mg/m</w:t>
      </w:r>
      <w:r>
        <w:rPr>
          <w:vertAlign w:val="superscript"/>
        </w:rPr>
        <w:t>3</w:t>
      </w:r>
      <w:r>
        <w:t>για καύση λιγνίτη, 300 mg/m</w:t>
      </w:r>
      <w:r>
        <w:rPr>
          <w:vertAlign w:val="superscript"/>
        </w:rPr>
        <w:t>3</w:t>
      </w:r>
      <w:r>
        <w:t xml:space="preserve"> για λέβητες καύσης ρευστών καυσίμων που τροφοδοτούνται με στερεά καύσιμα από βιομάζα και 210 mg/m</w:t>
      </w:r>
      <w:r>
        <w:rPr>
          <w:vertAlign w:val="superscript"/>
        </w:rPr>
        <w:t>3</w:t>
      </w:r>
      <w:r>
        <w:t xml:space="preserve"> για λέβητες καύσης υγρών καυσίμων που τροφοδοτούνται με άλλα στερεά καύσιμα.»</w:t>
      </w:r>
    </w:p>
    <w:p w:rsidR="00F94FF8" w:rsidRDefault="00F94FF8" w:rsidP="004A4164">
      <w:pPr>
        <w:autoSpaceDE w:val="0"/>
        <w:autoSpaceDN w:val="0"/>
        <w:adjustRightInd w:val="0"/>
        <w:jc w:val="both"/>
      </w:pPr>
    </w:p>
    <w:p w:rsidR="004A4164" w:rsidRPr="00D4046D" w:rsidRDefault="004A4164" w:rsidP="004A4164">
      <w:pPr>
        <w:autoSpaceDE w:val="0"/>
        <w:autoSpaceDN w:val="0"/>
        <w:adjustRightInd w:val="0"/>
        <w:jc w:val="both"/>
      </w:pPr>
    </w:p>
    <w:p w:rsidR="00F94FF8" w:rsidRPr="00D4046D" w:rsidRDefault="00F94FF8" w:rsidP="004A4164">
      <w:pPr>
        <w:keepNext/>
        <w:keepLines/>
        <w:autoSpaceDE w:val="0"/>
        <w:autoSpaceDN w:val="0"/>
        <w:adjustRightInd w:val="0"/>
        <w:jc w:val="both"/>
      </w:pPr>
      <w:r>
        <w:t>2. Το Παράρτημα 4 σημείο 3 υποσημείο 3.3 του διατάγματος αντικαθίσταται από τα εξής:</w:t>
      </w:r>
    </w:p>
    <w:p w:rsidR="00F94FF8" w:rsidRPr="00D4046D" w:rsidRDefault="00F94FF8" w:rsidP="004A4164">
      <w:pPr>
        <w:keepNext/>
        <w:keepLines/>
        <w:autoSpaceDE w:val="0"/>
        <w:autoSpaceDN w:val="0"/>
        <w:adjustRightInd w:val="0"/>
        <w:jc w:val="both"/>
      </w:pPr>
    </w:p>
    <w:p w:rsidR="00D92A3F" w:rsidRPr="00EF21F5" w:rsidRDefault="00FE7228" w:rsidP="004A4164">
      <w:pPr>
        <w:autoSpaceDE w:val="0"/>
        <w:autoSpaceDN w:val="0"/>
        <w:adjustRightInd w:val="0"/>
        <w:jc w:val="both"/>
      </w:pPr>
      <w:r>
        <w:t>«3.3 Η οριακή τιμή εκπομπών NOx για κινητήρες ντίζελ, εάν οι εκπομπές τους σε NOx είναι περιορισμένες λόγω πρωτογενών μέτρων, είναι 1 650 mg/m</w:t>
      </w:r>
      <w:r>
        <w:rPr>
          <w:vertAlign w:val="superscript"/>
        </w:rPr>
        <w:t>3</w:t>
      </w:r>
      <w:r>
        <w:t xml:space="preserve"> για κινητήρες ντίζελ που χρησιμοποιούνται αποκλειστικά για ερευνητικές γεωτρήσεις και 1 500 mg/m</w:t>
      </w:r>
      <w:r>
        <w:rPr>
          <w:vertAlign w:val="superscript"/>
        </w:rPr>
        <w:t>3</w:t>
      </w:r>
      <w:r>
        <w:t xml:space="preserve"> για άλλους κινητήρες ντίζελ.»</w:t>
      </w:r>
    </w:p>
    <w:p w:rsidR="00D92A3F" w:rsidRDefault="00D92A3F" w:rsidP="004A4164">
      <w:pPr>
        <w:autoSpaceDE w:val="0"/>
        <w:autoSpaceDN w:val="0"/>
        <w:adjustRightInd w:val="0"/>
        <w:jc w:val="both"/>
      </w:pPr>
    </w:p>
    <w:p w:rsidR="004A4164" w:rsidRPr="00EF21F5" w:rsidRDefault="004A4164" w:rsidP="004A4164">
      <w:pPr>
        <w:autoSpaceDE w:val="0"/>
        <w:autoSpaceDN w:val="0"/>
        <w:adjustRightInd w:val="0"/>
        <w:jc w:val="both"/>
      </w:pPr>
    </w:p>
    <w:p w:rsidR="003758D5" w:rsidRPr="00EF21F5" w:rsidRDefault="003758D5" w:rsidP="004A4164">
      <w:pPr>
        <w:keepNext/>
        <w:keepLines/>
        <w:autoSpaceDE w:val="0"/>
        <w:autoSpaceDN w:val="0"/>
        <w:adjustRightInd w:val="0"/>
        <w:jc w:val="both"/>
      </w:pPr>
      <w:r>
        <w:t>3. Στο Παράρτημα 4 σημείο 3 του διατάγματος προστίθεται το ακόλουθο υποσημείο 3.8:</w:t>
      </w:r>
    </w:p>
    <w:p w:rsidR="003758D5" w:rsidRPr="00EF21F5" w:rsidRDefault="003758D5" w:rsidP="004A4164">
      <w:pPr>
        <w:keepNext/>
        <w:keepLines/>
        <w:autoSpaceDE w:val="0"/>
        <w:autoSpaceDN w:val="0"/>
        <w:adjustRightInd w:val="0"/>
        <w:jc w:val="both"/>
      </w:pPr>
    </w:p>
    <w:p w:rsidR="00D92A3F" w:rsidRPr="00D4046D" w:rsidRDefault="003758D5" w:rsidP="004A4164">
      <w:pPr>
        <w:autoSpaceDE w:val="0"/>
        <w:autoSpaceDN w:val="0"/>
        <w:adjustRightInd w:val="0"/>
        <w:jc w:val="both"/>
      </w:pPr>
      <w:r>
        <w:t>«3.8 Η οριακή τιμή εκπομπών TOC για κινητήρες αερίου που χρησιμοποιούν φυσικό αέριο με περιεκτικότητα σε αιθάνιο μεγαλύτερη από 5 % είναι 95 mg/m</w:t>
      </w:r>
      <w:r>
        <w:rPr>
          <w:vertAlign w:val="superscript"/>
        </w:rPr>
        <w:t>3</w:t>
      </w:r>
      <w:r>
        <w:t>.»</w:t>
      </w:r>
    </w:p>
    <w:p w:rsidR="001733D0" w:rsidRPr="00D4046D" w:rsidRDefault="001733D0" w:rsidP="004A4164">
      <w:pPr>
        <w:keepNext/>
        <w:keepLines/>
        <w:pageBreakBefore/>
        <w:jc w:val="right"/>
        <w:rPr>
          <w:i/>
        </w:rPr>
      </w:pPr>
      <w:r>
        <w:rPr>
          <w:i/>
        </w:rPr>
        <w:t>Παράρτημα 5 του διατάγματος αριθ. .../2019 της ... ... 2019 του Υπουργού Γεωργίας</w:t>
      </w:r>
    </w:p>
    <w:p w:rsidR="001733D0" w:rsidRPr="00D4046D" w:rsidRDefault="001733D0" w:rsidP="004A4164">
      <w:pPr>
        <w:keepNext/>
        <w:keepLines/>
        <w:autoSpaceDE w:val="0"/>
        <w:autoSpaceDN w:val="0"/>
        <w:adjustRightInd w:val="0"/>
        <w:jc w:val="both"/>
      </w:pPr>
    </w:p>
    <w:p w:rsidR="001733D0" w:rsidRPr="00D4046D" w:rsidRDefault="001733D0" w:rsidP="004A4164">
      <w:pPr>
        <w:keepNext/>
        <w:keepLines/>
        <w:autoSpaceDE w:val="0"/>
        <w:autoSpaceDN w:val="0"/>
        <w:adjustRightInd w:val="0"/>
        <w:jc w:val="both"/>
      </w:pPr>
    </w:p>
    <w:p w:rsidR="00F94FF8" w:rsidRPr="00D4046D" w:rsidRDefault="001733D0" w:rsidP="004A4164">
      <w:pPr>
        <w:autoSpaceDE w:val="0"/>
        <w:autoSpaceDN w:val="0"/>
        <w:adjustRightInd w:val="0"/>
        <w:jc w:val="both"/>
      </w:pPr>
      <w:r>
        <w:t xml:space="preserve">1. Στο κελί B:5 του πίνακα στο Παράρτημα 5 σημείο 2 του διατάγματος, ο αριθμός «1 500» αντικαθίσταται από το «375». </w:t>
      </w:r>
    </w:p>
    <w:p w:rsidR="00F94FF8" w:rsidRDefault="00F94FF8" w:rsidP="004A4164">
      <w:pPr>
        <w:autoSpaceDE w:val="0"/>
        <w:autoSpaceDN w:val="0"/>
        <w:adjustRightInd w:val="0"/>
      </w:pPr>
    </w:p>
    <w:p w:rsidR="004A4164" w:rsidRPr="00D4046D" w:rsidRDefault="004A4164" w:rsidP="004A4164">
      <w:pPr>
        <w:autoSpaceDE w:val="0"/>
        <w:autoSpaceDN w:val="0"/>
        <w:adjustRightInd w:val="0"/>
      </w:pPr>
    </w:p>
    <w:p w:rsidR="00F94FF8" w:rsidRPr="00D4046D" w:rsidRDefault="001733D0" w:rsidP="004A4164">
      <w:pPr>
        <w:keepNext/>
        <w:keepLines/>
        <w:autoSpaceDE w:val="0"/>
        <w:autoSpaceDN w:val="0"/>
        <w:adjustRightInd w:val="0"/>
      </w:pPr>
      <w:r>
        <w:t>2. Στο παράρτημα 5 σημείο 2 του διατάγματος τα υποσημεία 2.3 και 2.4 αντικαθίστανται από τα εξής:</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«2.3 Η οριακή τιμή εκπομπών NOx για μονάδες καύσης που τροφοδοτούνται με στερεά καύσιμα με συνολική ονομαστική θερμική ισχύ μεγαλύτερη από ή ίση με 1 MW</w:t>
      </w:r>
      <w:r>
        <w:rPr>
          <w:vertAlign w:val="subscript"/>
        </w:rPr>
        <w:t>th</w:t>
      </w:r>
      <w:r>
        <w:t xml:space="preserve"> αλλά μικρότερη από 5 MW</w:t>
      </w:r>
      <w:r>
        <w:rPr>
          <w:vertAlign w:val="subscript"/>
        </w:rPr>
        <w:t>th</w:t>
      </w:r>
      <w:r>
        <w:t xml:space="preserve"> είναι 500 mg/Nm</w:t>
      </w:r>
      <w:r>
        <w:rPr>
          <w:vertAlign w:val="superscript"/>
        </w:rPr>
        <w:t>3</w:t>
      </w:r>
      <w:r>
        <w:t>, με την εξαίρεση πως η καύση λιγνίτη είναι 320 mg/Nm και για λέβητες καύσης ρευστών καυσίμων που τροφοδοτούνται με στερεά καύσιμα από βιομάζα είναι 300 mg/Nm</w:t>
      </w:r>
      <w:r>
        <w:rPr>
          <w:vertAlign w:val="superscript"/>
        </w:rPr>
        <w:t>3</w:t>
      </w:r>
      <w:r>
        <w:t>.</w:t>
      </w:r>
    </w:p>
    <w:p w:rsidR="00F94FF8" w:rsidRPr="00D4046D" w:rsidRDefault="00F94FF8" w:rsidP="004A4164">
      <w:pPr>
        <w:autoSpaceDE w:val="0"/>
        <w:autoSpaceDN w:val="0"/>
        <w:adjustRightInd w:val="0"/>
        <w:jc w:val="both"/>
      </w:pPr>
      <w:r>
        <w:t>2.4 Η οριακή τιμή εκπομπών NOx για λέβητες ρευστών καυσίμων που τροφοδοτούνται με άλλα στερεά καύσιμα είναι 210 mg/Nm</w:t>
      </w:r>
      <w:r>
        <w:rPr>
          <w:vertAlign w:val="superscript"/>
        </w:rPr>
        <w:t>3</w:t>
      </w:r>
      <w:r>
        <w:t>.»</w:t>
      </w:r>
    </w:p>
    <w:p w:rsidR="001733D0" w:rsidRDefault="001733D0" w:rsidP="004A4164"/>
    <w:p w:rsidR="004A4164" w:rsidRPr="00D4046D" w:rsidRDefault="004A4164" w:rsidP="004A4164"/>
    <w:p w:rsidR="001733D0" w:rsidRPr="00D4046D" w:rsidRDefault="001733D0" w:rsidP="004A4164">
      <w:pPr>
        <w:keepNext/>
        <w:keepLines/>
        <w:autoSpaceDE w:val="0"/>
        <w:autoSpaceDN w:val="0"/>
        <w:adjustRightInd w:val="0"/>
      </w:pPr>
      <w:r>
        <w:t>3. Το Παράρτημα 5 σημείο 3 υποσημείο 3.2 του διατάγματος αντικαθίσταται από τα εξής:</w:t>
      </w:r>
    </w:p>
    <w:p w:rsidR="001733D0" w:rsidRPr="00D4046D" w:rsidRDefault="001733D0" w:rsidP="004A4164">
      <w:pPr>
        <w:keepNext/>
        <w:keepLines/>
      </w:pPr>
    </w:p>
    <w:p w:rsidR="001733D0" w:rsidRPr="00D4046D" w:rsidRDefault="001733D0" w:rsidP="004A4164">
      <w:pPr>
        <w:jc w:val="both"/>
      </w:pPr>
      <w:r>
        <w:t>«3.2 Στην περίπτωση κινητήρων που λειτουργούν για 500–1 500 ώρες ανά έτος, οι εκπομπές τους σε NOx είναι περιορισμένες λόγω πρωτογενών μέτρων, εφαρμόζονται οι ακόλουθες οριακές τιμές εκπομπής NOx:</w:t>
      </w:r>
    </w:p>
    <w:p w:rsidR="001733D0" w:rsidRPr="00D4046D" w:rsidRDefault="001733D0" w:rsidP="004A4164">
      <w:pPr>
        <w:jc w:val="both"/>
      </w:pPr>
      <w:r>
        <w:t>α) 1 300 mg/Nm</w:t>
      </w:r>
      <w:r>
        <w:rPr>
          <w:vertAlign w:val="superscript"/>
        </w:rPr>
        <w:t xml:space="preserve">3 </w:t>
      </w:r>
      <w:r>
        <w:t>για κινητήρες ντίζελ με συνολική ονομαστική θερμική ισχύ έως και 20 MW</w:t>
      </w:r>
      <w:r>
        <w:rPr>
          <w:vertAlign w:val="subscript"/>
        </w:rPr>
        <w:t>th</w:t>
      </w:r>
      <w:r>
        <w:t xml:space="preserve"> με ≤ 1 200 r/min,</w:t>
      </w:r>
    </w:p>
    <w:p w:rsidR="001733D0" w:rsidRPr="00EF21F5" w:rsidRDefault="001733D0" w:rsidP="004A4164">
      <w:pPr>
        <w:jc w:val="both"/>
      </w:pPr>
      <w:r>
        <w:t>β) 1 500 mg/Nm</w:t>
      </w:r>
      <w:r>
        <w:rPr>
          <w:vertAlign w:val="superscript"/>
        </w:rPr>
        <w:t xml:space="preserve">3 </w:t>
      </w:r>
      <w:r>
        <w:t>για κινητήρες ντίζελ με συνολική ονομαστική θερμική ισχύ έως και 20 MW</w:t>
      </w:r>
      <w:r>
        <w:rPr>
          <w:vertAlign w:val="subscript"/>
        </w:rPr>
        <w:t>th</w:t>
      </w:r>
      <w:r>
        <w:t xml:space="preserve"> και για δίχρονους κινητήρες καυσίμων σε υγρή μορφή,</w:t>
      </w:r>
    </w:p>
    <w:p w:rsidR="007A2FAA" w:rsidRPr="00EF21F5" w:rsidRDefault="001733D0" w:rsidP="004A4164">
      <w:pPr>
        <w:jc w:val="both"/>
      </w:pPr>
      <w:r>
        <w:t>γ) 750 mg/Nm</w:t>
      </w:r>
      <w:r>
        <w:rPr>
          <w:vertAlign w:val="superscript"/>
        </w:rPr>
        <w:t>3</w:t>
      </w:r>
      <w:r>
        <w:t xml:space="preserve"> για κινητήρες ντίζελ με &gt; 1 200 r/min,</w:t>
      </w:r>
    </w:p>
    <w:p w:rsidR="00F94FF8" w:rsidRPr="00EF21F5" w:rsidRDefault="007A2FAA" w:rsidP="004A4164">
      <w:pPr>
        <w:jc w:val="both"/>
      </w:pPr>
      <w:r>
        <w:t>δ) 380 mg/Nm</w:t>
      </w:r>
      <w:r>
        <w:rPr>
          <w:vertAlign w:val="superscript"/>
        </w:rPr>
        <w:t>3</w:t>
      </w:r>
      <w:r>
        <w:t xml:space="preserve"> για κινητήρες διπλού καυσίμου σε αέρια μορφή.»</w:t>
      </w:r>
    </w:p>
    <w:p w:rsidR="00C828A5" w:rsidRDefault="00C828A5" w:rsidP="004A4164">
      <w:pPr>
        <w:jc w:val="both"/>
      </w:pPr>
    </w:p>
    <w:p w:rsidR="004A4164" w:rsidRPr="00EF21F5" w:rsidRDefault="004A4164" w:rsidP="004A4164">
      <w:pPr>
        <w:jc w:val="both"/>
      </w:pPr>
    </w:p>
    <w:p w:rsidR="003758D5" w:rsidRPr="00EF21F5" w:rsidRDefault="003758D5" w:rsidP="004A4164">
      <w:pPr>
        <w:keepNext/>
        <w:keepLines/>
      </w:pPr>
      <w:r>
        <w:t>4. Στο Παράρτημα 5 σημείο 3 του διατάγματος προστίθεται το ακόλουθο υποσημείο 3.9:</w:t>
      </w:r>
    </w:p>
    <w:p w:rsidR="003758D5" w:rsidRPr="00EF21F5" w:rsidRDefault="003758D5" w:rsidP="004A4164">
      <w:pPr>
        <w:keepNext/>
        <w:keepLines/>
      </w:pPr>
    </w:p>
    <w:p w:rsidR="00C828A5" w:rsidRPr="00C828A5" w:rsidRDefault="003758D5" w:rsidP="004A4164">
      <w:pPr>
        <w:rPr>
          <w:rFonts w:eastAsiaTheme="minorHAnsi"/>
        </w:rPr>
      </w:pPr>
      <w:r>
        <w:t>«3.9 Η οριακή τιμή εκπομπών TOC για κινητήρες αερίου που χρησιμοποιούν φυσικό αέριο με περιεκτικότητα σε αιθάνιο μεγαλύτερη από 5 % είναι 95 mg/m</w:t>
      </w:r>
      <w:r>
        <w:rPr>
          <w:vertAlign w:val="superscript"/>
        </w:rPr>
        <w:t>3</w:t>
      </w:r>
      <w:r>
        <w:t>.»</w:t>
      </w:r>
    </w:p>
    <w:sectPr w:rsidR="00C828A5" w:rsidRPr="00C828A5" w:rsidSect="00034634">
      <w:headerReference w:type="default" r:id="rId9"/>
      <w:footerReference w:type="default" r:id="rId10"/>
      <w:footnotePr>
        <w:pos w:val="beneathText"/>
      </w:footnotePr>
      <w:pgSz w:w="11960" w:h="16900"/>
      <w:pgMar w:top="1276" w:right="1134" w:bottom="710" w:left="1134" w:header="425" w:footer="42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6F" w:rsidRDefault="0043786F">
      <w:r>
        <w:separator/>
      </w:r>
    </w:p>
  </w:endnote>
  <w:endnote w:type="continuationSeparator" w:id="0">
    <w:p w:rsidR="0043786F" w:rsidRDefault="0043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reekNumbers">
    <w:panose1 w:val="02010101010101010101"/>
    <w:charset w:val="00"/>
    <w:family w:val="auto"/>
    <w:pitch w:val="variable"/>
    <w:sig w:usb0="C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2988"/>
      <w:gridCol w:w="4235"/>
      <w:gridCol w:w="2685"/>
    </w:tblGrid>
    <w:tr w:rsidR="00F80E39" w:rsidRPr="008430F8" w:rsidTr="004A4164">
      <w:trPr>
        <w:cantSplit/>
      </w:trPr>
      <w:tc>
        <w:tcPr>
          <w:tcW w:w="1508" w:type="pct"/>
          <w:hideMark/>
        </w:tcPr>
        <w:p w:rsidR="00F80E39" w:rsidRPr="008430F8" w:rsidRDefault="00F80E39" w:rsidP="00A00383">
          <w:pPr>
            <w:pStyle w:val="Footer"/>
            <w:jc w:val="center"/>
            <w:rPr>
              <w:sz w:val="16"/>
              <w:szCs w:val="16"/>
            </w:rPr>
          </w:pPr>
          <w:r>
            <w:rPr>
              <w:sz w:val="16"/>
            </w:rPr>
            <w:t>Συντάχθηκε από:</w:t>
          </w:r>
        </w:p>
        <w:p w:rsidR="00F80E39" w:rsidRPr="008430F8" w:rsidRDefault="00F80E39" w:rsidP="00A00383">
          <w:pPr>
            <w:pStyle w:val="Footer"/>
            <w:jc w:val="center"/>
            <w:rPr>
              <w:sz w:val="16"/>
              <w:szCs w:val="16"/>
            </w:rPr>
          </w:pPr>
          <w:r>
            <w:rPr>
              <w:sz w:val="16"/>
            </w:rPr>
            <w:t>Δρ Hunor Orban</w:t>
          </w:r>
        </w:p>
        <w:p w:rsidR="00F80E39" w:rsidRPr="008430F8" w:rsidRDefault="00F80E39" w:rsidP="00A00383">
          <w:pPr>
            <w:pStyle w:val="Footer"/>
            <w:jc w:val="center"/>
            <w:rPr>
              <w:i/>
              <w:sz w:val="16"/>
              <w:szCs w:val="16"/>
            </w:rPr>
          </w:pPr>
          <w:r>
            <w:rPr>
              <w:i/>
              <w:sz w:val="16"/>
            </w:rPr>
            <w:t>Επικεφαλής Τμήματος</w:t>
          </w:r>
        </w:p>
        <w:p w:rsidR="00F80E39" w:rsidRPr="00175173" w:rsidRDefault="00F80E39" w:rsidP="00A00383">
          <w:pPr>
            <w:pStyle w:val="Footer"/>
            <w:jc w:val="center"/>
            <w:rPr>
              <w:sz w:val="16"/>
              <w:szCs w:val="16"/>
              <w:lang w:val="es-ES"/>
            </w:rPr>
          </w:pPr>
          <w:r w:rsidRPr="00175173">
            <w:rPr>
              <w:sz w:val="16"/>
              <w:lang w:val="es-ES"/>
            </w:rPr>
            <w:t>+36 (1) 795 5859</w:t>
          </w:r>
        </w:p>
        <w:p w:rsidR="00F80E39" w:rsidRPr="00175173" w:rsidRDefault="00175173" w:rsidP="00A00383">
          <w:pPr>
            <w:pStyle w:val="Footer"/>
            <w:jc w:val="center"/>
            <w:rPr>
              <w:i/>
              <w:sz w:val="16"/>
              <w:szCs w:val="16"/>
              <w:lang w:val="es-ES"/>
            </w:rPr>
          </w:pPr>
          <w:hyperlink r:id="rId1">
            <w:r w:rsidR="002125C2" w:rsidRPr="00175173">
              <w:rPr>
                <w:rStyle w:val="Hyperlink"/>
                <w:i/>
                <w:sz w:val="16"/>
                <w:lang w:val="es-ES"/>
              </w:rPr>
              <w:t>hunor.orban@am.gov.hu</w:t>
            </w:r>
          </w:hyperlink>
        </w:p>
        <w:p w:rsidR="00F80E39" w:rsidRPr="00175173" w:rsidRDefault="00F80E39" w:rsidP="00A00383">
          <w:pPr>
            <w:pStyle w:val="Footer"/>
            <w:jc w:val="center"/>
            <w:rPr>
              <w:sz w:val="16"/>
              <w:szCs w:val="16"/>
              <w:lang w:val="es-ES"/>
            </w:rPr>
          </w:pPr>
        </w:p>
        <w:p w:rsidR="00F80E39" w:rsidRPr="00175173" w:rsidRDefault="00F80E39" w:rsidP="00A00383">
          <w:pPr>
            <w:tabs>
              <w:tab w:val="center" w:pos="4536"/>
              <w:tab w:val="right" w:pos="9072"/>
            </w:tabs>
            <w:jc w:val="center"/>
            <w:rPr>
              <w:sz w:val="16"/>
              <w:szCs w:val="16"/>
              <w:lang w:val="es-ES"/>
            </w:rPr>
          </w:pPr>
          <w:r>
            <w:rPr>
              <w:sz w:val="16"/>
            </w:rPr>
            <w:t>Δρ</w:t>
          </w:r>
          <w:r w:rsidRPr="00175173">
            <w:rPr>
              <w:sz w:val="16"/>
              <w:lang w:val="es-ES"/>
            </w:rPr>
            <w:t xml:space="preserve"> Tamás Andréka</w:t>
          </w:r>
        </w:p>
        <w:p w:rsidR="00F80E39" w:rsidRPr="008430F8" w:rsidRDefault="00F80E39" w:rsidP="00A00383">
          <w:pPr>
            <w:tabs>
              <w:tab w:val="center" w:pos="4536"/>
              <w:tab w:val="right" w:pos="9072"/>
            </w:tabs>
            <w:jc w:val="center"/>
            <w:rPr>
              <w:i/>
              <w:sz w:val="16"/>
              <w:szCs w:val="16"/>
            </w:rPr>
          </w:pPr>
          <w:r>
            <w:rPr>
              <w:i/>
              <w:sz w:val="16"/>
            </w:rPr>
            <w:t>Επικεφαλής Τμήματος</w:t>
          </w:r>
        </w:p>
        <w:p w:rsidR="00F80E39" w:rsidRPr="008430F8" w:rsidRDefault="00F80E39" w:rsidP="00A00383">
          <w:pPr>
            <w:tabs>
              <w:tab w:val="center" w:pos="4536"/>
              <w:tab w:val="right" w:pos="9072"/>
            </w:tabs>
            <w:jc w:val="center"/>
            <w:rPr>
              <w:i/>
              <w:sz w:val="16"/>
              <w:szCs w:val="16"/>
            </w:rPr>
          </w:pPr>
          <w:r>
            <w:rPr>
              <w:i/>
              <w:sz w:val="16"/>
            </w:rPr>
            <w:t>+36 (1) 795 3801</w:t>
          </w:r>
        </w:p>
        <w:p w:rsidR="00F80E39" w:rsidRPr="008430F8" w:rsidRDefault="00175173" w:rsidP="00A00383">
          <w:pPr>
            <w:tabs>
              <w:tab w:val="center" w:pos="4536"/>
              <w:tab w:val="right" w:pos="9072"/>
            </w:tabs>
            <w:jc w:val="center"/>
            <w:rPr>
              <w:i/>
              <w:sz w:val="16"/>
              <w:szCs w:val="16"/>
            </w:rPr>
          </w:pPr>
          <w:hyperlink r:id="rId2">
            <w:r w:rsidR="002125C2">
              <w:rPr>
                <w:rStyle w:val="Hyperlink"/>
                <w:i/>
                <w:sz w:val="16"/>
              </w:rPr>
              <w:t>tamas.andreka@am.gov.hu</w:t>
            </w:r>
          </w:hyperlink>
        </w:p>
      </w:tc>
      <w:tc>
        <w:tcPr>
          <w:tcW w:w="2137" w:type="pct"/>
          <w:hideMark/>
        </w:tcPr>
        <w:p w:rsidR="00F80E39" w:rsidRPr="008430F8" w:rsidRDefault="00F80E39" w:rsidP="00A00383">
          <w:pPr>
            <w:pStyle w:val="Footer"/>
            <w:jc w:val="center"/>
            <w:rPr>
              <w:sz w:val="16"/>
              <w:szCs w:val="16"/>
            </w:rPr>
          </w:pPr>
          <w:r>
            <w:rPr>
              <w:sz w:val="16"/>
            </w:rPr>
            <w:t>Αναθεωρήθηκε από:</w:t>
          </w:r>
        </w:p>
        <w:p w:rsidR="00F80E39" w:rsidRPr="008430F8" w:rsidRDefault="00F80E39" w:rsidP="00A00383">
          <w:pPr>
            <w:pStyle w:val="Footer"/>
            <w:jc w:val="center"/>
            <w:rPr>
              <w:sz w:val="16"/>
              <w:szCs w:val="16"/>
            </w:rPr>
          </w:pPr>
          <w:r>
            <w:rPr>
              <w:sz w:val="16"/>
            </w:rPr>
            <w:t>Tibor Zoltán László</w:t>
          </w:r>
        </w:p>
        <w:p w:rsidR="00F80E39" w:rsidRPr="008430F8" w:rsidRDefault="00F80E39" w:rsidP="00A00383">
          <w:pPr>
            <w:pStyle w:val="Footer"/>
            <w:jc w:val="center"/>
            <w:rPr>
              <w:i/>
              <w:sz w:val="16"/>
              <w:szCs w:val="16"/>
            </w:rPr>
          </w:pPr>
          <w:r>
            <w:rPr>
              <w:i/>
              <w:sz w:val="16"/>
            </w:rPr>
            <w:t xml:space="preserve">Αναπληρωτής Υφυπουργός </w:t>
          </w:r>
        </w:p>
        <w:p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Δρ András Rácz</w:t>
          </w:r>
        </w:p>
        <w:p w:rsidR="00F80E39" w:rsidRPr="008430F8" w:rsidRDefault="00F80E39" w:rsidP="00A00383">
          <w:pPr>
            <w:pStyle w:val="Footer"/>
            <w:jc w:val="center"/>
            <w:rPr>
              <w:i/>
              <w:sz w:val="16"/>
              <w:szCs w:val="16"/>
            </w:rPr>
          </w:pPr>
          <w:r>
            <w:rPr>
              <w:i/>
              <w:sz w:val="16"/>
            </w:rPr>
            <w:t xml:space="preserve">Αναπληρωτής Υπουργός </w:t>
          </w:r>
        </w:p>
        <w:p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Δρ István Tomasitz</w:t>
          </w:r>
        </w:p>
        <w:p w:rsidR="00F80E39" w:rsidRPr="008430F8" w:rsidRDefault="00F80E39" w:rsidP="00A00383">
          <w:pPr>
            <w:pStyle w:val="Footer"/>
            <w:jc w:val="center"/>
            <w:rPr>
              <w:i/>
              <w:sz w:val="16"/>
              <w:szCs w:val="16"/>
              <w:highlight w:val="yellow"/>
            </w:rPr>
          </w:pPr>
          <w:r>
            <w:rPr>
              <w:i/>
              <w:sz w:val="16"/>
            </w:rPr>
            <w:t>Αναπληρωτής Υπουργός</w:t>
          </w:r>
        </w:p>
      </w:tc>
      <w:tc>
        <w:tcPr>
          <w:tcW w:w="1355" w:type="pct"/>
          <w:hideMark/>
        </w:tcPr>
        <w:p w:rsidR="00F80E39" w:rsidRPr="001F2F45" w:rsidRDefault="00F80E39" w:rsidP="00A00383">
          <w:pPr>
            <w:pStyle w:val="Footer"/>
            <w:jc w:val="center"/>
            <w:rPr>
              <w:sz w:val="16"/>
              <w:szCs w:val="16"/>
            </w:rPr>
          </w:pPr>
          <w:r>
            <w:rPr>
              <w:sz w:val="16"/>
            </w:rPr>
            <w:t>Εγκρίθηκε από:</w:t>
          </w: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Pr="008430F8" w:rsidRDefault="00F80E39" w:rsidP="00A00383">
          <w:pPr>
            <w:pStyle w:val="Footer"/>
            <w:jc w:val="center"/>
            <w:rPr>
              <w:sz w:val="16"/>
              <w:szCs w:val="16"/>
            </w:rPr>
          </w:pPr>
          <w:r>
            <w:rPr>
              <w:sz w:val="16"/>
            </w:rPr>
            <w:t>Δρ István Nagy</w:t>
          </w:r>
        </w:p>
        <w:p w:rsidR="00F80E39" w:rsidRPr="008430F8" w:rsidRDefault="00F80E39" w:rsidP="004A4164">
          <w:pPr>
            <w:pStyle w:val="Footer"/>
            <w:jc w:val="center"/>
            <w:rPr>
              <w:sz w:val="16"/>
              <w:szCs w:val="16"/>
              <w:highlight w:val="yellow"/>
            </w:rPr>
          </w:pPr>
          <w:r>
            <w:rPr>
              <w:i/>
              <w:sz w:val="16"/>
            </w:rPr>
            <w:t>Υπουργός</w:t>
          </w:r>
        </w:p>
      </w:tc>
    </w:tr>
  </w:tbl>
  <w:p w:rsidR="00F80E39" w:rsidRPr="00BE1C91" w:rsidRDefault="00F80E39" w:rsidP="00BE1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6F" w:rsidRDefault="0043786F">
      <w:r>
        <w:separator/>
      </w:r>
    </w:p>
  </w:footnote>
  <w:footnote w:type="continuationSeparator" w:id="0">
    <w:p w:rsidR="0043786F" w:rsidRDefault="0043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39" w:rsidRDefault="00F80E39">
    <w:pPr>
      <w:pStyle w:val="Header"/>
      <w:jc w:val="center"/>
    </w:pPr>
    <w:r>
      <w:fldChar w:fldCharType="begin"/>
    </w:r>
    <w:r>
      <w:instrText>PAGE   \* MERGEFORMAT</w:instrText>
    </w:r>
    <w:r>
      <w:fldChar w:fldCharType="separate"/>
    </w:r>
    <w:r w:rsidR="00175173">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C8ED10C"/>
    <w:lvl w:ilvl="0">
      <w:start w:val="1"/>
      <w:numFmt w:val="none"/>
      <w:pStyle w:val="Heading1"/>
      <w:suff w:val="nothing"/>
      <w:lvlText w:val=""/>
      <w:lvlJc w:val="left"/>
      <w:rPr>
        <w:rFonts w:cs="Times New Roman"/>
      </w:rPr>
    </w:lvl>
    <w:lvl w:ilvl="1">
      <w:start w:val="1"/>
      <w:numFmt w:val="none"/>
      <w:pStyle w:val="Heading2"/>
      <w:lvlText w:val=""/>
      <w:legacy w:legacy="1" w:legacySpace="0" w:legacyIndent="0"/>
      <w:lvlJc w:val="left"/>
      <w:rPr>
        <w:rFonts w:cs="Times New Roman"/>
      </w:rPr>
    </w:lvl>
    <w:lvl w:ilvl="2">
      <w:start w:val="1"/>
      <w:numFmt w:val="none"/>
      <w:pStyle w:val="Heading3"/>
      <w:lvlText w:val=""/>
      <w:legacy w:legacy="1" w:legacySpace="0" w:legacyIndent="0"/>
      <w:lvlJc w:val="left"/>
      <w:rPr>
        <w:rFonts w:cs="Times New Roman"/>
      </w:rPr>
    </w:lvl>
    <w:lvl w:ilvl="3">
      <w:start w:val="1"/>
      <w:numFmt w:val="none"/>
      <w:pStyle w:val="Heading4"/>
      <w:lvlText w:val=""/>
      <w:legacy w:legacy="1" w:legacySpace="0" w:legacyIndent="0"/>
      <w:lvlJc w:val="left"/>
      <w:rPr>
        <w:rFonts w:cs="Times New Roman"/>
      </w:rPr>
    </w:lvl>
    <w:lvl w:ilvl="4">
      <w:start w:val="1"/>
      <w:numFmt w:val="none"/>
      <w:pStyle w:val="Heading5"/>
      <w:lvlText w:val=""/>
      <w:legacy w:legacy="1" w:legacySpace="0" w:legacyIndent="0"/>
      <w:lvlJc w:val="left"/>
      <w:rPr>
        <w:rFonts w:cs="Times New Roman"/>
      </w:rPr>
    </w:lvl>
    <w:lvl w:ilvl="5">
      <w:start w:val="1"/>
      <w:numFmt w:val="none"/>
      <w:pStyle w:val="Heading6"/>
      <w:lvlText w:val=""/>
      <w:legacy w:legacy="1" w:legacySpace="0" w:legacyIndent="0"/>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7AC1137"/>
    <w:multiLevelType w:val="hybridMultilevel"/>
    <w:tmpl w:val="BE50A700"/>
    <w:lvl w:ilvl="0" w:tplc="343C30F0">
      <w:start w:val="1"/>
      <w:numFmt w:val="lowerLetter"/>
      <w:lvlText w:val="%1)"/>
      <w:lvlJc w:val="left"/>
      <w:pPr>
        <w:ind w:left="502" w:hanging="360"/>
      </w:pPr>
      <w:rPr>
        <w:rFonts w:ascii="GreekNumbers" w:hAnsi="GreekNumber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08AB38DA"/>
    <w:multiLevelType w:val="hybridMultilevel"/>
    <w:tmpl w:val="A09853F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A2C7999"/>
    <w:multiLevelType w:val="hybridMultilevel"/>
    <w:tmpl w:val="A9EC50A8"/>
    <w:lvl w:ilvl="0" w:tplc="343C30F0">
      <w:start w:val="1"/>
      <w:numFmt w:val="lowerLetter"/>
      <w:lvlText w:val="%1)"/>
      <w:lvlJc w:val="left"/>
      <w:pPr>
        <w:ind w:left="502" w:hanging="360"/>
      </w:pPr>
      <w:rPr>
        <w:rFonts w:ascii="GreekNumbers" w:hAnsi="GreekNumber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0F902EFF"/>
    <w:multiLevelType w:val="hybridMultilevel"/>
    <w:tmpl w:val="97983F9E"/>
    <w:lvl w:ilvl="0" w:tplc="040E001B">
      <w:start w:val="1"/>
      <w:numFmt w:val="low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15:restartNumberingAfterBreak="0">
    <w:nsid w:val="1322206F"/>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13D46F2A"/>
    <w:multiLevelType w:val="multilevel"/>
    <w:tmpl w:val="788C1934"/>
    <w:styleLink w:val="Hatrozat"/>
    <w:lvl w:ilvl="0">
      <w:start w:val="1"/>
      <w:numFmt w:val="decimal"/>
      <w:pStyle w:val="Pont"/>
      <w:suff w:val="space"/>
      <w:lvlText w:val="%1."/>
      <w:lvlJc w:val="left"/>
      <w:pPr>
        <w:ind w:left="0" w:firstLine="284"/>
      </w:pPr>
      <w:rPr>
        <w:rFonts w:hint="default"/>
      </w:rPr>
    </w:lvl>
    <w:lvl w:ilvl="1">
      <w:start w:val="1"/>
      <w:numFmt w:val="lowerLetter"/>
      <w:suff w:val="space"/>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7" w15:restartNumberingAfterBreak="0">
    <w:nsid w:val="1459464A"/>
    <w:multiLevelType w:val="hybridMultilevel"/>
    <w:tmpl w:val="0A9AF2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6D78A1"/>
    <w:multiLevelType w:val="hybridMultilevel"/>
    <w:tmpl w:val="A22AA9C2"/>
    <w:lvl w:ilvl="0" w:tplc="D292B9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B03D7D"/>
    <w:multiLevelType w:val="hybridMultilevel"/>
    <w:tmpl w:val="3ADC8102"/>
    <w:lvl w:ilvl="0" w:tplc="7B061F6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1B717131"/>
    <w:multiLevelType w:val="hybridMultilevel"/>
    <w:tmpl w:val="7BC2264C"/>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1FED0AE2"/>
    <w:multiLevelType w:val="hybridMultilevel"/>
    <w:tmpl w:val="A9F0E078"/>
    <w:lvl w:ilvl="0" w:tplc="D494A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BC545B"/>
    <w:multiLevelType w:val="hybridMultilevel"/>
    <w:tmpl w:val="607865A8"/>
    <w:lvl w:ilvl="0" w:tplc="761C912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3" w15:restartNumberingAfterBreak="0">
    <w:nsid w:val="2232086E"/>
    <w:multiLevelType w:val="hybridMultilevel"/>
    <w:tmpl w:val="76143F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440ECC"/>
    <w:multiLevelType w:val="hybridMultilevel"/>
    <w:tmpl w:val="A7341F6A"/>
    <w:lvl w:ilvl="0" w:tplc="DFA09F6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D97682"/>
    <w:multiLevelType w:val="hybridMultilevel"/>
    <w:tmpl w:val="83ACFF2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28226C78"/>
    <w:multiLevelType w:val="hybridMultilevel"/>
    <w:tmpl w:val="170699F6"/>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7" w15:restartNumberingAfterBreak="0">
    <w:nsid w:val="28BA2D46"/>
    <w:multiLevelType w:val="hybridMultilevel"/>
    <w:tmpl w:val="FD10E004"/>
    <w:lvl w:ilvl="0" w:tplc="1F7A1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7804AA"/>
    <w:multiLevelType w:val="hybridMultilevel"/>
    <w:tmpl w:val="69A41C20"/>
    <w:lvl w:ilvl="0" w:tplc="80386DF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C2C5199"/>
    <w:multiLevelType w:val="hybridMultilevel"/>
    <w:tmpl w:val="444C87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E8B43AF"/>
    <w:multiLevelType w:val="hybridMultilevel"/>
    <w:tmpl w:val="31F860A8"/>
    <w:lvl w:ilvl="0" w:tplc="BF6E6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086D20"/>
    <w:multiLevelType w:val="hybridMultilevel"/>
    <w:tmpl w:val="3B72E9D2"/>
    <w:lvl w:ilvl="0" w:tplc="78E0AC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9C1775"/>
    <w:multiLevelType w:val="hybridMultilevel"/>
    <w:tmpl w:val="D04C7A1E"/>
    <w:lvl w:ilvl="0" w:tplc="1D1E69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318034BE"/>
    <w:multiLevelType w:val="hybridMultilevel"/>
    <w:tmpl w:val="43A0DED8"/>
    <w:lvl w:ilvl="0" w:tplc="414EBEC6">
      <w:start w:val="4"/>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5263FE2"/>
    <w:multiLevelType w:val="hybridMultilevel"/>
    <w:tmpl w:val="2F0AD7B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15:restartNumberingAfterBreak="0">
    <w:nsid w:val="362D232A"/>
    <w:multiLevelType w:val="hybridMultilevel"/>
    <w:tmpl w:val="6284F890"/>
    <w:lvl w:ilvl="0" w:tplc="5BAAEC7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39B92C01"/>
    <w:multiLevelType w:val="hybridMultilevel"/>
    <w:tmpl w:val="82F69C86"/>
    <w:lvl w:ilvl="0" w:tplc="6450D7E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15:restartNumberingAfterBreak="0">
    <w:nsid w:val="3ABB52B6"/>
    <w:multiLevelType w:val="hybridMultilevel"/>
    <w:tmpl w:val="7904F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B2E2184"/>
    <w:multiLevelType w:val="hybridMultilevel"/>
    <w:tmpl w:val="CFFE03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221D6C"/>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49E4694D"/>
    <w:multiLevelType w:val="hybridMultilevel"/>
    <w:tmpl w:val="56AA0878"/>
    <w:lvl w:ilvl="0" w:tplc="C7FED732">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AA2F1E"/>
    <w:multiLevelType w:val="hybridMultilevel"/>
    <w:tmpl w:val="E042DE26"/>
    <w:lvl w:ilvl="0" w:tplc="E0C6CA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4F0237B5"/>
    <w:multiLevelType w:val="hybridMultilevel"/>
    <w:tmpl w:val="B3682B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0D00081"/>
    <w:multiLevelType w:val="hybridMultilevel"/>
    <w:tmpl w:val="3ED86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113106B"/>
    <w:multiLevelType w:val="hybridMultilevel"/>
    <w:tmpl w:val="F0E4199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15:restartNumberingAfterBreak="0">
    <w:nsid w:val="51D94018"/>
    <w:multiLevelType w:val="hybridMultilevel"/>
    <w:tmpl w:val="35A2DB8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15:restartNumberingAfterBreak="0">
    <w:nsid w:val="52C2322C"/>
    <w:multiLevelType w:val="hybridMultilevel"/>
    <w:tmpl w:val="66D47482"/>
    <w:lvl w:ilvl="0" w:tplc="607AC56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3F946A3"/>
    <w:multiLevelType w:val="hybridMultilevel"/>
    <w:tmpl w:val="95D4883C"/>
    <w:lvl w:ilvl="0" w:tplc="3170F9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4161A68"/>
    <w:multiLevelType w:val="hybridMultilevel"/>
    <w:tmpl w:val="18EC8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4B86F51"/>
    <w:multiLevelType w:val="hybridMultilevel"/>
    <w:tmpl w:val="BE3C9156"/>
    <w:lvl w:ilvl="0" w:tplc="FDC61A56">
      <w:start w:val="1"/>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4F80072"/>
    <w:multiLevelType w:val="hybridMultilevel"/>
    <w:tmpl w:val="A190BF10"/>
    <w:lvl w:ilvl="0" w:tplc="1D28F45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15:restartNumberingAfterBreak="0">
    <w:nsid w:val="552E12DD"/>
    <w:multiLevelType w:val="hybridMultilevel"/>
    <w:tmpl w:val="50507982"/>
    <w:lvl w:ilvl="0" w:tplc="16BC8D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B854844"/>
    <w:multiLevelType w:val="hybridMultilevel"/>
    <w:tmpl w:val="767013BC"/>
    <w:lvl w:ilvl="0" w:tplc="BF7815E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5DE25F6B"/>
    <w:multiLevelType w:val="hybridMultilevel"/>
    <w:tmpl w:val="943094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2547F8"/>
    <w:multiLevelType w:val="hybridMultilevel"/>
    <w:tmpl w:val="2C88C7C6"/>
    <w:lvl w:ilvl="0" w:tplc="A7D62C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193091C"/>
    <w:multiLevelType w:val="hybridMultilevel"/>
    <w:tmpl w:val="3D6CB02C"/>
    <w:lvl w:ilvl="0" w:tplc="89366B0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A926A0"/>
    <w:multiLevelType w:val="hybridMultilevel"/>
    <w:tmpl w:val="45180D86"/>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7" w15:restartNumberingAfterBreak="0">
    <w:nsid w:val="640F55AC"/>
    <w:multiLevelType w:val="hybridMultilevel"/>
    <w:tmpl w:val="E4785FB6"/>
    <w:lvl w:ilvl="0" w:tplc="42949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4D50681"/>
    <w:multiLevelType w:val="hybridMultilevel"/>
    <w:tmpl w:val="7F86C5B0"/>
    <w:lvl w:ilvl="0" w:tplc="27C40B8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15:restartNumberingAfterBreak="0">
    <w:nsid w:val="67196AEE"/>
    <w:multiLevelType w:val="hybridMultilevel"/>
    <w:tmpl w:val="4EEE792E"/>
    <w:lvl w:ilvl="0" w:tplc="7FF2D8B8">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A0060BC"/>
    <w:multiLevelType w:val="hybridMultilevel"/>
    <w:tmpl w:val="C7883BA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E044C19"/>
    <w:multiLevelType w:val="hybridMultilevel"/>
    <w:tmpl w:val="E0666E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FA970B5"/>
    <w:multiLevelType w:val="hybridMultilevel"/>
    <w:tmpl w:val="E2822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11B7A4D"/>
    <w:multiLevelType w:val="hybridMultilevel"/>
    <w:tmpl w:val="11F2E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7610588"/>
    <w:multiLevelType w:val="hybridMultilevel"/>
    <w:tmpl w:val="49FA6070"/>
    <w:lvl w:ilvl="0" w:tplc="2594F2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D366475"/>
    <w:multiLevelType w:val="hybridMultilevel"/>
    <w:tmpl w:val="B8AAF768"/>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15:restartNumberingAfterBreak="0">
    <w:nsid w:val="7FB81426"/>
    <w:multiLevelType w:val="hybridMultilevel"/>
    <w:tmpl w:val="692C4330"/>
    <w:lvl w:ilvl="0" w:tplc="155CD2C0">
      <w:start w:val="1"/>
      <w:numFmt w:val="bullet"/>
      <w:lvlText w:val="•"/>
      <w:lvlJc w:val="left"/>
      <w:pPr>
        <w:tabs>
          <w:tab w:val="num" w:pos="720"/>
        </w:tabs>
        <w:ind w:left="720" w:hanging="360"/>
      </w:pPr>
      <w:rPr>
        <w:rFonts w:ascii="Arial" w:hAnsi="Arial" w:cs="Times New Roman" w:hint="default"/>
      </w:rPr>
    </w:lvl>
    <w:lvl w:ilvl="1" w:tplc="A5820EA8">
      <w:start w:val="243"/>
      <w:numFmt w:val="bullet"/>
      <w:lvlText w:val="•"/>
      <w:lvlJc w:val="left"/>
      <w:pPr>
        <w:tabs>
          <w:tab w:val="num" w:pos="1440"/>
        </w:tabs>
        <w:ind w:left="1440" w:hanging="360"/>
      </w:pPr>
      <w:rPr>
        <w:rFonts w:ascii="Arial" w:hAnsi="Arial" w:cs="Times New Roman" w:hint="default"/>
      </w:rPr>
    </w:lvl>
    <w:lvl w:ilvl="2" w:tplc="A656B96A">
      <w:start w:val="1"/>
      <w:numFmt w:val="bullet"/>
      <w:lvlText w:val="•"/>
      <w:lvlJc w:val="left"/>
      <w:pPr>
        <w:tabs>
          <w:tab w:val="num" w:pos="2160"/>
        </w:tabs>
        <w:ind w:left="2160" w:hanging="360"/>
      </w:pPr>
      <w:rPr>
        <w:rFonts w:ascii="Arial" w:hAnsi="Arial" w:cs="Times New Roman" w:hint="default"/>
      </w:rPr>
    </w:lvl>
    <w:lvl w:ilvl="3" w:tplc="B998A3B0">
      <w:start w:val="1"/>
      <w:numFmt w:val="bullet"/>
      <w:lvlText w:val="•"/>
      <w:lvlJc w:val="left"/>
      <w:pPr>
        <w:tabs>
          <w:tab w:val="num" w:pos="2880"/>
        </w:tabs>
        <w:ind w:left="2880" w:hanging="360"/>
      </w:pPr>
      <w:rPr>
        <w:rFonts w:ascii="Arial" w:hAnsi="Arial" w:cs="Times New Roman" w:hint="default"/>
      </w:rPr>
    </w:lvl>
    <w:lvl w:ilvl="4" w:tplc="35020F16">
      <w:start w:val="1"/>
      <w:numFmt w:val="bullet"/>
      <w:lvlText w:val="•"/>
      <w:lvlJc w:val="left"/>
      <w:pPr>
        <w:tabs>
          <w:tab w:val="num" w:pos="3600"/>
        </w:tabs>
        <w:ind w:left="3600" w:hanging="360"/>
      </w:pPr>
      <w:rPr>
        <w:rFonts w:ascii="Arial" w:hAnsi="Arial" w:cs="Times New Roman" w:hint="default"/>
      </w:rPr>
    </w:lvl>
    <w:lvl w:ilvl="5" w:tplc="FE9E8A36">
      <w:start w:val="1"/>
      <w:numFmt w:val="bullet"/>
      <w:lvlText w:val="•"/>
      <w:lvlJc w:val="left"/>
      <w:pPr>
        <w:tabs>
          <w:tab w:val="num" w:pos="4320"/>
        </w:tabs>
        <w:ind w:left="4320" w:hanging="360"/>
      </w:pPr>
      <w:rPr>
        <w:rFonts w:ascii="Arial" w:hAnsi="Arial" w:cs="Times New Roman" w:hint="default"/>
      </w:rPr>
    </w:lvl>
    <w:lvl w:ilvl="6" w:tplc="B8842322">
      <w:start w:val="1"/>
      <w:numFmt w:val="bullet"/>
      <w:lvlText w:val="•"/>
      <w:lvlJc w:val="left"/>
      <w:pPr>
        <w:tabs>
          <w:tab w:val="num" w:pos="5040"/>
        </w:tabs>
        <w:ind w:left="5040" w:hanging="360"/>
      </w:pPr>
      <w:rPr>
        <w:rFonts w:ascii="Arial" w:hAnsi="Arial" w:cs="Times New Roman" w:hint="default"/>
      </w:rPr>
    </w:lvl>
    <w:lvl w:ilvl="7" w:tplc="565A2A32">
      <w:start w:val="1"/>
      <w:numFmt w:val="bullet"/>
      <w:lvlText w:val="•"/>
      <w:lvlJc w:val="left"/>
      <w:pPr>
        <w:tabs>
          <w:tab w:val="num" w:pos="5760"/>
        </w:tabs>
        <w:ind w:left="5760" w:hanging="360"/>
      </w:pPr>
      <w:rPr>
        <w:rFonts w:ascii="Arial" w:hAnsi="Arial" w:cs="Times New Roman" w:hint="default"/>
      </w:rPr>
    </w:lvl>
    <w:lvl w:ilvl="8" w:tplc="14321904">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7"/>
  </w:num>
  <w:num w:numId="3">
    <w:abstractNumId w:val="14"/>
  </w:num>
  <w:num w:numId="4">
    <w:abstractNumId w:val="7"/>
  </w:num>
  <w:num w:numId="5">
    <w:abstractNumId w:val="53"/>
  </w:num>
  <w:num w:numId="6">
    <w:abstractNumId w:val="38"/>
  </w:num>
  <w:num w:numId="7">
    <w:abstractNumId w:val="6"/>
  </w:num>
  <w:num w:numId="8">
    <w:abstractNumId w:val="13"/>
  </w:num>
  <w:num w:numId="9">
    <w:abstractNumId w:val="39"/>
  </w:num>
  <w:num w:numId="10">
    <w:abstractNumId w:val="41"/>
  </w:num>
  <w:num w:numId="11">
    <w:abstractNumId w:val="28"/>
  </w:num>
  <w:num w:numId="12">
    <w:abstractNumId w:val="49"/>
  </w:num>
  <w:num w:numId="13">
    <w:abstractNumId w:val="51"/>
  </w:num>
  <w:num w:numId="14">
    <w:abstractNumId w:val="21"/>
  </w:num>
  <w:num w:numId="15">
    <w:abstractNumId w:val="30"/>
  </w:num>
  <w:num w:numId="16">
    <w:abstractNumId w:val="11"/>
  </w:num>
  <w:num w:numId="17">
    <w:abstractNumId w:val="36"/>
  </w:num>
  <w:num w:numId="18">
    <w:abstractNumId w:val="26"/>
  </w:num>
  <w:num w:numId="19">
    <w:abstractNumId w:val="12"/>
  </w:num>
  <w:num w:numId="20">
    <w:abstractNumId w:val="56"/>
  </w:num>
  <w:num w:numId="21">
    <w:abstractNumId w:val="52"/>
  </w:num>
  <w:num w:numId="22">
    <w:abstractNumId w:val="55"/>
  </w:num>
  <w:num w:numId="23">
    <w:abstractNumId w:val="29"/>
  </w:num>
  <w:num w:numId="24">
    <w:abstractNumId w:val="2"/>
  </w:num>
  <w:num w:numId="25">
    <w:abstractNumId w:val="46"/>
  </w:num>
  <w:num w:numId="26">
    <w:abstractNumId w:val="25"/>
  </w:num>
  <w:num w:numId="27">
    <w:abstractNumId w:val="15"/>
  </w:num>
  <w:num w:numId="28">
    <w:abstractNumId w:val="35"/>
  </w:num>
  <w:num w:numId="29">
    <w:abstractNumId w:val="34"/>
  </w:num>
  <w:num w:numId="30">
    <w:abstractNumId w:val="16"/>
  </w:num>
  <w:num w:numId="31">
    <w:abstractNumId w:val="23"/>
  </w:num>
  <w:num w:numId="32">
    <w:abstractNumId w:val="10"/>
  </w:num>
  <w:num w:numId="33">
    <w:abstractNumId w:val="5"/>
  </w:num>
  <w:num w:numId="34">
    <w:abstractNumId w:val="50"/>
  </w:num>
  <w:num w:numId="35">
    <w:abstractNumId w:val="19"/>
  </w:num>
  <w:num w:numId="36">
    <w:abstractNumId w:val="43"/>
  </w:num>
  <w:num w:numId="37">
    <w:abstractNumId w:val="24"/>
  </w:num>
  <w:num w:numId="38">
    <w:abstractNumId w:val="4"/>
  </w:num>
  <w:num w:numId="39">
    <w:abstractNumId w:val="8"/>
  </w:num>
  <w:num w:numId="40">
    <w:abstractNumId w:val="33"/>
  </w:num>
  <w:num w:numId="41">
    <w:abstractNumId w:val="17"/>
  </w:num>
  <w:num w:numId="42">
    <w:abstractNumId w:val="54"/>
  </w:num>
  <w:num w:numId="43">
    <w:abstractNumId w:val="32"/>
  </w:num>
  <w:num w:numId="44">
    <w:abstractNumId w:val="18"/>
  </w:num>
  <w:num w:numId="45">
    <w:abstractNumId w:val="31"/>
  </w:num>
  <w:num w:numId="46">
    <w:abstractNumId w:val="42"/>
  </w:num>
  <w:num w:numId="47">
    <w:abstractNumId w:val="22"/>
  </w:num>
  <w:num w:numId="48">
    <w:abstractNumId w:val="47"/>
  </w:num>
  <w:num w:numId="49">
    <w:abstractNumId w:val="20"/>
  </w:num>
  <w:num w:numId="50">
    <w:abstractNumId w:val="3"/>
  </w:num>
  <w:num w:numId="51">
    <w:abstractNumId w:val="45"/>
  </w:num>
  <w:num w:numId="52">
    <w:abstractNumId w:val="44"/>
  </w:num>
  <w:num w:numId="53">
    <w:abstractNumId w:val="48"/>
  </w:num>
  <w:num w:numId="54">
    <w:abstractNumId w:val="9"/>
  </w:num>
  <w:num w:numId="55">
    <w:abstractNumId w:val="1"/>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4F"/>
    <w:rsid w:val="00001734"/>
    <w:rsid w:val="000018EB"/>
    <w:rsid w:val="000025FE"/>
    <w:rsid w:val="00003492"/>
    <w:rsid w:val="00003B2A"/>
    <w:rsid w:val="00004008"/>
    <w:rsid w:val="0000455E"/>
    <w:rsid w:val="0000500B"/>
    <w:rsid w:val="00005099"/>
    <w:rsid w:val="00005223"/>
    <w:rsid w:val="00005607"/>
    <w:rsid w:val="00005BA4"/>
    <w:rsid w:val="00007615"/>
    <w:rsid w:val="000077B3"/>
    <w:rsid w:val="00011BDB"/>
    <w:rsid w:val="00013E4F"/>
    <w:rsid w:val="00014BFC"/>
    <w:rsid w:val="0001679C"/>
    <w:rsid w:val="0001776F"/>
    <w:rsid w:val="000204D1"/>
    <w:rsid w:val="00021D4A"/>
    <w:rsid w:val="000220F7"/>
    <w:rsid w:val="00022466"/>
    <w:rsid w:val="00022D9E"/>
    <w:rsid w:val="000251AD"/>
    <w:rsid w:val="00025649"/>
    <w:rsid w:val="00025BAE"/>
    <w:rsid w:val="00025F54"/>
    <w:rsid w:val="00026267"/>
    <w:rsid w:val="00027582"/>
    <w:rsid w:val="0003010B"/>
    <w:rsid w:val="00030C3E"/>
    <w:rsid w:val="00030C8E"/>
    <w:rsid w:val="00031562"/>
    <w:rsid w:val="00033D2A"/>
    <w:rsid w:val="00034634"/>
    <w:rsid w:val="00036C04"/>
    <w:rsid w:val="00036D14"/>
    <w:rsid w:val="00037664"/>
    <w:rsid w:val="00037A82"/>
    <w:rsid w:val="00037DC4"/>
    <w:rsid w:val="00040430"/>
    <w:rsid w:val="00041469"/>
    <w:rsid w:val="00041FCC"/>
    <w:rsid w:val="00042265"/>
    <w:rsid w:val="000434E1"/>
    <w:rsid w:val="000439EB"/>
    <w:rsid w:val="00044AE7"/>
    <w:rsid w:val="000477B7"/>
    <w:rsid w:val="0005065B"/>
    <w:rsid w:val="00052934"/>
    <w:rsid w:val="00052A46"/>
    <w:rsid w:val="0005378A"/>
    <w:rsid w:val="00053E13"/>
    <w:rsid w:val="00057C00"/>
    <w:rsid w:val="000601EE"/>
    <w:rsid w:val="00060E94"/>
    <w:rsid w:val="00061D37"/>
    <w:rsid w:val="00063587"/>
    <w:rsid w:val="00063976"/>
    <w:rsid w:val="00067F6D"/>
    <w:rsid w:val="00067F79"/>
    <w:rsid w:val="000701FB"/>
    <w:rsid w:val="00070C1A"/>
    <w:rsid w:val="000748E7"/>
    <w:rsid w:val="00074BC8"/>
    <w:rsid w:val="0007564D"/>
    <w:rsid w:val="00076626"/>
    <w:rsid w:val="000767FC"/>
    <w:rsid w:val="00077CF7"/>
    <w:rsid w:val="00081927"/>
    <w:rsid w:val="00081A06"/>
    <w:rsid w:val="00082666"/>
    <w:rsid w:val="00083CA9"/>
    <w:rsid w:val="00083E4E"/>
    <w:rsid w:val="00084421"/>
    <w:rsid w:val="00085B41"/>
    <w:rsid w:val="00086456"/>
    <w:rsid w:val="00086C1A"/>
    <w:rsid w:val="00086F7A"/>
    <w:rsid w:val="00087C5B"/>
    <w:rsid w:val="000911EF"/>
    <w:rsid w:val="00091523"/>
    <w:rsid w:val="00091691"/>
    <w:rsid w:val="00093F20"/>
    <w:rsid w:val="00096036"/>
    <w:rsid w:val="00097EFF"/>
    <w:rsid w:val="000A0140"/>
    <w:rsid w:val="000A0D0C"/>
    <w:rsid w:val="000A0D6C"/>
    <w:rsid w:val="000A339F"/>
    <w:rsid w:val="000A36E3"/>
    <w:rsid w:val="000A3E8E"/>
    <w:rsid w:val="000A5F68"/>
    <w:rsid w:val="000A7D46"/>
    <w:rsid w:val="000B1A9E"/>
    <w:rsid w:val="000B1E88"/>
    <w:rsid w:val="000B28F1"/>
    <w:rsid w:val="000B36C1"/>
    <w:rsid w:val="000B4295"/>
    <w:rsid w:val="000B6EEB"/>
    <w:rsid w:val="000C14DB"/>
    <w:rsid w:val="000C239F"/>
    <w:rsid w:val="000C68A1"/>
    <w:rsid w:val="000D0CBA"/>
    <w:rsid w:val="000D1245"/>
    <w:rsid w:val="000D1C42"/>
    <w:rsid w:val="000D2977"/>
    <w:rsid w:val="000D3FC7"/>
    <w:rsid w:val="000D4AF9"/>
    <w:rsid w:val="000D6D8B"/>
    <w:rsid w:val="000E0155"/>
    <w:rsid w:val="000E03ED"/>
    <w:rsid w:val="000E0B67"/>
    <w:rsid w:val="000E1BBB"/>
    <w:rsid w:val="000E1D19"/>
    <w:rsid w:val="000E2607"/>
    <w:rsid w:val="000E3D72"/>
    <w:rsid w:val="000E426D"/>
    <w:rsid w:val="000E6D9F"/>
    <w:rsid w:val="000E77C6"/>
    <w:rsid w:val="000F0C17"/>
    <w:rsid w:val="000F1BDB"/>
    <w:rsid w:val="000F21EB"/>
    <w:rsid w:val="000F26FF"/>
    <w:rsid w:val="000F2835"/>
    <w:rsid w:val="000F293F"/>
    <w:rsid w:val="000F3148"/>
    <w:rsid w:val="000F35EE"/>
    <w:rsid w:val="000F5A10"/>
    <w:rsid w:val="000F6399"/>
    <w:rsid w:val="000F789E"/>
    <w:rsid w:val="00100E19"/>
    <w:rsid w:val="00101196"/>
    <w:rsid w:val="00101825"/>
    <w:rsid w:val="00101A71"/>
    <w:rsid w:val="00102591"/>
    <w:rsid w:val="00105368"/>
    <w:rsid w:val="00105442"/>
    <w:rsid w:val="0010573A"/>
    <w:rsid w:val="00105A4D"/>
    <w:rsid w:val="00106F62"/>
    <w:rsid w:val="0010705A"/>
    <w:rsid w:val="001070DE"/>
    <w:rsid w:val="0011146D"/>
    <w:rsid w:val="0011488B"/>
    <w:rsid w:val="00115125"/>
    <w:rsid w:val="00115E21"/>
    <w:rsid w:val="0011614B"/>
    <w:rsid w:val="001242D4"/>
    <w:rsid w:val="00124F42"/>
    <w:rsid w:val="001262C7"/>
    <w:rsid w:val="00130E91"/>
    <w:rsid w:val="0013166D"/>
    <w:rsid w:val="001319A9"/>
    <w:rsid w:val="00132C3D"/>
    <w:rsid w:val="00132D0C"/>
    <w:rsid w:val="00134D7C"/>
    <w:rsid w:val="00134E8A"/>
    <w:rsid w:val="00136CD2"/>
    <w:rsid w:val="00136F1A"/>
    <w:rsid w:val="00141A72"/>
    <w:rsid w:val="00141B3C"/>
    <w:rsid w:val="00141BBA"/>
    <w:rsid w:val="0014246A"/>
    <w:rsid w:val="0014467E"/>
    <w:rsid w:val="00144AC0"/>
    <w:rsid w:val="00145AE5"/>
    <w:rsid w:val="00146609"/>
    <w:rsid w:val="00146C4F"/>
    <w:rsid w:val="0014750B"/>
    <w:rsid w:val="00150748"/>
    <w:rsid w:val="00151B87"/>
    <w:rsid w:val="00152530"/>
    <w:rsid w:val="00152F96"/>
    <w:rsid w:val="00153694"/>
    <w:rsid w:val="00153B28"/>
    <w:rsid w:val="00154D37"/>
    <w:rsid w:val="001550D8"/>
    <w:rsid w:val="001555BD"/>
    <w:rsid w:val="00155D74"/>
    <w:rsid w:val="0016066E"/>
    <w:rsid w:val="00161233"/>
    <w:rsid w:val="0016173A"/>
    <w:rsid w:val="00163D44"/>
    <w:rsid w:val="00164FDE"/>
    <w:rsid w:val="00166B2B"/>
    <w:rsid w:val="001726CB"/>
    <w:rsid w:val="0017288F"/>
    <w:rsid w:val="001731E7"/>
    <w:rsid w:val="001733D0"/>
    <w:rsid w:val="00173EB3"/>
    <w:rsid w:val="00175173"/>
    <w:rsid w:val="00175AE7"/>
    <w:rsid w:val="00175BC0"/>
    <w:rsid w:val="00175F85"/>
    <w:rsid w:val="00177C4E"/>
    <w:rsid w:val="0018146D"/>
    <w:rsid w:val="00181C0B"/>
    <w:rsid w:val="00183579"/>
    <w:rsid w:val="0018475E"/>
    <w:rsid w:val="001859EB"/>
    <w:rsid w:val="00185F2F"/>
    <w:rsid w:val="0018605A"/>
    <w:rsid w:val="001866FD"/>
    <w:rsid w:val="00186D2C"/>
    <w:rsid w:val="00186D91"/>
    <w:rsid w:val="001870EC"/>
    <w:rsid w:val="001875CB"/>
    <w:rsid w:val="00187C14"/>
    <w:rsid w:val="00190FAC"/>
    <w:rsid w:val="00192353"/>
    <w:rsid w:val="00193DCC"/>
    <w:rsid w:val="001941D3"/>
    <w:rsid w:val="0019746D"/>
    <w:rsid w:val="001975FA"/>
    <w:rsid w:val="001A0857"/>
    <w:rsid w:val="001A2873"/>
    <w:rsid w:val="001A2B02"/>
    <w:rsid w:val="001A39C3"/>
    <w:rsid w:val="001A635C"/>
    <w:rsid w:val="001B0E10"/>
    <w:rsid w:val="001B1E45"/>
    <w:rsid w:val="001B26F2"/>
    <w:rsid w:val="001B2A19"/>
    <w:rsid w:val="001B2B91"/>
    <w:rsid w:val="001B34F3"/>
    <w:rsid w:val="001B480C"/>
    <w:rsid w:val="001B516B"/>
    <w:rsid w:val="001B53A0"/>
    <w:rsid w:val="001B7CFD"/>
    <w:rsid w:val="001C1149"/>
    <w:rsid w:val="001C2137"/>
    <w:rsid w:val="001C57DE"/>
    <w:rsid w:val="001C5D0F"/>
    <w:rsid w:val="001C5F87"/>
    <w:rsid w:val="001C6570"/>
    <w:rsid w:val="001C7218"/>
    <w:rsid w:val="001D11DC"/>
    <w:rsid w:val="001D15E2"/>
    <w:rsid w:val="001D2872"/>
    <w:rsid w:val="001D32AD"/>
    <w:rsid w:val="001D6239"/>
    <w:rsid w:val="001D7B3D"/>
    <w:rsid w:val="001E1D08"/>
    <w:rsid w:val="001E259E"/>
    <w:rsid w:val="001E3296"/>
    <w:rsid w:val="001E5449"/>
    <w:rsid w:val="001E6E74"/>
    <w:rsid w:val="001E77B8"/>
    <w:rsid w:val="001F025D"/>
    <w:rsid w:val="001F0A54"/>
    <w:rsid w:val="001F134F"/>
    <w:rsid w:val="001F1A97"/>
    <w:rsid w:val="001F1D25"/>
    <w:rsid w:val="001F2F45"/>
    <w:rsid w:val="001F3A97"/>
    <w:rsid w:val="001F51A0"/>
    <w:rsid w:val="001F5519"/>
    <w:rsid w:val="001F5715"/>
    <w:rsid w:val="001F7317"/>
    <w:rsid w:val="001F73B4"/>
    <w:rsid w:val="001F7D6A"/>
    <w:rsid w:val="002010F7"/>
    <w:rsid w:val="002023B0"/>
    <w:rsid w:val="00202F9A"/>
    <w:rsid w:val="002030AB"/>
    <w:rsid w:val="00203791"/>
    <w:rsid w:val="0020655F"/>
    <w:rsid w:val="00206DCD"/>
    <w:rsid w:val="002073E6"/>
    <w:rsid w:val="00210B7F"/>
    <w:rsid w:val="00211539"/>
    <w:rsid w:val="0021161B"/>
    <w:rsid w:val="00211BC3"/>
    <w:rsid w:val="00211D2F"/>
    <w:rsid w:val="00212335"/>
    <w:rsid w:val="002125C2"/>
    <w:rsid w:val="00212ACD"/>
    <w:rsid w:val="00212BE3"/>
    <w:rsid w:val="00213457"/>
    <w:rsid w:val="00213E05"/>
    <w:rsid w:val="00214768"/>
    <w:rsid w:val="002149B5"/>
    <w:rsid w:val="00214A02"/>
    <w:rsid w:val="00214B8E"/>
    <w:rsid w:val="00214EF9"/>
    <w:rsid w:val="00215588"/>
    <w:rsid w:val="00215824"/>
    <w:rsid w:val="00215C33"/>
    <w:rsid w:val="002169DE"/>
    <w:rsid w:val="00216BC0"/>
    <w:rsid w:val="00216F59"/>
    <w:rsid w:val="00217DA4"/>
    <w:rsid w:val="00220E65"/>
    <w:rsid w:val="002212EB"/>
    <w:rsid w:val="002221B4"/>
    <w:rsid w:val="00222E88"/>
    <w:rsid w:val="00222F0D"/>
    <w:rsid w:val="00223FA1"/>
    <w:rsid w:val="002246F6"/>
    <w:rsid w:val="0022480D"/>
    <w:rsid w:val="00224907"/>
    <w:rsid w:val="0022527F"/>
    <w:rsid w:val="002252D8"/>
    <w:rsid w:val="00225CE5"/>
    <w:rsid w:val="0022627B"/>
    <w:rsid w:val="00226C3B"/>
    <w:rsid w:val="00226F5A"/>
    <w:rsid w:val="00226FC9"/>
    <w:rsid w:val="00227149"/>
    <w:rsid w:val="002275C4"/>
    <w:rsid w:val="002276A3"/>
    <w:rsid w:val="002278B5"/>
    <w:rsid w:val="00227E33"/>
    <w:rsid w:val="00227F34"/>
    <w:rsid w:val="0023004D"/>
    <w:rsid w:val="00230B11"/>
    <w:rsid w:val="00233BBD"/>
    <w:rsid w:val="00233FB6"/>
    <w:rsid w:val="00234DAE"/>
    <w:rsid w:val="00235E18"/>
    <w:rsid w:val="00236666"/>
    <w:rsid w:val="002366C2"/>
    <w:rsid w:val="0023719F"/>
    <w:rsid w:val="002371FB"/>
    <w:rsid w:val="002373EA"/>
    <w:rsid w:val="0024176D"/>
    <w:rsid w:val="002422E4"/>
    <w:rsid w:val="002424C0"/>
    <w:rsid w:val="00242BEE"/>
    <w:rsid w:val="00245247"/>
    <w:rsid w:val="00246989"/>
    <w:rsid w:val="002474EB"/>
    <w:rsid w:val="00251E4F"/>
    <w:rsid w:val="00252B8D"/>
    <w:rsid w:val="00252E20"/>
    <w:rsid w:val="00253B69"/>
    <w:rsid w:val="00253E74"/>
    <w:rsid w:val="00254E98"/>
    <w:rsid w:val="0025781F"/>
    <w:rsid w:val="002578FC"/>
    <w:rsid w:val="00260129"/>
    <w:rsid w:val="00260F2B"/>
    <w:rsid w:val="00261C8C"/>
    <w:rsid w:val="00263725"/>
    <w:rsid w:val="00263888"/>
    <w:rsid w:val="00264058"/>
    <w:rsid w:val="00264E70"/>
    <w:rsid w:val="002660CD"/>
    <w:rsid w:val="002662B4"/>
    <w:rsid w:val="00266C56"/>
    <w:rsid w:val="00267149"/>
    <w:rsid w:val="00267757"/>
    <w:rsid w:val="00267924"/>
    <w:rsid w:val="0027404F"/>
    <w:rsid w:val="00274944"/>
    <w:rsid w:val="00274DFA"/>
    <w:rsid w:val="00276176"/>
    <w:rsid w:val="0027663D"/>
    <w:rsid w:val="0027728A"/>
    <w:rsid w:val="00277925"/>
    <w:rsid w:val="00280650"/>
    <w:rsid w:val="00280C24"/>
    <w:rsid w:val="0028345C"/>
    <w:rsid w:val="00284211"/>
    <w:rsid w:val="0028436E"/>
    <w:rsid w:val="0028549A"/>
    <w:rsid w:val="00285788"/>
    <w:rsid w:val="002857B5"/>
    <w:rsid w:val="00286606"/>
    <w:rsid w:val="002878B1"/>
    <w:rsid w:val="00287AE1"/>
    <w:rsid w:val="00287C04"/>
    <w:rsid w:val="00292116"/>
    <w:rsid w:val="002959F0"/>
    <w:rsid w:val="00296BDB"/>
    <w:rsid w:val="002A0514"/>
    <w:rsid w:val="002A087B"/>
    <w:rsid w:val="002A0CC8"/>
    <w:rsid w:val="002A13E9"/>
    <w:rsid w:val="002A4869"/>
    <w:rsid w:val="002A6DB8"/>
    <w:rsid w:val="002B0384"/>
    <w:rsid w:val="002B15E0"/>
    <w:rsid w:val="002B20AA"/>
    <w:rsid w:val="002B2273"/>
    <w:rsid w:val="002B3328"/>
    <w:rsid w:val="002B349F"/>
    <w:rsid w:val="002B3760"/>
    <w:rsid w:val="002B3E9C"/>
    <w:rsid w:val="002B58AE"/>
    <w:rsid w:val="002B6E5F"/>
    <w:rsid w:val="002C04C8"/>
    <w:rsid w:val="002C0701"/>
    <w:rsid w:val="002C1B15"/>
    <w:rsid w:val="002C217C"/>
    <w:rsid w:val="002C35A9"/>
    <w:rsid w:val="002C4097"/>
    <w:rsid w:val="002C4F6F"/>
    <w:rsid w:val="002C5EF8"/>
    <w:rsid w:val="002C6D4B"/>
    <w:rsid w:val="002C71D2"/>
    <w:rsid w:val="002D0E25"/>
    <w:rsid w:val="002D288C"/>
    <w:rsid w:val="002D2978"/>
    <w:rsid w:val="002D2ECE"/>
    <w:rsid w:val="002D30E3"/>
    <w:rsid w:val="002D39B8"/>
    <w:rsid w:val="002D4013"/>
    <w:rsid w:val="002D7957"/>
    <w:rsid w:val="002E14B8"/>
    <w:rsid w:val="002E1755"/>
    <w:rsid w:val="002E349B"/>
    <w:rsid w:val="002E3D60"/>
    <w:rsid w:val="002E3DC9"/>
    <w:rsid w:val="002E4930"/>
    <w:rsid w:val="002E5373"/>
    <w:rsid w:val="002E5553"/>
    <w:rsid w:val="002E5CF8"/>
    <w:rsid w:val="002E623B"/>
    <w:rsid w:val="002E6298"/>
    <w:rsid w:val="002E65BA"/>
    <w:rsid w:val="002E741E"/>
    <w:rsid w:val="002E76D8"/>
    <w:rsid w:val="002E793A"/>
    <w:rsid w:val="002F05BE"/>
    <w:rsid w:val="002F07BB"/>
    <w:rsid w:val="002F2587"/>
    <w:rsid w:val="002F2D51"/>
    <w:rsid w:val="002F3008"/>
    <w:rsid w:val="002F4316"/>
    <w:rsid w:val="002F4541"/>
    <w:rsid w:val="002F4D09"/>
    <w:rsid w:val="002F5DF3"/>
    <w:rsid w:val="002F636C"/>
    <w:rsid w:val="002F7BD9"/>
    <w:rsid w:val="00301115"/>
    <w:rsid w:val="003015E7"/>
    <w:rsid w:val="00305DAE"/>
    <w:rsid w:val="00306529"/>
    <w:rsid w:val="00306CA3"/>
    <w:rsid w:val="003117AF"/>
    <w:rsid w:val="003129D0"/>
    <w:rsid w:val="003136C4"/>
    <w:rsid w:val="0031427E"/>
    <w:rsid w:val="003149B4"/>
    <w:rsid w:val="003161BF"/>
    <w:rsid w:val="0031730A"/>
    <w:rsid w:val="003200A0"/>
    <w:rsid w:val="00320D1D"/>
    <w:rsid w:val="00323084"/>
    <w:rsid w:val="00325218"/>
    <w:rsid w:val="00326CF8"/>
    <w:rsid w:val="00326F5A"/>
    <w:rsid w:val="003301AF"/>
    <w:rsid w:val="00331A0A"/>
    <w:rsid w:val="003333CF"/>
    <w:rsid w:val="00333F88"/>
    <w:rsid w:val="00334614"/>
    <w:rsid w:val="00335388"/>
    <w:rsid w:val="00335C58"/>
    <w:rsid w:val="003360E9"/>
    <w:rsid w:val="003366DB"/>
    <w:rsid w:val="00336EB2"/>
    <w:rsid w:val="003401BD"/>
    <w:rsid w:val="00340786"/>
    <w:rsid w:val="003409C4"/>
    <w:rsid w:val="003409ED"/>
    <w:rsid w:val="003411D9"/>
    <w:rsid w:val="00341394"/>
    <w:rsid w:val="00341C30"/>
    <w:rsid w:val="0034257F"/>
    <w:rsid w:val="00342C9B"/>
    <w:rsid w:val="00343D77"/>
    <w:rsid w:val="00345B67"/>
    <w:rsid w:val="00346FDD"/>
    <w:rsid w:val="00347641"/>
    <w:rsid w:val="003508F8"/>
    <w:rsid w:val="00350C28"/>
    <w:rsid w:val="00351B3F"/>
    <w:rsid w:val="00352B7C"/>
    <w:rsid w:val="003539B4"/>
    <w:rsid w:val="0035506F"/>
    <w:rsid w:val="00356539"/>
    <w:rsid w:val="003578B6"/>
    <w:rsid w:val="00357E96"/>
    <w:rsid w:val="00360AD7"/>
    <w:rsid w:val="00360D43"/>
    <w:rsid w:val="00366B07"/>
    <w:rsid w:val="003673F4"/>
    <w:rsid w:val="003678AC"/>
    <w:rsid w:val="00373451"/>
    <w:rsid w:val="0037393C"/>
    <w:rsid w:val="003758D5"/>
    <w:rsid w:val="00376747"/>
    <w:rsid w:val="003779CB"/>
    <w:rsid w:val="00380F30"/>
    <w:rsid w:val="00381873"/>
    <w:rsid w:val="00381E6F"/>
    <w:rsid w:val="0038257F"/>
    <w:rsid w:val="00384149"/>
    <w:rsid w:val="00385359"/>
    <w:rsid w:val="00385D51"/>
    <w:rsid w:val="00387EC6"/>
    <w:rsid w:val="00387F16"/>
    <w:rsid w:val="00387F37"/>
    <w:rsid w:val="00390264"/>
    <w:rsid w:val="00392F41"/>
    <w:rsid w:val="003931D9"/>
    <w:rsid w:val="0039322A"/>
    <w:rsid w:val="003933D2"/>
    <w:rsid w:val="003933E7"/>
    <w:rsid w:val="00393F5A"/>
    <w:rsid w:val="00394C76"/>
    <w:rsid w:val="00394CC1"/>
    <w:rsid w:val="003978F4"/>
    <w:rsid w:val="00397B4B"/>
    <w:rsid w:val="003A0573"/>
    <w:rsid w:val="003A2125"/>
    <w:rsid w:val="003A24E6"/>
    <w:rsid w:val="003A3359"/>
    <w:rsid w:val="003A3633"/>
    <w:rsid w:val="003A4528"/>
    <w:rsid w:val="003A541B"/>
    <w:rsid w:val="003B0319"/>
    <w:rsid w:val="003B18F6"/>
    <w:rsid w:val="003B19D6"/>
    <w:rsid w:val="003B222A"/>
    <w:rsid w:val="003B2656"/>
    <w:rsid w:val="003B3A2A"/>
    <w:rsid w:val="003B410F"/>
    <w:rsid w:val="003B56BD"/>
    <w:rsid w:val="003B7B72"/>
    <w:rsid w:val="003C1D33"/>
    <w:rsid w:val="003C22FB"/>
    <w:rsid w:val="003C4DDC"/>
    <w:rsid w:val="003C6B97"/>
    <w:rsid w:val="003C74DB"/>
    <w:rsid w:val="003D289F"/>
    <w:rsid w:val="003D46C5"/>
    <w:rsid w:val="003D567D"/>
    <w:rsid w:val="003D6814"/>
    <w:rsid w:val="003D6835"/>
    <w:rsid w:val="003D7B13"/>
    <w:rsid w:val="003E1DC4"/>
    <w:rsid w:val="003E1EA3"/>
    <w:rsid w:val="003E2176"/>
    <w:rsid w:val="003E3D8D"/>
    <w:rsid w:val="003E42E7"/>
    <w:rsid w:val="003E4487"/>
    <w:rsid w:val="003E497F"/>
    <w:rsid w:val="003E4D8D"/>
    <w:rsid w:val="003E686B"/>
    <w:rsid w:val="003F0D23"/>
    <w:rsid w:val="003F2491"/>
    <w:rsid w:val="003F34DD"/>
    <w:rsid w:val="003F38A3"/>
    <w:rsid w:val="003F45EE"/>
    <w:rsid w:val="003F6227"/>
    <w:rsid w:val="003F7732"/>
    <w:rsid w:val="003F7FFE"/>
    <w:rsid w:val="00400308"/>
    <w:rsid w:val="00401586"/>
    <w:rsid w:val="004024BC"/>
    <w:rsid w:val="00402C08"/>
    <w:rsid w:val="00405AC1"/>
    <w:rsid w:val="00406793"/>
    <w:rsid w:val="00407DEE"/>
    <w:rsid w:val="00410767"/>
    <w:rsid w:val="00410A47"/>
    <w:rsid w:val="00410BFC"/>
    <w:rsid w:val="00411155"/>
    <w:rsid w:val="004126D4"/>
    <w:rsid w:val="004134FB"/>
    <w:rsid w:val="004152BB"/>
    <w:rsid w:val="00415A59"/>
    <w:rsid w:val="0041707F"/>
    <w:rsid w:val="00417EA6"/>
    <w:rsid w:val="00417EB4"/>
    <w:rsid w:val="00417EFE"/>
    <w:rsid w:val="004201AD"/>
    <w:rsid w:val="00420E1A"/>
    <w:rsid w:val="00421D9C"/>
    <w:rsid w:val="0042245D"/>
    <w:rsid w:val="00422496"/>
    <w:rsid w:val="0042339A"/>
    <w:rsid w:val="00423CE8"/>
    <w:rsid w:val="00424087"/>
    <w:rsid w:val="004242BB"/>
    <w:rsid w:val="004257C8"/>
    <w:rsid w:val="00425EF8"/>
    <w:rsid w:val="0042616D"/>
    <w:rsid w:val="004315B4"/>
    <w:rsid w:val="00431DB7"/>
    <w:rsid w:val="00433811"/>
    <w:rsid w:val="00437368"/>
    <w:rsid w:val="004373A7"/>
    <w:rsid w:val="0043786F"/>
    <w:rsid w:val="00440301"/>
    <w:rsid w:val="004420B9"/>
    <w:rsid w:val="0044382A"/>
    <w:rsid w:val="004442C7"/>
    <w:rsid w:val="00444AE1"/>
    <w:rsid w:val="004453B7"/>
    <w:rsid w:val="004465D4"/>
    <w:rsid w:val="00447248"/>
    <w:rsid w:val="00447473"/>
    <w:rsid w:val="0044775B"/>
    <w:rsid w:val="00450E59"/>
    <w:rsid w:val="00453591"/>
    <w:rsid w:val="004569DC"/>
    <w:rsid w:val="00456F71"/>
    <w:rsid w:val="0046090A"/>
    <w:rsid w:val="00462608"/>
    <w:rsid w:val="0046358A"/>
    <w:rsid w:val="00465FA8"/>
    <w:rsid w:val="00467B9F"/>
    <w:rsid w:val="00467E7C"/>
    <w:rsid w:val="0047020D"/>
    <w:rsid w:val="004708CA"/>
    <w:rsid w:val="00471460"/>
    <w:rsid w:val="00474D76"/>
    <w:rsid w:val="00477284"/>
    <w:rsid w:val="00477685"/>
    <w:rsid w:val="00477943"/>
    <w:rsid w:val="0048211C"/>
    <w:rsid w:val="004832F2"/>
    <w:rsid w:val="00483857"/>
    <w:rsid w:val="0048454F"/>
    <w:rsid w:val="00484A22"/>
    <w:rsid w:val="00485275"/>
    <w:rsid w:val="00485378"/>
    <w:rsid w:val="004855FE"/>
    <w:rsid w:val="004859AF"/>
    <w:rsid w:val="00486D48"/>
    <w:rsid w:val="00490A7B"/>
    <w:rsid w:val="004916B6"/>
    <w:rsid w:val="00491ABF"/>
    <w:rsid w:val="004922C0"/>
    <w:rsid w:val="00492C65"/>
    <w:rsid w:val="004953C8"/>
    <w:rsid w:val="00495C23"/>
    <w:rsid w:val="0049610D"/>
    <w:rsid w:val="00497234"/>
    <w:rsid w:val="00497B93"/>
    <w:rsid w:val="004A0231"/>
    <w:rsid w:val="004A1390"/>
    <w:rsid w:val="004A2AD0"/>
    <w:rsid w:val="004A34E2"/>
    <w:rsid w:val="004A38BD"/>
    <w:rsid w:val="004A3E3A"/>
    <w:rsid w:val="004A4164"/>
    <w:rsid w:val="004A4A1B"/>
    <w:rsid w:val="004A4CD6"/>
    <w:rsid w:val="004A516B"/>
    <w:rsid w:val="004A72AB"/>
    <w:rsid w:val="004B0C55"/>
    <w:rsid w:val="004B0D88"/>
    <w:rsid w:val="004B122E"/>
    <w:rsid w:val="004B289A"/>
    <w:rsid w:val="004B2CC8"/>
    <w:rsid w:val="004B2DAB"/>
    <w:rsid w:val="004B4658"/>
    <w:rsid w:val="004B497A"/>
    <w:rsid w:val="004B72D3"/>
    <w:rsid w:val="004B75B9"/>
    <w:rsid w:val="004B7C63"/>
    <w:rsid w:val="004C006E"/>
    <w:rsid w:val="004C12F8"/>
    <w:rsid w:val="004C25B7"/>
    <w:rsid w:val="004C2F10"/>
    <w:rsid w:val="004C3418"/>
    <w:rsid w:val="004C3D6D"/>
    <w:rsid w:val="004C3DCC"/>
    <w:rsid w:val="004C483E"/>
    <w:rsid w:val="004C5B8B"/>
    <w:rsid w:val="004C611E"/>
    <w:rsid w:val="004D0F04"/>
    <w:rsid w:val="004D1D1A"/>
    <w:rsid w:val="004D3A71"/>
    <w:rsid w:val="004D3E32"/>
    <w:rsid w:val="004D4DA4"/>
    <w:rsid w:val="004D55AC"/>
    <w:rsid w:val="004D5EB7"/>
    <w:rsid w:val="004D6E04"/>
    <w:rsid w:val="004E087F"/>
    <w:rsid w:val="004E2349"/>
    <w:rsid w:val="004E2AE8"/>
    <w:rsid w:val="004E2E1F"/>
    <w:rsid w:val="004E48CF"/>
    <w:rsid w:val="004E60C0"/>
    <w:rsid w:val="004E6771"/>
    <w:rsid w:val="004E6C2B"/>
    <w:rsid w:val="004F4B8E"/>
    <w:rsid w:val="004F5107"/>
    <w:rsid w:val="004F5C3D"/>
    <w:rsid w:val="004F63F5"/>
    <w:rsid w:val="004F64F0"/>
    <w:rsid w:val="004F6592"/>
    <w:rsid w:val="00500A4C"/>
    <w:rsid w:val="005011A0"/>
    <w:rsid w:val="005014F9"/>
    <w:rsid w:val="00501616"/>
    <w:rsid w:val="00502019"/>
    <w:rsid w:val="00502FB3"/>
    <w:rsid w:val="0050547B"/>
    <w:rsid w:val="0050683A"/>
    <w:rsid w:val="005068D5"/>
    <w:rsid w:val="00506B75"/>
    <w:rsid w:val="00506CE6"/>
    <w:rsid w:val="00506DB9"/>
    <w:rsid w:val="00506FDF"/>
    <w:rsid w:val="005100CF"/>
    <w:rsid w:val="0051075B"/>
    <w:rsid w:val="005121F0"/>
    <w:rsid w:val="00512A58"/>
    <w:rsid w:val="00512E3F"/>
    <w:rsid w:val="00514EF1"/>
    <w:rsid w:val="005150C5"/>
    <w:rsid w:val="0051612F"/>
    <w:rsid w:val="005175F2"/>
    <w:rsid w:val="005204ED"/>
    <w:rsid w:val="00521BE3"/>
    <w:rsid w:val="00522C57"/>
    <w:rsid w:val="0052378C"/>
    <w:rsid w:val="00523794"/>
    <w:rsid w:val="005243B7"/>
    <w:rsid w:val="00525566"/>
    <w:rsid w:val="00525A66"/>
    <w:rsid w:val="005265E0"/>
    <w:rsid w:val="00526C33"/>
    <w:rsid w:val="00527149"/>
    <w:rsid w:val="00527729"/>
    <w:rsid w:val="00527975"/>
    <w:rsid w:val="00527CA7"/>
    <w:rsid w:val="005318A3"/>
    <w:rsid w:val="005332CC"/>
    <w:rsid w:val="00533870"/>
    <w:rsid w:val="0053564B"/>
    <w:rsid w:val="0053721B"/>
    <w:rsid w:val="005418A8"/>
    <w:rsid w:val="005423F7"/>
    <w:rsid w:val="00544CCC"/>
    <w:rsid w:val="00546039"/>
    <w:rsid w:val="00546123"/>
    <w:rsid w:val="005463B2"/>
    <w:rsid w:val="00550F68"/>
    <w:rsid w:val="00551F39"/>
    <w:rsid w:val="00553495"/>
    <w:rsid w:val="005552CE"/>
    <w:rsid w:val="00555D34"/>
    <w:rsid w:val="00556994"/>
    <w:rsid w:val="0055717C"/>
    <w:rsid w:val="00557922"/>
    <w:rsid w:val="00560952"/>
    <w:rsid w:val="00560C6A"/>
    <w:rsid w:val="00561AEE"/>
    <w:rsid w:val="0056250B"/>
    <w:rsid w:val="00562A25"/>
    <w:rsid w:val="00562D78"/>
    <w:rsid w:val="00562F47"/>
    <w:rsid w:val="00564187"/>
    <w:rsid w:val="00567A90"/>
    <w:rsid w:val="00570548"/>
    <w:rsid w:val="005715EB"/>
    <w:rsid w:val="00572FA3"/>
    <w:rsid w:val="005756FB"/>
    <w:rsid w:val="00577EA4"/>
    <w:rsid w:val="005802E9"/>
    <w:rsid w:val="00581E46"/>
    <w:rsid w:val="005832CA"/>
    <w:rsid w:val="00583361"/>
    <w:rsid w:val="00584078"/>
    <w:rsid w:val="00584DAD"/>
    <w:rsid w:val="005850BA"/>
    <w:rsid w:val="00590B33"/>
    <w:rsid w:val="0059127F"/>
    <w:rsid w:val="00594151"/>
    <w:rsid w:val="005967DC"/>
    <w:rsid w:val="00596CEE"/>
    <w:rsid w:val="005978D1"/>
    <w:rsid w:val="005A05E0"/>
    <w:rsid w:val="005A06A0"/>
    <w:rsid w:val="005A0F6E"/>
    <w:rsid w:val="005A25C9"/>
    <w:rsid w:val="005A35F4"/>
    <w:rsid w:val="005A39B6"/>
    <w:rsid w:val="005A4EA3"/>
    <w:rsid w:val="005A63E5"/>
    <w:rsid w:val="005A7110"/>
    <w:rsid w:val="005B20ED"/>
    <w:rsid w:val="005B22B5"/>
    <w:rsid w:val="005B3101"/>
    <w:rsid w:val="005B3D6B"/>
    <w:rsid w:val="005B3F2A"/>
    <w:rsid w:val="005B4584"/>
    <w:rsid w:val="005B4A47"/>
    <w:rsid w:val="005B4FC8"/>
    <w:rsid w:val="005B5042"/>
    <w:rsid w:val="005B5ED4"/>
    <w:rsid w:val="005C01B9"/>
    <w:rsid w:val="005C0C0E"/>
    <w:rsid w:val="005C1144"/>
    <w:rsid w:val="005C208B"/>
    <w:rsid w:val="005C3337"/>
    <w:rsid w:val="005C48EC"/>
    <w:rsid w:val="005C5DEA"/>
    <w:rsid w:val="005C7426"/>
    <w:rsid w:val="005D120A"/>
    <w:rsid w:val="005D16C4"/>
    <w:rsid w:val="005D2317"/>
    <w:rsid w:val="005D312D"/>
    <w:rsid w:val="005D3834"/>
    <w:rsid w:val="005D3B53"/>
    <w:rsid w:val="005D43BD"/>
    <w:rsid w:val="005D7D8F"/>
    <w:rsid w:val="005E4431"/>
    <w:rsid w:val="005E4939"/>
    <w:rsid w:val="005E4EF3"/>
    <w:rsid w:val="005E71B3"/>
    <w:rsid w:val="005F311D"/>
    <w:rsid w:val="005F45A0"/>
    <w:rsid w:val="005F49C9"/>
    <w:rsid w:val="005F5D55"/>
    <w:rsid w:val="005F6E73"/>
    <w:rsid w:val="00600731"/>
    <w:rsid w:val="00600778"/>
    <w:rsid w:val="00601BE3"/>
    <w:rsid w:val="00602116"/>
    <w:rsid w:val="006035D9"/>
    <w:rsid w:val="00603712"/>
    <w:rsid w:val="00604693"/>
    <w:rsid w:val="00604F43"/>
    <w:rsid w:val="006051CC"/>
    <w:rsid w:val="00605244"/>
    <w:rsid w:val="00605786"/>
    <w:rsid w:val="00605B69"/>
    <w:rsid w:val="00606056"/>
    <w:rsid w:val="00606EF8"/>
    <w:rsid w:val="00607111"/>
    <w:rsid w:val="00607B5D"/>
    <w:rsid w:val="00607E48"/>
    <w:rsid w:val="006113A8"/>
    <w:rsid w:val="00611E46"/>
    <w:rsid w:val="006129B5"/>
    <w:rsid w:val="00612A84"/>
    <w:rsid w:val="006131E8"/>
    <w:rsid w:val="00613736"/>
    <w:rsid w:val="00614BBE"/>
    <w:rsid w:val="00616374"/>
    <w:rsid w:val="0062041C"/>
    <w:rsid w:val="00620DD2"/>
    <w:rsid w:val="0062342D"/>
    <w:rsid w:val="006275D2"/>
    <w:rsid w:val="00630AF8"/>
    <w:rsid w:val="0063108D"/>
    <w:rsid w:val="006332B1"/>
    <w:rsid w:val="00634DF2"/>
    <w:rsid w:val="0063549F"/>
    <w:rsid w:val="006373E3"/>
    <w:rsid w:val="00637DE7"/>
    <w:rsid w:val="00640110"/>
    <w:rsid w:val="00640C0A"/>
    <w:rsid w:val="00641A32"/>
    <w:rsid w:val="00641C16"/>
    <w:rsid w:val="0064223D"/>
    <w:rsid w:val="00642567"/>
    <w:rsid w:val="00642F67"/>
    <w:rsid w:val="006446DF"/>
    <w:rsid w:val="00644B00"/>
    <w:rsid w:val="006455C0"/>
    <w:rsid w:val="006456B5"/>
    <w:rsid w:val="006470C9"/>
    <w:rsid w:val="0065198B"/>
    <w:rsid w:val="006536F7"/>
    <w:rsid w:val="006542CE"/>
    <w:rsid w:val="00654AC7"/>
    <w:rsid w:val="00655715"/>
    <w:rsid w:val="00655F2E"/>
    <w:rsid w:val="0065668C"/>
    <w:rsid w:val="00657C41"/>
    <w:rsid w:val="00660F3E"/>
    <w:rsid w:val="006613AF"/>
    <w:rsid w:val="006620E3"/>
    <w:rsid w:val="006628C6"/>
    <w:rsid w:val="00662977"/>
    <w:rsid w:val="006653CD"/>
    <w:rsid w:val="00665E58"/>
    <w:rsid w:val="006664A5"/>
    <w:rsid w:val="00666DAC"/>
    <w:rsid w:val="0067206B"/>
    <w:rsid w:val="00672666"/>
    <w:rsid w:val="00673013"/>
    <w:rsid w:val="00673C46"/>
    <w:rsid w:val="00675EC8"/>
    <w:rsid w:val="006779E8"/>
    <w:rsid w:val="0068088D"/>
    <w:rsid w:val="00680CFC"/>
    <w:rsid w:val="00681860"/>
    <w:rsid w:val="00682A95"/>
    <w:rsid w:val="0068408D"/>
    <w:rsid w:val="0068474E"/>
    <w:rsid w:val="006850DB"/>
    <w:rsid w:val="00686046"/>
    <w:rsid w:val="00686E1B"/>
    <w:rsid w:val="0068718B"/>
    <w:rsid w:val="00692050"/>
    <w:rsid w:val="00692383"/>
    <w:rsid w:val="00693536"/>
    <w:rsid w:val="006946AD"/>
    <w:rsid w:val="00695119"/>
    <w:rsid w:val="00695360"/>
    <w:rsid w:val="006954B8"/>
    <w:rsid w:val="00695800"/>
    <w:rsid w:val="006958A5"/>
    <w:rsid w:val="00695AF9"/>
    <w:rsid w:val="00695C2F"/>
    <w:rsid w:val="00697110"/>
    <w:rsid w:val="006A01BE"/>
    <w:rsid w:val="006A0E3E"/>
    <w:rsid w:val="006A1034"/>
    <w:rsid w:val="006A197F"/>
    <w:rsid w:val="006A1D4C"/>
    <w:rsid w:val="006A29F3"/>
    <w:rsid w:val="006A357A"/>
    <w:rsid w:val="006A57D6"/>
    <w:rsid w:val="006A5B0F"/>
    <w:rsid w:val="006A6642"/>
    <w:rsid w:val="006A6BD0"/>
    <w:rsid w:val="006B0548"/>
    <w:rsid w:val="006B068C"/>
    <w:rsid w:val="006B0704"/>
    <w:rsid w:val="006B0C6A"/>
    <w:rsid w:val="006B0CC9"/>
    <w:rsid w:val="006B1C78"/>
    <w:rsid w:val="006B1F6C"/>
    <w:rsid w:val="006B386A"/>
    <w:rsid w:val="006B3E13"/>
    <w:rsid w:val="006B4C9D"/>
    <w:rsid w:val="006B68EE"/>
    <w:rsid w:val="006B6A0C"/>
    <w:rsid w:val="006B7400"/>
    <w:rsid w:val="006C0ADB"/>
    <w:rsid w:val="006C3B13"/>
    <w:rsid w:val="006C41F6"/>
    <w:rsid w:val="006C51E8"/>
    <w:rsid w:val="006C5938"/>
    <w:rsid w:val="006C5E5C"/>
    <w:rsid w:val="006C61C7"/>
    <w:rsid w:val="006C6823"/>
    <w:rsid w:val="006C6EEC"/>
    <w:rsid w:val="006C7492"/>
    <w:rsid w:val="006D0196"/>
    <w:rsid w:val="006D0911"/>
    <w:rsid w:val="006D0941"/>
    <w:rsid w:val="006D0E2C"/>
    <w:rsid w:val="006D2461"/>
    <w:rsid w:val="006D25CF"/>
    <w:rsid w:val="006D294E"/>
    <w:rsid w:val="006D296D"/>
    <w:rsid w:val="006D386A"/>
    <w:rsid w:val="006D3981"/>
    <w:rsid w:val="006D5042"/>
    <w:rsid w:val="006E00E3"/>
    <w:rsid w:val="006E0E34"/>
    <w:rsid w:val="006E0E5F"/>
    <w:rsid w:val="006E25B2"/>
    <w:rsid w:val="006E2811"/>
    <w:rsid w:val="006E3058"/>
    <w:rsid w:val="006E4750"/>
    <w:rsid w:val="006E6093"/>
    <w:rsid w:val="006E7461"/>
    <w:rsid w:val="006E7C46"/>
    <w:rsid w:val="006F11CA"/>
    <w:rsid w:val="006F148A"/>
    <w:rsid w:val="006F1F90"/>
    <w:rsid w:val="006F20D6"/>
    <w:rsid w:val="006F3D7C"/>
    <w:rsid w:val="006F4B49"/>
    <w:rsid w:val="006F6C33"/>
    <w:rsid w:val="006F70B6"/>
    <w:rsid w:val="006F7449"/>
    <w:rsid w:val="00700F55"/>
    <w:rsid w:val="007061FD"/>
    <w:rsid w:val="00707414"/>
    <w:rsid w:val="00710CA2"/>
    <w:rsid w:val="00710D8F"/>
    <w:rsid w:val="007123BB"/>
    <w:rsid w:val="007159F7"/>
    <w:rsid w:val="00715ABD"/>
    <w:rsid w:val="00716094"/>
    <w:rsid w:val="007167A0"/>
    <w:rsid w:val="00716A11"/>
    <w:rsid w:val="00716ECC"/>
    <w:rsid w:val="007205A2"/>
    <w:rsid w:val="007209DF"/>
    <w:rsid w:val="00720DE8"/>
    <w:rsid w:val="00722A48"/>
    <w:rsid w:val="0072368C"/>
    <w:rsid w:val="0072401A"/>
    <w:rsid w:val="00724D71"/>
    <w:rsid w:val="00726868"/>
    <w:rsid w:val="00726968"/>
    <w:rsid w:val="00727105"/>
    <w:rsid w:val="0073040D"/>
    <w:rsid w:val="00730426"/>
    <w:rsid w:val="00732499"/>
    <w:rsid w:val="007325F1"/>
    <w:rsid w:val="00732EA1"/>
    <w:rsid w:val="00734599"/>
    <w:rsid w:val="007346FF"/>
    <w:rsid w:val="0073490E"/>
    <w:rsid w:val="007349F8"/>
    <w:rsid w:val="00735A11"/>
    <w:rsid w:val="007401A5"/>
    <w:rsid w:val="00740773"/>
    <w:rsid w:val="00740D2A"/>
    <w:rsid w:val="0074220F"/>
    <w:rsid w:val="00744AB6"/>
    <w:rsid w:val="00744C32"/>
    <w:rsid w:val="007460E9"/>
    <w:rsid w:val="007477C0"/>
    <w:rsid w:val="007517FE"/>
    <w:rsid w:val="00752381"/>
    <w:rsid w:val="00752444"/>
    <w:rsid w:val="00752F01"/>
    <w:rsid w:val="00755649"/>
    <w:rsid w:val="00757272"/>
    <w:rsid w:val="00761E3E"/>
    <w:rsid w:val="00762B92"/>
    <w:rsid w:val="00764F07"/>
    <w:rsid w:val="00765725"/>
    <w:rsid w:val="00766033"/>
    <w:rsid w:val="00766AB0"/>
    <w:rsid w:val="00766C01"/>
    <w:rsid w:val="007674C9"/>
    <w:rsid w:val="00767D9D"/>
    <w:rsid w:val="007701AA"/>
    <w:rsid w:val="00772E35"/>
    <w:rsid w:val="0077535E"/>
    <w:rsid w:val="00775F0F"/>
    <w:rsid w:val="00776B15"/>
    <w:rsid w:val="00780CB0"/>
    <w:rsid w:val="007811FA"/>
    <w:rsid w:val="00781974"/>
    <w:rsid w:val="00782E73"/>
    <w:rsid w:val="0078399A"/>
    <w:rsid w:val="00784010"/>
    <w:rsid w:val="00784231"/>
    <w:rsid w:val="00785B7C"/>
    <w:rsid w:val="007869C0"/>
    <w:rsid w:val="00786B84"/>
    <w:rsid w:val="007909B3"/>
    <w:rsid w:val="00790BBE"/>
    <w:rsid w:val="00791E4B"/>
    <w:rsid w:val="00793951"/>
    <w:rsid w:val="00795CD9"/>
    <w:rsid w:val="00795E68"/>
    <w:rsid w:val="007963BF"/>
    <w:rsid w:val="007963F0"/>
    <w:rsid w:val="0079738D"/>
    <w:rsid w:val="00797775"/>
    <w:rsid w:val="00797A83"/>
    <w:rsid w:val="007A0252"/>
    <w:rsid w:val="007A1368"/>
    <w:rsid w:val="007A2FAA"/>
    <w:rsid w:val="007A4AE4"/>
    <w:rsid w:val="007A4ED6"/>
    <w:rsid w:val="007A5F99"/>
    <w:rsid w:val="007A6B40"/>
    <w:rsid w:val="007B073F"/>
    <w:rsid w:val="007B07FB"/>
    <w:rsid w:val="007B24D4"/>
    <w:rsid w:val="007B2F50"/>
    <w:rsid w:val="007B3946"/>
    <w:rsid w:val="007B3F52"/>
    <w:rsid w:val="007B4807"/>
    <w:rsid w:val="007B4D0B"/>
    <w:rsid w:val="007B57BA"/>
    <w:rsid w:val="007B63E4"/>
    <w:rsid w:val="007B6977"/>
    <w:rsid w:val="007B6B46"/>
    <w:rsid w:val="007C1769"/>
    <w:rsid w:val="007C246F"/>
    <w:rsid w:val="007C30D6"/>
    <w:rsid w:val="007C3385"/>
    <w:rsid w:val="007C36C7"/>
    <w:rsid w:val="007C4815"/>
    <w:rsid w:val="007C5A6E"/>
    <w:rsid w:val="007C6E4B"/>
    <w:rsid w:val="007D05A4"/>
    <w:rsid w:val="007D3BE6"/>
    <w:rsid w:val="007D4B54"/>
    <w:rsid w:val="007D4D4A"/>
    <w:rsid w:val="007D605E"/>
    <w:rsid w:val="007D67C2"/>
    <w:rsid w:val="007D67FB"/>
    <w:rsid w:val="007D68F8"/>
    <w:rsid w:val="007D7286"/>
    <w:rsid w:val="007D755F"/>
    <w:rsid w:val="007E0985"/>
    <w:rsid w:val="007E0C0E"/>
    <w:rsid w:val="007E1CE3"/>
    <w:rsid w:val="007E1ECF"/>
    <w:rsid w:val="007E22FA"/>
    <w:rsid w:val="007E5556"/>
    <w:rsid w:val="007E56C2"/>
    <w:rsid w:val="007E6DA6"/>
    <w:rsid w:val="007E6F4D"/>
    <w:rsid w:val="007F0451"/>
    <w:rsid w:val="007F0B08"/>
    <w:rsid w:val="007F3754"/>
    <w:rsid w:val="007F5567"/>
    <w:rsid w:val="007F5954"/>
    <w:rsid w:val="007F6115"/>
    <w:rsid w:val="007F6620"/>
    <w:rsid w:val="007F75FC"/>
    <w:rsid w:val="00800109"/>
    <w:rsid w:val="00800D5C"/>
    <w:rsid w:val="00802CCB"/>
    <w:rsid w:val="0080469C"/>
    <w:rsid w:val="00805BC6"/>
    <w:rsid w:val="00805D4E"/>
    <w:rsid w:val="0080664F"/>
    <w:rsid w:val="00807831"/>
    <w:rsid w:val="0081034A"/>
    <w:rsid w:val="008106A5"/>
    <w:rsid w:val="00810C36"/>
    <w:rsid w:val="00810D5E"/>
    <w:rsid w:val="00810EC8"/>
    <w:rsid w:val="00811849"/>
    <w:rsid w:val="00812214"/>
    <w:rsid w:val="00812D7F"/>
    <w:rsid w:val="00814437"/>
    <w:rsid w:val="008166F5"/>
    <w:rsid w:val="00817A3D"/>
    <w:rsid w:val="00817CE3"/>
    <w:rsid w:val="00820109"/>
    <w:rsid w:val="00820E6B"/>
    <w:rsid w:val="0082100F"/>
    <w:rsid w:val="008217C0"/>
    <w:rsid w:val="00824DEE"/>
    <w:rsid w:val="00825B7C"/>
    <w:rsid w:val="00826640"/>
    <w:rsid w:val="00827A62"/>
    <w:rsid w:val="00830819"/>
    <w:rsid w:val="008317B5"/>
    <w:rsid w:val="00831E83"/>
    <w:rsid w:val="00832B17"/>
    <w:rsid w:val="0083617E"/>
    <w:rsid w:val="00836286"/>
    <w:rsid w:val="00837998"/>
    <w:rsid w:val="00837CC1"/>
    <w:rsid w:val="00840254"/>
    <w:rsid w:val="00842219"/>
    <w:rsid w:val="00842FC3"/>
    <w:rsid w:val="008430F8"/>
    <w:rsid w:val="00843652"/>
    <w:rsid w:val="00843C81"/>
    <w:rsid w:val="00844091"/>
    <w:rsid w:val="0084447C"/>
    <w:rsid w:val="00844D3B"/>
    <w:rsid w:val="00845A07"/>
    <w:rsid w:val="00845B67"/>
    <w:rsid w:val="00846799"/>
    <w:rsid w:val="00846AD7"/>
    <w:rsid w:val="00847300"/>
    <w:rsid w:val="00847CD4"/>
    <w:rsid w:val="008500DA"/>
    <w:rsid w:val="00850CE9"/>
    <w:rsid w:val="00852205"/>
    <w:rsid w:val="00852E91"/>
    <w:rsid w:val="008535BC"/>
    <w:rsid w:val="0085525C"/>
    <w:rsid w:val="0085773B"/>
    <w:rsid w:val="008602EE"/>
    <w:rsid w:val="00862D51"/>
    <w:rsid w:val="00862F79"/>
    <w:rsid w:val="00863421"/>
    <w:rsid w:val="00864772"/>
    <w:rsid w:val="00865F58"/>
    <w:rsid w:val="00866594"/>
    <w:rsid w:val="008666CD"/>
    <w:rsid w:val="00867111"/>
    <w:rsid w:val="00867338"/>
    <w:rsid w:val="00870A43"/>
    <w:rsid w:val="00871391"/>
    <w:rsid w:val="00871518"/>
    <w:rsid w:val="00871E0F"/>
    <w:rsid w:val="00871E89"/>
    <w:rsid w:val="008727A3"/>
    <w:rsid w:val="0087311F"/>
    <w:rsid w:val="00873861"/>
    <w:rsid w:val="00875128"/>
    <w:rsid w:val="008771CD"/>
    <w:rsid w:val="008775ED"/>
    <w:rsid w:val="00877C14"/>
    <w:rsid w:val="00877D44"/>
    <w:rsid w:val="00880304"/>
    <w:rsid w:val="00881CA8"/>
    <w:rsid w:val="008836EF"/>
    <w:rsid w:val="00885001"/>
    <w:rsid w:val="00885424"/>
    <w:rsid w:val="00887516"/>
    <w:rsid w:val="00890850"/>
    <w:rsid w:val="008910E1"/>
    <w:rsid w:val="00891971"/>
    <w:rsid w:val="008930A6"/>
    <w:rsid w:val="00893855"/>
    <w:rsid w:val="008948A5"/>
    <w:rsid w:val="00894D98"/>
    <w:rsid w:val="00895B11"/>
    <w:rsid w:val="00897A22"/>
    <w:rsid w:val="008A04DB"/>
    <w:rsid w:val="008A092A"/>
    <w:rsid w:val="008A0C5D"/>
    <w:rsid w:val="008A3137"/>
    <w:rsid w:val="008A31E5"/>
    <w:rsid w:val="008A363D"/>
    <w:rsid w:val="008A39F7"/>
    <w:rsid w:val="008A3BB9"/>
    <w:rsid w:val="008A4083"/>
    <w:rsid w:val="008A6697"/>
    <w:rsid w:val="008B01A9"/>
    <w:rsid w:val="008B091F"/>
    <w:rsid w:val="008B1A4A"/>
    <w:rsid w:val="008B2938"/>
    <w:rsid w:val="008B4CA7"/>
    <w:rsid w:val="008B4E8E"/>
    <w:rsid w:val="008B568D"/>
    <w:rsid w:val="008B6FF8"/>
    <w:rsid w:val="008B7425"/>
    <w:rsid w:val="008B7DFF"/>
    <w:rsid w:val="008C0602"/>
    <w:rsid w:val="008C0F4F"/>
    <w:rsid w:val="008C3FEF"/>
    <w:rsid w:val="008C417E"/>
    <w:rsid w:val="008C45EE"/>
    <w:rsid w:val="008C4D3A"/>
    <w:rsid w:val="008C7669"/>
    <w:rsid w:val="008D12E3"/>
    <w:rsid w:val="008D3939"/>
    <w:rsid w:val="008D3C46"/>
    <w:rsid w:val="008D4DCB"/>
    <w:rsid w:val="008D5F59"/>
    <w:rsid w:val="008D6339"/>
    <w:rsid w:val="008D6B25"/>
    <w:rsid w:val="008D6F9C"/>
    <w:rsid w:val="008D7AF7"/>
    <w:rsid w:val="008E21F0"/>
    <w:rsid w:val="008E2256"/>
    <w:rsid w:val="008E253D"/>
    <w:rsid w:val="008E2621"/>
    <w:rsid w:val="008E3080"/>
    <w:rsid w:val="008E5710"/>
    <w:rsid w:val="008E5822"/>
    <w:rsid w:val="008F2335"/>
    <w:rsid w:val="008F26B9"/>
    <w:rsid w:val="008F3366"/>
    <w:rsid w:val="008F35EA"/>
    <w:rsid w:val="008F3D63"/>
    <w:rsid w:val="008F4018"/>
    <w:rsid w:val="008F479C"/>
    <w:rsid w:val="008F5170"/>
    <w:rsid w:val="008F5444"/>
    <w:rsid w:val="008F571C"/>
    <w:rsid w:val="00900027"/>
    <w:rsid w:val="00900FA8"/>
    <w:rsid w:val="00902696"/>
    <w:rsid w:val="009029D3"/>
    <w:rsid w:val="009038FB"/>
    <w:rsid w:val="00903FE6"/>
    <w:rsid w:val="00904433"/>
    <w:rsid w:val="00904D4D"/>
    <w:rsid w:val="00905404"/>
    <w:rsid w:val="009067A1"/>
    <w:rsid w:val="009067FA"/>
    <w:rsid w:val="00907732"/>
    <w:rsid w:val="00907936"/>
    <w:rsid w:val="009122AA"/>
    <w:rsid w:val="009128E1"/>
    <w:rsid w:val="00913E5F"/>
    <w:rsid w:val="009144BC"/>
    <w:rsid w:val="00914881"/>
    <w:rsid w:val="009155E0"/>
    <w:rsid w:val="00916696"/>
    <w:rsid w:val="00920529"/>
    <w:rsid w:val="0092153B"/>
    <w:rsid w:val="0092313F"/>
    <w:rsid w:val="00924590"/>
    <w:rsid w:val="0092745E"/>
    <w:rsid w:val="00927DD4"/>
    <w:rsid w:val="0093110C"/>
    <w:rsid w:val="00931DF8"/>
    <w:rsid w:val="009325D2"/>
    <w:rsid w:val="00933F16"/>
    <w:rsid w:val="009343C8"/>
    <w:rsid w:val="00935890"/>
    <w:rsid w:val="00936496"/>
    <w:rsid w:val="0093690F"/>
    <w:rsid w:val="00936AE5"/>
    <w:rsid w:val="00937B4D"/>
    <w:rsid w:val="00937EB7"/>
    <w:rsid w:val="0094124A"/>
    <w:rsid w:val="00941988"/>
    <w:rsid w:val="009425DB"/>
    <w:rsid w:val="009439F8"/>
    <w:rsid w:val="00943BD2"/>
    <w:rsid w:val="00944110"/>
    <w:rsid w:val="00944530"/>
    <w:rsid w:val="00945848"/>
    <w:rsid w:val="00945CFC"/>
    <w:rsid w:val="00947767"/>
    <w:rsid w:val="00950C05"/>
    <w:rsid w:val="00952BC7"/>
    <w:rsid w:val="009536DC"/>
    <w:rsid w:val="00953C5F"/>
    <w:rsid w:val="00954A92"/>
    <w:rsid w:val="009551BA"/>
    <w:rsid w:val="0095537A"/>
    <w:rsid w:val="0095639E"/>
    <w:rsid w:val="00960F17"/>
    <w:rsid w:val="00961035"/>
    <w:rsid w:val="00961AE7"/>
    <w:rsid w:val="00962BE7"/>
    <w:rsid w:val="009649FE"/>
    <w:rsid w:val="00964A20"/>
    <w:rsid w:val="00965877"/>
    <w:rsid w:val="00965BDE"/>
    <w:rsid w:val="00965EC8"/>
    <w:rsid w:val="00965F62"/>
    <w:rsid w:val="00967CF6"/>
    <w:rsid w:val="009701E8"/>
    <w:rsid w:val="00971A14"/>
    <w:rsid w:val="009731A7"/>
    <w:rsid w:val="00973C7F"/>
    <w:rsid w:val="00973DFD"/>
    <w:rsid w:val="00974863"/>
    <w:rsid w:val="00977546"/>
    <w:rsid w:val="00977D82"/>
    <w:rsid w:val="00980470"/>
    <w:rsid w:val="009840D3"/>
    <w:rsid w:val="0098452F"/>
    <w:rsid w:val="00986F7F"/>
    <w:rsid w:val="00987126"/>
    <w:rsid w:val="0098714B"/>
    <w:rsid w:val="009873DB"/>
    <w:rsid w:val="009875D3"/>
    <w:rsid w:val="00987ABB"/>
    <w:rsid w:val="00990E00"/>
    <w:rsid w:val="0099128D"/>
    <w:rsid w:val="00991A45"/>
    <w:rsid w:val="00991AF6"/>
    <w:rsid w:val="00992BB6"/>
    <w:rsid w:val="00993C4D"/>
    <w:rsid w:val="00994743"/>
    <w:rsid w:val="00994FAF"/>
    <w:rsid w:val="00994FEB"/>
    <w:rsid w:val="0099735A"/>
    <w:rsid w:val="009A1117"/>
    <w:rsid w:val="009A1280"/>
    <w:rsid w:val="009A1FFC"/>
    <w:rsid w:val="009A26DF"/>
    <w:rsid w:val="009A3CC0"/>
    <w:rsid w:val="009A4A72"/>
    <w:rsid w:val="009A5BA2"/>
    <w:rsid w:val="009A74BE"/>
    <w:rsid w:val="009A7695"/>
    <w:rsid w:val="009A774D"/>
    <w:rsid w:val="009B0CC8"/>
    <w:rsid w:val="009B2BF6"/>
    <w:rsid w:val="009B33D9"/>
    <w:rsid w:val="009B3E81"/>
    <w:rsid w:val="009B4078"/>
    <w:rsid w:val="009B4177"/>
    <w:rsid w:val="009B4242"/>
    <w:rsid w:val="009B5F3E"/>
    <w:rsid w:val="009B5FAF"/>
    <w:rsid w:val="009B6422"/>
    <w:rsid w:val="009B727B"/>
    <w:rsid w:val="009B79EC"/>
    <w:rsid w:val="009C110F"/>
    <w:rsid w:val="009C1DA4"/>
    <w:rsid w:val="009C27EA"/>
    <w:rsid w:val="009C2D80"/>
    <w:rsid w:val="009C62D4"/>
    <w:rsid w:val="009C6777"/>
    <w:rsid w:val="009C7B22"/>
    <w:rsid w:val="009D10C1"/>
    <w:rsid w:val="009D153C"/>
    <w:rsid w:val="009D15EC"/>
    <w:rsid w:val="009D1612"/>
    <w:rsid w:val="009D26C1"/>
    <w:rsid w:val="009D382F"/>
    <w:rsid w:val="009D41A3"/>
    <w:rsid w:val="009D492D"/>
    <w:rsid w:val="009D584C"/>
    <w:rsid w:val="009D7310"/>
    <w:rsid w:val="009D7C39"/>
    <w:rsid w:val="009D7FAE"/>
    <w:rsid w:val="009E012D"/>
    <w:rsid w:val="009E0F47"/>
    <w:rsid w:val="009E26E8"/>
    <w:rsid w:val="009E3BDF"/>
    <w:rsid w:val="009E4F19"/>
    <w:rsid w:val="009E567C"/>
    <w:rsid w:val="009E598F"/>
    <w:rsid w:val="009F006C"/>
    <w:rsid w:val="009F09C6"/>
    <w:rsid w:val="009F325A"/>
    <w:rsid w:val="009F3A76"/>
    <w:rsid w:val="009F3DAC"/>
    <w:rsid w:val="009F5153"/>
    <w:rsid w:val="009F5245"/>
    <w:rsid w:val="009F557B"/>
    <w:rsid w:val="009F7144"/>
    <w:rsid w:val="009F7DF7"/>
    <w:rsid w:val="009F7FF9"/>
    <w:rsid w:val="00A00211"/>
    <w:rsid w:val="00A00383"/>
    <w:rsid w:val="00A00445"/>
    <w:rsid w:val="00A02D2C"/>
    <w:rsid w:val="00A04044"/>
    <w:rsid w:val="00A05356"/>
    <w:rsid w:val="00A053F7"/>
    <w:rsid w:val="00A07A7D"/>
    <w:rsid w:val="00A1279A"/>
    <w:rsid w:val="00A12E5B"/>
    <w:rsid w:val="00A13311"/>
    <w:rsid w:val="00A13BD4"/>
    <w:rsid w:val="00A1436D"/>
    <w:rsid w:val="00A14C18"/>
    <w:rsid w:val="00A15EE1"/>
    <w:rsid w:val="00A160FE"/>
    <w:rsid w:val="00A17C25"/>
    <w:rsid w:val="00A211FC"/>
    <w:rsid w:val="00A22081"/>
    <w:rsid w:val="00A22335"/>
    <w:rsid w:val="00A22F57"/>
    <w:rsid w:val="00A2339A"/>
    <w:rsid w:val="00A24505"/>
    <w:rsid w:val="00A2789C"/>
    <w:rsid w:val="00A31D86"/>
    <w:rsid w:val="00A32127"/>
    <w:rsid w:val="00A32D5C"/>
    <w:rsid w:val="00A37F24"/>
    <w:rsid w:val="00A4121E"/>
    <w:rsid w:val="00A423DD"/>
    <w:rsid w:val="00A42626"/>
    <w:rsid w:val="00A446FB"/>
    <w:rsid w:val="00A447B6"/>
    <w:rsid w:val="00A45E33"/>
    <w:rsid w:val="00A47D17"/>
    <w:rsid w:val="00A52110"/>
    <w:rsid w:val="00A529FD"/>
    <w:rsid w:val="00A52EFF"/>
    <w:rsid w:val="00A5313A"/>
    <w:rsid w:val="00A55FA5"/>
    <w:rsid w:val="00A5648A"/>
    <w:rsid w:val="00A56A46"/>
    <w:rsid w:val="00A60D42"/>
    <w:rsid w:val="00A63E55"/>
    <w:rsid w:val="00A65B32"/>
    <w:rsid w:val="00A6755D"/>
    <w:rsid w:val="00A67AE7"/>
    <w:rsid w:val="00A715A2"/>
    <w:rsid w:val="00A72097"/>
    <w:rsid w:val="00A72906"/>
    <w:rsid w:val="00A74604"/>
    <w:rsid w:val="00A74B23"/>
    <w:rsid w:val="00A7665F"/>
    <w:rsid w:val="00A81AD9"/>
    <w:rsid w:val="00A81ED0"/>
    <w:rsid w:val="00A826E4"/>
    <w:rsid w:val="00A838A4"/>
    <w:rsid w:val="00A83917"/>
    <w:rsid w:val="00A83CE5"/>
    <w:rsid w:val="00A85857"/>
    <w:rsid w:val="00A86BBD"/>
    <w:rsid w:val="00A871BA"/>
    <w:rsid w:val="00A87DD7"/>
    <w:rsid w:val="00A906C3"/>
    <w:rsid w:val="00A925AF"/>
    <w:rsid w:val="00A92E20"/>
    <w:rsid w:val="00A9726B"/>
    <w:rsid w:val="00AA04B7"/>
    <w:rsid w:val="00AA05CF"/>
    <w:rsid w:val="00AA1579"/>
    <w:rsid w:val="00AA1980"/>
    <w:rsid w:val="00AA2555"/>
    <w:rsid w:val="00AA2719"/>
    <w:rsid w:val="00AA3605"/>
    <w:rsid w:val="00AA382D"/>
    <w:rsid w:val="00AA3B4D"/>
    <w:rsid w:val="00AA472F"/>
    <w:rsid w:val="00AA7755"/>
    <w:rsid w:val="00AA7F8E"/>
    <w:rsid w:val="00AB03A1"/>
    <w:rsid w:val="00AB152F"/>
    <w:rsid w:val="00AB1B7B"/>
    <w:rsid w:val="00AB4535"/>
    <w:rsid w:val="00AB5185"/>
    <w:rsid w:val="00AB585B"/>
    <w:rsid w:val="00AB6307"/>
    <w:rsid w:val="00AB6358"/>
    <w:rsid w:val="00AB759C"/>
    <w:rsid w:val="00AB793D"/>
    <w:rsid w:val="00AB7D0A"/>
    <w:rsid w:val="00AC2E5E"/>
    <w:rsid w:val="00AC4C09"/>
    <w:rsid w:val="00AC4D4B"/>
    <w:rsid w:val="00AC5154"/>
    <w:rsid w:val="00AC694F"/>
    <w:rsid w:val="00AD4CFD"/>
    <w:rsid w:val="00AD5E3A"/>
    <w:rsid w:val="00AD7718"/>
    <w:rsid w:val="00AE23CB"/>
    <w:rsid w:val="00AE31EF"/>
    <w:rsid w:val="00AE3303"/>
    <w:rsid w:val="00AE3397"/>
    <w:rsid w:val="00AE3CD9"/>
    <w:rsid w:val="00AE40A6"/>
    <w:rsid w:val="00AE46B7"/>
    <w:rsid w:val="00AE6620"/>
    <w:rsid w:val="00AE6C7E"/>
    <w:rsid w:val="00AE725B"/>
    <w:rsid w:val="00AF1EB7"/>
    <w:rsid w:val="00AF2C7E"/>
    <w:rsid w:val="00AF43A4"/>
    <w:rsid w:val="00AF5F78"/>
    <w:rsid w:val="00B01A07"/>
    <w:rsid w:val="00B01BBF"/>
    <w:rsid w:val="00B034B5"/>
    <w:rsid w:val="00B0508A"/>
    <w:rsid w:val="00B06756"/>
    <w:rsid w:val="00B067F9"/>
    <w:rsid w:val="00B0773A"/>
    <w:rsid w:val="00B101D1"/>
    <w:rsid w:val="00B11B5A"/>
    <w:rsid w:val="00B13CD8"/>
    <w:rsid w:val="00B141B1"/>
    <w:rsid w:val="00B151A2"/>
    <w:rsid w:val="00B15312"/>
    <w:rsid w:val="00B1586D"/>
    <w:rsid w:val="00B167B2"/>
    <w:rsid w:val="00B21013"/>
    <w:rsid w:val="00B21A8E"/>
    <w:rsid w:val="00B2314A"/>
    <w:rsid w:val="00B235A7"/>
    <w:rsid w:val="00B23A9E"/>
    <w:rsid w:val="00B23B55"/>
    <w:rsid w:val="00B23D92"/>
    <w:rsid w:val="00B23F9F"/>
    <w:rsid w:val="00B2536C"/>
    <w:rsid w:val="00B26098"/>
    <w:rsid w:val="00B26614"/>
    <w:rsid w:val="00B2750E"/>
    <w:rsid w:val="00B3261E"/>
    <w:rsid w:val="00B327DB"/>
    <w:rsid w:val="00B3287E"/>
    <w:rsid w:val="00B32C09"/>
    <w:rsid w:val="00B32C53"/>
    <w:rsid w:val="00B33495"/>
    <w:rsid w:val="00B3393F"/>
    <w:rsid w:val="00B33D2F"/>
    <w:rsid w:val="00B34192"/>
    <w:rsid w:val="00B34C33"/>
    <w:rsid w:val="00B34DC2"/>
    <w:rsid w:val="00B350F7"/>
    <w:rsid w:val="00B355CB"/>
    <w:rsid w:val="00B35C49"/>
    <w:rsid w:val="00B35D18"/>
    <w:rsid w:val="00B3608D"/>
    <w:rsid w:val="00B3625C"/>
    <w:rsid w:val="00B37B82"/>
    <w:rsid w:val="00B410FE"/>
    <w:rsid w:val="00B412EE"/>
    <w:rsid w:val="00B4186E"/>
    <w:rsid w:val="00B42A23"/>
    <w:rsid w:val="00B476FF"/>
    <w:rsid w:val="00B47C44"/>
    <w:rsid w:val="00B51611"/>
    <w:rsid w:val="00B520B4"/>
    <w:rsid w:val="00B53282"/>
    <w:rsid w:val="00B5480F"/>
    <w:rsid w:val="00B5490F"/>
    <w:rsid w:val="00B569BF"/>
    <w:rsid w:val="00B56D84"/>
    <w:rsid w:val="00B57A80"/>
    <w:rsid w:val="00B60394"/>
    <w:rsid w:val="00B61C3B"/>
    <w:rsid w:val="00B6250E"/>
    <w:rsid w:val="00B62E92"/>
    <w:rsid w:val="00B63612"/>
    <w:rsid w:val="00B665D0"/>
    <w:rsid w:val="00B677F8"/>
    <w:rsid w:val="00B715BB"/>
    <w:rsid w:val="00B73506"/>
    <w:rsid w:val="00B737C2"/>
    <w:rsid w:val="00B75A20"/>
    <w:rsid w:val="00B75D51"/>
    <w:rsid w:val="00B766DB"/>
    <w:rsid w:val="00B77B91"/>
    <w:rsid w:val="00B77DB9"/>
    <w:rsid w:val="00B80DF0"/>
    <w:rsid w:val="00B8204F"/>
    <w:rsid w:val="00B8213B"/>
    <w:rsid w:val="00B82399"/>
    <w:rsid w:val="00B823AE"/>
    <w:rsid w:val="00B82856"/>
    <w:rsid w:val="00B848B5"/>
    <w:rsid w:val="00B85535"/>
    <w:rsid w:val="00B874B5"/>
    <w:rsid w:val="00B87A48"/>
    <w:rsid w:val="00B9024A"/>
    <w:rsid w:val="00B9097F"/>
    <w:rsid w:val="00B90D65"/>
    <w:rsid w:val="00B9156E"/>
    <w:rsid w:val="00B92F03"/>
    <w:rsid w:val="00B94240"/>
    <w:rsid w:val="00B94AD3"/>
    <w:rsid w:val="00B9582A"/>
    <w:rsid w:val="00B95EEE"/>
    <w:rsid w:val="00B96341"/>
    <w:rsid w:val="00B96608"/>
    <w:rsid w:val="00B96F76"/>
    <w:rsid w:val="00B97E76"/>
    <w:rsid w:val="00BA1103"/>
    <w:rsid w:val="00BA1395"/>
    <w:rsid w:val="00BA4663"/>
    <w:rsid w:val="00BA55BD"/>
    <w:rsid w:val="00BA590D"/>
    <w:rsid w:val="00BA6654"/>
    <w:rsid w:val="00BB0137"/>
    <w:rsid w:val="00BB29E9"/>
    <w:rsid w:val="00BB34CA"/>
    <w:rsid w:val="00BB3A4B"/>
    <w:rsid w:val="00BB3CB2"/>
    <w:rsid w:val="00BB408F"/>
    <w:rsid w:val="00BB4545"/>
    <w:rsid w:val="00BB46FF"/>
    <w:rsid w:val="00BB4B4C"/>
    <w:rsid w:val="00BB56BB"/>
    <w:rsid w:val="00BB588A"/>
    <w:rsid w:val="00BC0BA6"/>
    <w:rsid w:val="00BC3078"/>
    <w:rsid w:val="00BC3897"/>
    <w:rsid w:val="00BC3F98"/>
    <w:rsid w:val="00BC51BC"/>
    <w:rsid w:val="00BC60AB"/>
    <w:rsid w:val="00BC668B"/>
    <w:rsid w:val="00BC6916"/>
    <w:rsid w:val="00BD03CF"/>
    <w:rsid w:val="00BD1C90"/>
    <w:rsid w:val="00BD1CF0"/>
    <w:rsid w:val="00BD2045"/>
    <w:rsid w:val="00BD225D"/>
    <w:rsid w:val="00BD3778"/>
    <w:rsid w:val="00BD651E"/>
    <w:rsid w:val="00BD6CD5"/>
    <w:rsid w:val="00BD7866"/>
    <w:rsid w:val="00BD78E7"/>
    <w:rsid w:val="00BE1C91"/>
    <w:rsid w:val="00BE35C4"/>
    <w:rsid w:val="00BE4CA3"/>
    <w:rsid w:val="00BE5064"/>
    <w:rsid w:val="00BE5734"/>
    <w:rsid w:val="00BE72B0"/>
    <w:rsid w:val="00BE7398"/>
    <w:rsid w:val="00BF04D3"/>
    <w:rsid w:val="00BF0AA1"/>
    <w:rsid w:val="00BF0C39"/>
    <w:rsid w:val="00BF2CA3"/>
    <w:rsid w:val="00BF4DC3"/>
    <w:rsid w:val="00BF6E59"/>
    <w:rsid w:val="00C00243"/>
    <w:rsid w:val="00C01DA2"/>
    <w:rsid w:val="00C02B26"/>
    <w:rsid w:val="00C030FC"/>
    <w:rsid w:val="00C03514"/>
    <w:rsid w:val="00C04981"/>
    <w:rsid w:val="00C04EE8"/>
    <w:rsid w:val="00C060D9"/>
    <w:rsid w:val="00C06B9A"/>
    <w:rsid w:val="00C137C0"/>
    <w:rsid w:val="00C138DB"/>
    <w:rsid w:val="00C147D9"/>
    <w:rsid w:val="00C1569B"/>
    <w:rsid w:val="00C172CA"/>
    <w:rsid w:val="00C175F2"/>
    <w:rsid w:val="00C202A7"/>
    <w:rsid w:val="00C205D0"/>
    <w:rsid w:val="00C20AFA"/>
    <w:rsid w:val="00C21A0B"/>
    <w:rsid w:val="00C21BDC"/>
    <w:rsid w:val="00C21DBB"/>
    <w:rsid w:val="00C225CE"/>
    <w:rsid w:val="00C229E7"/>
    <w:rsid w:val="00C23C8E"/>
    <w:rsid w:val="00C24AF8"/>
    <w:rsid w:val="00C2539C"/>
    <w:rsid w:val="00C2632D"/>
    <w:rsid w:val="00C273BC"/>
    <w:rsid w:val="00C32442"/>
    <w:rsid w:val="00C32503"/>
    <w:rsid w:val="00C32B34"/>
    <w:rsid w:val="00C33A24"/>
    <w:rsid w:val="00C33EB0"/>
    <w:rsid w:val="00C351BA"/>
    <w:rsid w:val="00C36FAB"/>
    <w:rsid w:val="00C371DE"/>
    <w:rsid w:val="00C3751E"/>
    <w:rsid w:val="00C37617"/>
    <w:rsid w:val="00C40E92"/>
    <w:rsid w:val="00C4116D"/>
    <w:rsid w:val="00C413E1"/>
    <w:rsid w:val="00C420AF"/>
    <w:rsid w:val="00C43BB4"/>
    <w:rsid w:val="00C4425D"/>
    <w:rsid w:val="00C45650"/>
    <w:rsid w:val="00C460A7"/>
    <w:rsid w:val="00C463C1"/>
    <w:rsid w:val="00C46CBC"/>
    <w:rsid w:val="00C47C4F"/>
    <w:rsid w:val="00C5586F"/>
    <w:rsid w:val="00C5759C"/>
    <w:rsid w:val="00C60C62"/>
    <w:rsid w:val="00C62611"/>
    <w:rsid w:val="00C630A8"/>
    <w:rsid w:val="00C645E1"/>
    <w:rsid w:val="00C6484D"/>
    <w:rsid w:val="00C6502E"/>
    <w:rsid w:val="00C658CE"/>
    <w:rsid w:val="00C70069"/>
    <w:rsid w:val="00C714E3"/>
    <w:rsid w:val="00C71527"/>
    <w:rsid w:val="00C71647"/>
    <w:rsid w:val="00C72954"/>
    <w:rsid w:val="00C73D32"/>
    <w:rsid w:val="00C768C7"/>
    <w:rsid w:val="00C77639"/>
    <w:rsid w:val="00C811F6"/>
    <w:rsid w:val="00C81F9C"/>
    <w:rsid w:val="00C828A5"/>
    <w:rsid w:val="00C8297C"/>
    <w:rsid w:val="00C83B40"/>
    <w:rsid w:val="00C84483"/>
    <w:rsid w:val="00C86705"/>
    <w:rsid w:val="00C9091E"/>
    <w:rsid w:val="00C91441"/>
    <w:rsid w:val="00C916DE"/>
    <w:rsid w:val="00C944CF"/>
    <w:rsid w:val="00C958AD"/>
    <w:rsid w:val="00C95936"/>
    <w:rsid w:val="00C95D50"/>
    <w:rsid w:val="00C962F2"/>
    <w:rsid w:val="00CA0704"/>
    <w:rsid w:val="00CA07D7"/>
    <w:rsid w:val="00CA18D9"/>
    <w:rsid w:val="00CA4108"/>
    <w:rsid w:val="00CA5D32"/>
    <w:rsid w:val="00CA6E77"/>
    <w:rsid w:val="00CB0C3A"/>
    <w:rsid w:val="00CB254C"/>
    <w:rsid w:val="00CB2C6B"/>
    <w:rsid w:val="00CB46AE"/>
    <w:rsid w:val="00CB53B0"/>
    <w:rsid w:val="00CB6D1E"/>
    <w:rsid w:val="00CB71D3"/>
    <w:rsid w:val="00CC00E5"/>
    <w:rsid w:val="00CC019D"/>
    <w:rsid w:val="00CC17E6"/>
    <w:rsid w:val="00CC1906"/>
    <w:rsid w:val="00CC1C19"/>
    <w:rsid w:val="00CC241E"/>
    <w:rsid w:val="00CC2425"/>
    <w:rsid w:val="00CC285B"/>
    <w:rsid w:val="00CC288F"/>
    <w:rsid w:val="00CC4365"/>
    <w:rsid w:val="00CC5310"/>
    <w:rsid w:val="00CC6626"/>
    <w:rsid w:val="00CC67E0"/>
    <w:rsid w:val="00CC6969"/>
    <w:rsid w:val="00CC69B8"/>
    <w:rsid w:val="00CC719C"/>
    <w:rsid w:val="00CC7707"/>
    <w:rsid w:val="00CD06DA"/>
    <w:rsid w:val="00CD17FD"/>
    <w:rsid w:val="00CD19FB"/>
    <w:rsid w:val="00CD2C69"/>
    <w:rsid w:val="00CD30B2"/>
    <w:rsid w:val="00CD3965"/>
    <w:rsid w:val="00CD3D59"/>
    <w:rsid w:val="00CD6D0A"/>
    <w:rsid w:val="00CD7A79"/>
    <w:rsid w:val="00CE0BDE"/>
    <w:rsid w:val="00CE116C"/>
    <w:rsid w:val="00CE1AD0"/>
    <w:rsid w:val="00CE2DE4"/>
    <w:rsid w:val="00CE408B"/>
    <w:rsid w:val="00CE7631"/>
    <w:rsid w:val="00CF1AAA"/>
    <w:rsid w:val="00CF2459"/>
    <w:rsid w:val="00CF6A44"/>
    <w:rsid w:val="00D00BD1"/>
    <w:rsid w:val="00D024E6"/>
    <w:rsid w:val="00D02AA3"/>
    <w:rsid w:val="00D02ADF"/>
    <w:rsid w:val="00D03A5E"/>
    <w:rsid w:val="00D043EE"/>
    <w:rsid w:val="00D04D0B"/>
    <w:rsid w:val="00D1047B"/>
    <w:rsid w:val="00D10E17"/>
    <w:rsid w:val="00D11112"/>
    <w:rsid w:val="00D1310E"/>
    <w:rsid w:val="00D133B2"/>
    <w:rsid w:val="00D15320"/>
    <w:rsid w:val="00D155D7"/>
    <w:rsid w:val="00D200B9"/>
    <w:rsid w:val="00D20A25"/>
    <w:rsid w:val="00D215E2"/>
    <w:rsid w:val="00D21823"/>
    <w:rsid w:val="00D24111"/>
    <w:rsid w:val="00D26C40"/>
    <w:rsid w:val="00D26C98"/>
    <w:rsid w:val="00D26E71"/>
    <w:rsid w:val="00D2742F"/>
    <w:rsid w:val="00D27BBD"/>
    <w:rsid w:val="00D307F4"/>
    <w:rsid w:val="00D30AA5"/>
    <w:rsid w:val="00D31046"/>
    <w:rsid w:val="00D315FB"/>
    <w:rsid w:val="00D31C4E"/>
    <w:rsid w:val="00D33171"/>
    <w:rsid w:val="00D3462C"/>
    <w:rsid w:val="00D34E8C"/>
    <w:rsid w:val="00D3576A"/>
    <w:rsid w:val="00D36358"/>
    <w:rsid w:val="00D36379"/>
    <w:rsid w:val="00D363A2"/>
    <w:rsid w:val="00D36895"/>
    <w:rsid w:val="00D37275"/>
    <w:rsid w:val="00D3763F"/>
    <w:rsid w:val="00D37CEB"/>
    <w:rsid w:val="00D4046D"/>
    <w:rsid w:val="00D4085D"/>
    <w:rsid w:val="00D40DAD"/>
    <w:rsid w:val="00D427E6"/>
    <w:rsid w:val="00D448C0"/>
    <w:rsid w:val="00D46B5E"/>
    <w:rsid w:val="00D470BE"/>
    <w:rsid w:val="00D473A4"/>
    <w:rsid w:val="00D47E24"/>
    <w:rsid w:val="00D51BD5"/>
    <w:rsid w:val="00D52B8E"/>
    <w:rsid w:val="00D534A6"/>
    <w:rsid w:val="00D559E6"/>
    <w:rsid w:val="00D561A9"/>
    <w:rsid w:val="00D566D4"/>
    <w:rsid w:val="00D5765C"/>
    <w:rsid w:val="00D57914"/>
    <w:rsid w:val="00D57B02"/>
    <w:rsid w:val="00D57C8E"/>
    <w:rsid w:val="00D604E3"/>
    <w:rsid w:val="00D606F7"/>
    <w:rsid w:val="00D613CA"/>
    <w:rsid w:val="00D645DB"/>
    <w:rsid w:val="00D656D1"/>
    <w:rsid w:val="00D66BC0"/>
    <w:rsid w:val="00D677A3"/>
    <w:rsid w:val="00D67A60"/>
    <w:rsid w:val="00D705EC"/>
    <w:rsid w:val="00D71090"/>
    <w:rsid w:val="00D71EB4"/>
    <w:rsid w:val="00D7210B"/>
    <w:rsid w:val="00D72194"/>
    <w:rsid w:val="00D727F9"/>
    <w:rsid w:val="00D72CBE"/>
    <w:rsid w:val="00D73046"/>
    <w:rsid w:val="00D741DD"/>
    <w:rsid w:val="00D7511D"/>
    <w:rsid w:val="00D763E3"/>
    <w:rsid w:val="00D82D8E"/>
    <w:rsid w:val="00D84ADF"/>
    <w:rsid w:val="00D85239"/>
    <w:rsid w:val="00D862B5"/>
    <w:rsid w:val="00D877D7"/>
    <w:rsid w:val="00D92A3F"/>
    <w:rsid w:val="00D945C6"/>
    <w:rsid w:val="00D94A06"/>
    <w:rsid w:val="00D94AAD"/>
    <w:rsid w:val="00D94CEA"/>
    <w:rsid w:val="00D95E73"/>
    <w:rsid w:val="00D9703C"/>
    <w:rsid w:val="00D975A7"/>
    <w:rsid w:val="00D97F86"/>
    <w:rsid w:val="00DA1E7A"/>
    <w:rsid w:val="00DA2814"/>
    <w:rsid w:val="00DA2A9C"/>
    <w:rsid w:val="00DA2F81"/>
    <w:rsid w:val="00DA4110"/>
    <w:rsid w:val="00DA4ADC"/>
    <w:rsid w:val="00DA635E"/>
    <w:rsid w:val="00DA7351"/>
    <w:rsid w:val="00DA7810"/>
    <w:rsid w:val="00DB0D84"/>
    <w:rsid w:val="00DB2385"/>
    <w:rsid w:val="00DB26E9"/>
    <w:rsid w:val="00DB35F5"/>
    <w:rsid w:val="00DB6238"/>
    <w:rsid w:val="00DB72A0"/>
    <w:rsid w:val="00DB73A5"/>
    <w:rsid w:val="00DC0791"/>
    <w:rsid w:val="00DC0B69"/>
    <w:rsid w:val="00DC2897"/>
    <w:rsid w:val="00DC2A77"/>
    <w:rsid w:val="00DC4EBC"/>
    <w:rsid w:val="00DC5F53"/>
    <w:rsid w:val="00DC6F49"/>
    <w:rsid w:val="00DD14C1"/>
    <w:rsid w:val="00DD44E0"/>
    <w:rsid w:val="00DD4BF2"/>
    <w:rsid w:val="00DD505F"/>
    <w:rsid w:val="00DD5337"/>
    <w:rsid w:val="00DE17E1"/>
    <w:rsid w:val="00DE1BC3"/>
    <w:rsid w:val="00DE1FC8"/>
    <w:rsid w:val="00DE225D"/>
    <w:rsid w:val="00DE256C"/>
    <w:rsid w:val="00DE2BDE"/>
    <w:rsid w:val="00DE343F"/>
    <w:rsid w:val="00DE34E6"/>
    <w:rsid w:val="00DE37AE"/>
    <w:rsid w:val="00DE3F81"/>
    <w:rsid w:val="00DE6CCA"/>
    <w:rsid w:val="00DF11B3"/>
    <w:rsid w:val="00DF2F23"/>
    <w:rsid w:val="00DF3670"/>
    <w:rsid w:val="00DF37D0"/>
    <w:rsid w:val="00DF3CB6"/>
    <w:rsid w:val="00DF57F8"/>
    <w:rsid w:val="00DF5B3A"/>
    <w:rsid w:val="00DF6C03"/>
    <w:rsid w:val="00DF7D3B"/>
    <w:rsid w:val="00E011A8"/>
    <w:rsid w:val="00E03038"/>
    <w:rsid w:val="00E0316F"/>
    <w:rsid w:val="00E035A9"/>
    <w:rsid w:val="00E04610"/>
    <w:rsid w:val="00E051A1"/>
    <w:rsid w:val="00E060C6"/>
    <w:rsid w:val="00E0623D"/>
    <w:rsid w:val="00E06283"/>
    <w:rsid w:val="00E079BE"/>
    <w:rsid w:val="00E10614"/>
    <w:rsid w:val="00E10C86"/>
    <w:rsid w:val="00E1120B"/>
    <w:rsid w:val="00E11C2C"/>
    <w:rsid w:val="00E12510"/>
    <w:rsid w:val="00E13209"/>
    <w:rsid w:val="00E15859"/>
    <w:rsid w:val="00E15BCB"/>
    <w:rsid w:val="00E169DA"/>
    <w:rsid w:val="00E171DF"/>
    <w:rsid w:val="00E1746B"/>
    <w:rsid w:val="00E20FD1"/>
    <w:rsid w:val="00E212CF"/>
    <w:rsid w:val="00E22A67"/>
    <w:rsid w:val="00E22BE3"/>
    <w:rsid w:val="00E23694"/>
    <w:rsid w:val="00E27033"/>
    <w:rsid w:val="00E27AD8"/>
    <w:rsid w:val="00E3046A"/>
    <w:rsid w:val="00E31247"/>
    <w:rsid w:val="00E34260"/>
    <w:rsid w:val="00E3563D"/>
    <w:rsid w:val="00E36371"/>
    <w:rsid w:val="00E36670"/>
    <w:rsid w:val="00E373FA"/>
    <w:rsid w:val="00E3797E"/>
    <w:rsid w:val="00E40B11"/>
    <w:rsid w:val="00E42642"/>
    <w:rsid w:val="00E42AA3"/>
    <w:rsid w:val="00E43ACE"/>
    <w:rsid w:val="00E441AD"/>
    <w:rsid w:val="00E44AA5"/>
    <w:rsid w:val="00E45F1F"/>
    <w:rsid w:val="00E47143"/>
    <w:rsid w:val="00E474B0"/>
    <w:rsid w:val="00E47A3B"/>
    <w:rsid w:val="00E55080"/>
    <w:rsid w:val="00E553D5"/>
    <w:rsid w:val="00E5544F"/>
    <w:rsid w:val="00E55DF3"/>
    <w:rsid w:val="00E562BD"/>
    <w:rsid w:val="00E56C89"/>
    <w:rsid w:val="00E56E26"/>
    <w:rsid w:val="00E62207"/>
    <w:rsid w:val="00E63E13"/>
    <w:rsid w:val="00E65C94"/>
    <w:rsid w:val="00E6655B"/>
    <w:rsid w:val="00E66F54"/>
    <w:rsid w:val="00E6772E"/>
    <w:rsid w:val="00E71099"/>
    <w:rsid w:val="00E71A0D"/>
    <w:rsid w:val="00E74900"/>
    <w:rsid w:val="00E76D98"/>
    <w:rsid w:val="00E773D1"/>
    <w:rsid w:val="00E77497"/>
    <w:rsid w:val="00E803FD"/>
    <w:rsid w:val="00E815D3"/>
    <w:rsid w:val="00E818E5"/>
    <w:rsid w:val="00E81A57"/>
    <w:rsid w:val="00E81BF9"/>
    <w:rsid w:val="00E82BC0"/>
    <w:rsid w:val="00E834C6"/>
    <w:rsid w:val="00E83CF6"/>
    <w:rsid w:val="00E83F33"/>
    <w:rsid w:val="00E84185"/>
    <w:rsid w:val="00E84A4D"/>
    <w:rsid w:val="00E86443"/>
    <w:rsid w:val="00E879F9"/>
    <w:rsid w:val="00E90E35"/>
    <w:rsid w:val="00E91614"/>
    <w:rsid w:val="00E93E81"/>
    <w:rsid w:val="00E943FF"/>
    <w:rsid w:val="00E961D2"/>
    <w:rsid w:val="00E96719"/>
    <w:rsid w:val="00E97517"/>
    <w:rsid w:val="00EA175A"/>
    <w:rsid w:val="00EA1875"/>
    <w:rsid w:val="00EA20E2"/>
    <w:rsid w:val="00EA242B"/>
    <w:rsid w:val="00EA272A"/>
    <w:rsid w:val="00EA5EFE"/>
    <w:rsid w:val="00EA6129"/>
    <w:rsid w:val="00EB07AE"/>
    <w:rsid w:val="00EB0B29"/>
    <w:rsid w:val="00EB220B"/>
    <w:rsid w:val="00EB2328"/>
    <w:rsid w:val="00EB232E"/>
    <w:rsid w:val="00EB2394"/>
    <w:rsid w:val="00EB24FA"/>
    <w:rsid w:val="00EB3445"/>
    <w:rsid w:val="00EB3DA0"/>
    <w:rsid w:val="00EB5E7D"/>
    <w:rsid w:val="00EB6870"/>
    <w:rsid w:val="00EB7BE1"/>
    <w:rsid w:val="00EB7F43"/>
    <w:rsid w:val="00EC09FC"/>
    <w:rsid w:val="00EC0FAB"/>
    <w:rsid w:val="00EC1367"/>
    <w:rsid w:val="00EC2EF3"/>
    <w:rsid w:val="00EC47BD"/>
    <w:rsid w:val="00EC7B5A"/>
    <w:rsid w:val="00ED0911"/>
    <w:rsid w:val="00ED21A3"/>
    <w:rsid w:val="00ED2F66"/>
    <w:rsid w:val="00ED31E8"/>
    <w:rsid w:val="00ED48C0"/>
    <w:rsid w:val="00ED65AA"/>
    <w:rsid w:val="00ED7592"/>
    <w:rsid w:val="00EE038D"/>
    <w:rsid w:val="00EE1DBD"/>
    <w:rsid w:val="00EE1EF6"/>
    <w:rsid w:val="00EE2E96"/>
    <w:rsid w:val="00EE2F38"/>
    <w:rsid w:val="00EE305E"/>
    <w:rsid w:val="00EE6BC6"/>
    <w:rsid w:val="00EE7235"/>
    <w:rsid w:val="00EE769A"/>
    <w:rsid w:val="00EF057D"/>
    <w:rsid w:val="00EF1D33"/>
    <w:rsid w:val="00EF21F5"/>
    <w:rsid w:val="00EF24DE"/>
    <w:rsid w:val="00EF3C06"/>
    <w:rsid w:val="00EF5AAD"/>
    <w:rsid w:val="00EF6992"/>
    <w:rsid w:val="00EF6C8E"/>
    <w:rsid w:val="00EF74BD"/>
    <w:rsid w:val="00F01707"/>
    <w:rsid w:val="00F01DCA"/>
    <w:rsid w:val="00F01FDE"/>
    <w:rsid w:val="00F024BC"/>
    <w:rsid w:val="00F04DBE"/>
    <w:rsid w:val="00F068E7"/>
    <w:rsid w:val="00F07F8D"/>
    <w:rsid w:val="00F10438"/>
    <w:rsid w:val="00F10996"/>
    <w:rsid w:val="00F124DE"/>
    <w:rsid w:val="00F139E7"/>
    <w:rsid w:val="00F13F57"/>
    <w:rsid w:val="00F1540C"/>
    <w:rsid w:val="00F15789"/>
    <w:rsid w:val="00F15CC4"/>
    <w:rsid w:val="00F17882"/>
    <w:rsid w:val="00F20BC1"/>
    <w:rsid w:val="00F21299"/>
    <w:rsid w:val="00F23877"/>
    <w:rsid w:val="00F24BF9"/>
    <w:rsid w:val="00F24D02"/>
    <w:rsid w:val="00F2596B"/>
    <w:rsid w:val="00F262BC"/>
    <w:rsid w:val="00F26E07"/>
    <w:rsid w:val="00F30202"/>
    <w:rsid w:val="00F3284E"/>
    <w:rsid w:val="00F33E54"/>
    <w:rsid w:val="00F34320"/>
    <w:rsid w:val="00F3461C"/>
    <w:rsid w:val="00F357DD"/>
    <w:rsid w:val="00F372E3"/>
    <w:rsid w:val="00F37E26"/>
    <w:rsid w:val="00F40431"/>
    <w:rsid w:val="00F40457"/>
    <w:rsid w:val="00F40B86"/>
    <w:rsid w:val="00F42052"/>
    <w:rsid w:val="00F4218B"/>
    <w:rsid w:val="00F42F9A"/>
    <w:rsid w:val="00F43026"/>
    <w:rsid w:val="00F44340"/>
    <w:rsid w:val="00F444EC"/>
    <w:rsid w:val="00F44BE2"/>
    <w:rsid w:val="00F45A0B"/>
    <w:rsid w:val="00F45DC6"/>
    <w:rsid w:val="00F4634F"/>
    <w:rsid w:val="00F465B3"/>
    <w:rsid w:val="00F46BF0"/>
    <w:rsid w:val="00F47EEC"/>
    <w:rsid w:val="00F521C4"/>
    <w:rsid w:val="00F527F1"/>
    <w:rsid w:val="00F53289"/>
    <w:rsid w:val="00F541DD"/>
    <w:rsid w:val="00F560F7"/>
    <w:rsid w:val="00F56844"/>
    <w:rsid w:val="00F6036D"/>
    <w:rsid w:val="00F62091"/>
    <w:rsid w:val="00F62119"/>
    <w:rsid w:val="00F63592"/>
    <w:rsid w:val="00F635F4"/>
    <w:rsid w:val="00F64922"/>
    <w:rsid w:val="00F64E40"/>
    <w:rsid w:val="00F66272"/>
    <w:rsid w:val="00F6727C"/>
    <w:rsid w:val="00F67858"/>
    <w:rsid w:val="00F703D8"/>
    <w:rsid w:val="00F70D3C"/>
    <w:rsid w:val="00F717E7"/>
    <w:rsid w:val="00F7201D"/>
    <w:rsid w:val="00F72A4F"/>
    <w:rsid w:val="00F73FD6"/>
    <w:rsid w:val="00F75077"/>
    <w:rsid w:val="00F76C9B"/>
    <w:rsid w:val="00F7749C"/>
    <w:rsid w:val="00F80102"/>
    <w:rsid w:val="00F806EB"/>
    <w:rsid w:val="00F80A21"/>
    <w:rsid w:val="00F80E39"/>
    <w:rsid w:val="00F8106B"/>
    <w:rsid w:val="00F8379A"/>
    <w:rsid w:val="00F83F67"/>
    <w:rsid w:val="00F8652B"/>
    <w:rsid w:val="00F86A71"/>
    <w:rsid w:val="00F86AAE"/>
    <w:rsid w:val="00F90BAA"/>
    <w:rsid w:val="00F90CAD"/>
    <w:rsid w:val="00F913DE"/>
    <w:rsid w:val="00F940B7"/>
    <w:rsid w:val="00F94363"/>
    <w:rsid w:val="00F94FF8"/>
    <w:rsid w:val="00F9591D"/>
    <w:rsid w:val="00F96BB7"/>
    <w:rsid w:val="00F96E6F"/>
    <w:rsid w:val="00F9745A"/>
    <w:rsid w:val="00F97EEF"/>
    <w:rsid w:val="00FA14CA"/>
    <w:rsid w:val="00FA3461"/>
    <w:rsid w:val="00FA55D3"/>
    <w:rsid w:val="00FA7426"/>
    <w:rsid w:val="00FB2F99"/>
    <w:rsid w:val="00FB3B6A"/>
    <w:rsid w:val="00FB608A"/>
    <w:rsid w:val="00FB6185"/>
    <w:rsid w:val="00FB6802"/>
    <w:rsid w:val="00FB6924"/>
    <w:rsid w:val="00FB6CA2"/>
    <w:rsid w:val="00FB7744"/>
    <w:rsid w:val="00FC1B4C"/>
    <w:rsid w:val="00FC61F9"/>
    <w:rsid w:val="00FD00F3"/>
    <w:rsid w:val="00FD1F8C"/>
    <w:rsid w:val="00FD53B4"/>
    <w:rsid w:val="00FD59A1"/>
    <w:rsid w:val="00FD6F19"/>
    <w:rsid w:val="00FE0C4A"/>
    <w:rsid w:val="00FE297E"/>
    <w:rsid w:val="00FE3421"/>
    <w:rsid w:val="00FE3892"/>
    <w:rsid w:val="00FE3C4E"/>
    <w:rsid w:val="00FE43E0"/>
    <w:rsid w:val="00FE48DE"/>
    <w:rsid w:val="00FE4C47"/>
    <w:rsid w:val="00FE5004"/>
    <w:rsid w:val="00FE5F56"/>
    <w:rsid w:val="00FE6842"/>
    <w:rsid w:val="00FE7228"/>
    <w:rsid w:val="00FE7F58"/>
    <w:rsid w:val="00FF06C9"/>
    <w:rsid w:val="00FF1BF8"/>
    <w:rsid w:val="00FF398E"/>
    <w:rsid w:val="00FF41E2"/>
    <w:rsid w:val="00FF4CBF"/>
    <w:rsid w:val="00FF5B82"/>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AC12FBB-53F7-4C63-84A9-209E1B68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el-GR"/>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4F"/>
    <w:rPr>
      <w:sz w:val="24"/>
      <w:szCs w:val="24"/>
    </w:rPr>
  </w:style>
  <w:style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rPr>
  </w:style>
  <w:style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rPr>
  </w:style>
  <w:style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rPr>
  </w:style>
  <w:style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rPr>
  </w:style>
  <w:style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rPr>
  </w:style>
  <w:style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2BC7"/>
    <w:rPr>
      <w:b/>
      <w:kern w:val="1"/>
      <w:sz w:val="40"/>
    </w:rPr>
  </w:style>
  <w:style w:type="character" w:customStyle="1" w:styleId="Heading2Char">
    <w:name w:val="Heading 2 Char"/>
    <w:link w:val="Heading2"/>
    <w:uiPriority w:val="99"/>
    <w:locked/>
    <w:rsid w:val="00952BC7"/>
    <w:rPr>
      <w:b/>
      <w:kern w:val="1"/>
      <w:sz w:val="32"/>
    </w:rPr>
  </w:style>
  <w:style w:type="character" w:customStyle="1" w:styleId="Heading3Char">
    <w:name w:val="Heading 3 Char"/>
    <w:link w:val="Heading3"/>
    <w:uiPriority w:val="99"/>
    <w:locked/>
    <w:rsid w:val="00952BC7"/>
    <w:rPr>
      <w:b/>
      <w:kern w:val="1"/>
      <w:sz w:val="32"/>
    </w:rPr>
  </w:style>
  <w:style w:type="character" w:customStyle="1" w:styleId="Heading4Char">
    <w:name w:val="Heading 4 Char"/>
    <w:link w:val="Heading4"/>
    <w:uiPriority w:val="99"/>
    <w:locked/>
    <w:rsid w:val="00952BC7"/>
    <w:rPr>
      <w:b/>
      <w:kern w:val="1"/>
      <w:sz w:val="24"/>
    </w:rPr>
  </w:style>
  <w:style w:type="character" w:customStyle="1" w:styleId="Heading5Char">
    <w:name w:val="Heading 5 Char"/>
    <w:link w:val="Heading5"/>
    <w:uiPriority w:val="99"/>
    <w:locked/>
    <w:rsid w:val="00952BC7"/>
    <w:rPr>
      <w:b/>
      <w:kern w:val="1"/>
      <w:sz w:val="24"/>
    </w:rPr>
  </w:style>
  <w:style w:type="character" w:customStyle="1" w:styleId="Heading6Char">
    <w:name w:val="Heading 6 Char"/>
    <w:link w:val="Heading6"/>
    <w:uiPriority w:val="99"/>
    <w:locked/>
    <w:rsid w:val="00952BC7"/>
    <w:rPr>
      <w:b/>
      <w:kern w:val="1"/>
      <w:sz w:val="24"/>
    </w:rPr>
  </w:style>
  <w:style w:type="character" w:customStyle="1" w:styleId="Bekezdsalapbettpusa1">
    <w:name w:val="Bekezdés alapbetűtípusa1"/>
    <w:uiPriority w:val="99"/>
    <w:rsid w:val="00952BC7"/>
  </w:style>
  <w:style w:type="paragraph" w:styleId="Header">
    <w:name w:val="header"/>
    <w:basedOn w:val="Normal"/>
    <w:link w:val="HeaderChar"/>
    <w:uiPriority w:val="99"/>
    <w:rsid w:val="00146C4F"/>
    <w:pPr>
      <w:tabs>
        <w:tab w:val="center" w:pos="4536"/>
        <w:tab w:val="right" w:pos="9072"/>
      </w:tabs>
    </w:pPr>
  </w:style>
  <w:style w:type="character" w:customStyle="1" w:styleId="HeaderChar">
    <w:name w:val="Header Char"/>
    <w:link w:val="Header"/>
    <w:uiPriority w:val="99"/>
    <w:locked/>
    <w:rsid w:val="0039322A"/>
    <w:rPr>
      <w:rFonts w:cs="Times New Roman"/>
      <w:sz w:val="24"/>
      <w:szCs w:val="24"/>
    </w:rPr>
  </w:style>
  <w:style w:type="paragraph" w:styleId="Footer">
    <w:name w:val="footer"/>
    <w:basedOn w:val="Normal"/>
    <w:link w:val="FooterChar"/>
    <w:uiPriority w:val="99"/>
    <w:rsid w:val="00146C4F"/>
    <w:pPr>
      <w:tabs>
        <w:tab w:val="center" w:pos="4536"/>
        <w:tab w:val="right" w:pos="9072"/>
      </w:tabs>
    </w:pPr>
  </w:style>
  <w:style w:type="character" w:customStyle="1" w:styleId="FooterChar">
    <w:name w:val="Footer Char"/>
    <w:link w:val="Footer"/>
    <w:uiPriority w:val="99"/>
    <w:locked/>
    <w:rsid w:val="006536F7"/>
    <w:rPr>
      <w:rFonts w:cs="Times New Roman"/>
      <w:sz w:val="24"/>
      <w:szCs w:val="24"/>
    </w:rPr>
  </w:style>
  <w:style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w:type="paragraph" w:customStyle="1" w:styleId="Iktatszm">
    <w:name w:val="Iktatószám"/>
    <w:basedOn w:val="Normal"/>
    <w:uiPriority w:val="99"/>
    <w:rsid w:val="00146C4F"/>
    <w:pPr>
      <w:jc w:val="center"/>
    </w:pPr>
    <w:rPr>
      <w:b/>
      <w:caps/>
    </w:rPr>
  </w:style>
  <w:style w:type="character" w:styleId="PageNumber">
    <w:name w:val="page number"/>
    <w:uiPriority w:val="99"/>
    <w:rsid w:val="007E6F4D"/>
    <w:rPr>
      <w:rFonts w:cs="Times New Roman"/>
    </w:rPr>
  </w:style>
  <w:style w:type="paragraph" w:styleId="BodyText2">
    <w:name w:val="Body Text 2"/>
    <w:basedOn w:val="Normal"/>
    <w:link w:val="BodyText2Char"/>
    <w:uiPriority w:val="99"/>
    <w:rsid w:val="005C48EC"/>
    <w:pPr>
      <w:spacing w:after="120" w:line="480" w:lineRule="auto"/>
    </w:pPr>
  </w:style>
  <w:style w:type="character" w:customStyle="1" w:styleId="BodyText2Char">
    <w:name w:val="Body Text 2 Char"/>
    <w:link w:val="BodyText2"/>
    <w:uiPriority w:val="99"/>
    <w:semiHidden/>
    <w:locked/>
    <w:rsid w:val="0039322A"/>
    <w:rPr>
      <w:rFonts w:cs="Times New Roman"/>
      <w:sz w:val="24"/>
      <w:szCs w:val="24"/>
    </w:rPr>
  </w:style>
  <w:style w:type="paragraph" w:customStyle="1" w:styleId="Fszveg">
    <w:name w:val="Főszöveg"/>
    <w:basedOn w:val="BodyText3"/>
    <w:rsid w:val="002E14B8"/>
    <w:pPr>
      <w:autoSpaceDE w:val="0"/>
      <w:autoSpaceDN w:val="0"/>
      <w:spacing w:after="0" w:line="360" w:lineRule="auto"/>
      <w:jc w:val="both"/>
    </w:pPr>
    <w:rPr>
      <w:sz w:val="28"/>
      <w:szCs w:val="26"/>
    </w:rPr>
  </w:style>
  <w:style w:type="paragraph" w:styleId="BodyText3">
    <w:name w:val="Body Text 3"/>
    <w:basedOn w:val="Normal"/>
    <w:link w:val="BodyText3Char"/>
    <w:uiPriority w:val="99"/>
    <w:rsid w:val="002E14B8"/>
    <w:pPr>
      <w:spacing w:after="120"/>
    </w:pPr>
    <w:rPr>
      <w:sz w:val="16"/>
      <w:szCs w:val="16"/>
    </w:rPr>
  </w:style>
  <w:style w:type="character" w:customStyle="1" w:styleId="BodyText3Char">
    <w:name w:val="Body Text 3 Char"/>
    <w:link w:val="BodyText3"/>
    <w:uiPriority w:val="99"/>
    <w:semiHidden/>
    <w:locked/>
    <w:rsid w:val="0039322A"/>
    <w:rPr>
      <w:rFonts w:cs="Times New Roman"/>
      <w:sz w:val="16"/>
      <w:szCs w:val="16"/>
    </w:rPr>
  </w:style>
  <w:style w:type="character" w:styleId="Hyperlink">
    <w:name w:val="Hyperlink"/>
    <w:uiPriority w:val="99"/>
    <w:rsid w:val="00DC0B69"/>
    <w:rPr>
      <w:rFonts w:cs="Times New Roman"/>
      <w:color w:val="0000FF"/>
      <w:u w:val="single"/>
    </w:rPr>
  </w:style>
  <w:style w:type="paragraph" w:styleId="NormalWeb">
    <w:name w:val="Normal (Web)"/>
    <w:basedOn w:val="Normal"/>
    <w:uiPriority w:val="99"/>
    <w:rsid w:val="00DC0B69"/>
    <w:pPr>
      <w:spacing w:before="150" w:after="150"/>
      <w:ind w:left="675" w:right="525"/>
    </w:pPr>
    <w:rPr>
      <w:sz w:val="19"/>
      <w:szCs w:val="19"/>
    </w:rPr>
  </w:style>
  <w:style w:type="character" w:customStyle="1" w:styleId="Cmsor1Char1">
    <w:name w:val="Címsor 1 Char1"/>
    <w:uiPriority w:val="99"/>
    <w:rsid w:val="00952BC7"/>
    <w:rPr>
      <w:rFonts w:ascii="Cambria" w:hAnsi="Cambria"/>
      <w:b/>
      <w:kern w:val="1"/>
      <w:sz w:val="32"/>
    </w:rPr>
  </w:style>
  <w:style w:type="character" w:customStyle="1" w:styleId="Cmsor2Char1">
    <w:name w:val="Címsor 2 Char1"/>
    <w:uiPriority w:val="99"/>
    <w:rsid w:val="00952BC7"/>
    <w:rPr>
      <w:rFonts w:ascii="Cambria" w:hAnsi="Cambria"/>
      <w:b/>
      <w:i/>
      <w:sz w:val="28"/>
    </w:rPr>
  </w:style>
  <w:style w:type="character" w:customStyle="1" w:styleId="Cmsor3Char1">
    <w:name w:val="Címsor 3 Char1"/>
    <w:uiPriority w:val="99"/>
    <w:rsid w:val="00952BC7"/>
    <w:rPr>
      <w:rFonts w:ascii="Cambria" w:hAnsi="Cambria"/>
      <w:b/>
      <w:sz w:val="26"/>
    </w:rPr>
  </w:style>
  <w:style w:type="character" w:customStyle="1" w:styleId="Cmsor4Char1">
    <w:name w:val="Címsor 4 Char1"/>
    <w:uiPriority w:val="99"/>
    <w:rsid w:val="00952BC7"/>
    <w:rPr>
      <w:rFonts w:ascii="Calibri" w:hAnsi="Calibri"/>
      <w:b/>
      <w:sz w:val="28"/>
    </w:rPr>
  </w:style>
  <w:style w:type="character" w:customStyle="1" w:styleId="Cmsor5Char1">
    <w:name w:val="Címsor 5 Char1"/>
    <w:uiPriority w:val="99"/>
    <w:rsid w:val="00952BC7"/>
    <w:rPr>
      <w:rFonts w:ascii="Calibri" w:hAnsi="Calibri"/>
      <w:b/>
      <w:i/>
      <w:sz w:val="26"/>
    </w:rPr>
  </w:style>
  <w:style w:type="character" w:customStyle="1" w:styleId="Cmsor6Char1">
    <w:name w:val="Címsor 6 Char1"/>
    <w:uiPriority w:val="99"/>
    <w:rsid w:val="00952BC7"/>
    <w:rPr>
      <w:rFonts w:ascii="Calibri" w:hAnsi="Calibri"/>
      <w:b/>
    </w:rPr>
  </w:style>
  <w:style w:type="character" w:customStyle="1" w:styleId="Oldalszm1">
    <w:name w:val="Oldalszám1"/>
    <w:uiPriority w:val="99"/>
    <w:rsid w:val="00952BC7"/>
  </w:style>
  <w:style w:type="character" w:customStyle="1" w:styleId="Bekezdsalapbettpusa3">
    <w:name w:val="Bekezdés alapbet?típusa3"/>
    <w:uiPriority w:val="99"/>
    <w:rsid w:val="00952BC7"/>
  </w:style>
  <w:style w:type="character" w:customStyle="1" w:styleId="Absatz-Standardschriftart">
    <w:name w:val="Absatz-Standardschriftart"/>
    <w:uiPriority w:val="99"/>
    <w:rsid w:val="00952BC7"/>
  </w:style>
  <w:style w:type="character" w:customStyle="1" w:styleId="Bekezdsalapbettpusa2">
    <w:name w:val="Bekezdés alapbet?típusa2"/>
    <w:uiPriority w:val="99"/>
    <w:rsid w:val="00952BC7"/>
  </w:style>
  <w:style w:type="character" w:customStyle="1" w:styleId="Bekezdsalapbettpusa10">
    <w:name w:val="Bekezdés alapbet?típusa1"/>
    <w:uiPriority w:val="99"/>
    <w:rsid w:val="00952BC7"/>
  </w:style>
  <w:style w:type="character" w:customStyle="1" w:styleId="WW-Absatz-Standardschriftart">
    <w:name w:val="WW-Absatz-Standardschriftart"/>
    <w:uiPriority w:val="99"/>
    <w:rsid w:val="00952BC7"/>
  </w:style>
  <w:style w:type="character" w:customStyle="1" w:styleId="Bekezdsalap-bettpusa">
    <w:name w:val="Bekezdés alap-bet?típusa"/>
    <w:uiPriority w:val="99"/>
    <w:rsid w:val="00952BC7"/>
  </w:style>
  <w:style w:type="character" w:customStyle="1" w:styleId="Jegyzethivatkozs1">
    <w:name w:val="Jegyzethivatkozás1"/>
    <w:uiPriority w:val="99"/>
    <w:rsid w:val="00952BC7"/>
    <w:rPr>
      <w:sz w:val="16"/>
    </w:rPr>
  </w:style>
  <w:style w:type="character" w:customStyle="1" w:styleId="JegyzetszvegChar">
    <w:name w:val="Jegyzetszöveg Char"/>
    <w:uiPriority w:val="99"/>
    <w:rsid w:val="00952BC7"/>
    <w:rPr>
      <w:rFonts w:ascii="Times" w:hAnsi="Times"/>
    </w:rPr>
  </w:style>
  <w:style w:type="character" w:customStyle="1" w:styleId="MegjegyzstrgyaChar">
    <w:name w:val="Megjegyzés tárgya Char"/>
    <w:uiPriority w:val="99"/>
    <w:rsid w:val="00952BC7"/>
    <w:rPr>
      <w:b/>
    </w:rPr>
  </w:style>
  <w:style w:type="character" w:customStyle="1" w:styleId="BuborkszvegChar">
    <w:name w:val="Buborékszöveg Char"/>
    <w:uiPriority w:val="99"/>
    <w:rsid w:val="00952BC7"/>
    <w:rPr>
      <w:rFonts w:ascii="Tahoma" w:hAnsi="Tahoma"/>
      <w:sz w:val="16"/>
    </w:rPr>
  </w:style>
  <w:style w:type="character" w:customStyle="1" w:styleId="Jegyzethivatkozs2">
    <w:name w:val="Jegyzethivatkozás2"/>
    <w:uiPriority w:val="99"/>
    <w:rsid w:val="00952BC7"/>
    <w:rPr>
      <w:sz w:val="16"/>
    </w:rPr>
  </w:style>
  <w:style w:type="character" w:customStyle="1" w:styleId="Szmozsjelek">
    <w:name w:val="Számozásjelek"/>
    <w:uiPriority w:val="99"/>
    <w:rsid w:val="00952BC7"/>
  </w:style>
  <w:style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w:type="character" w:customStyle="1" w:styleId="BodyTextChar">
    <w:name w:val="Body Text Char"/>
    <w:link w:val="BodyText"/>
    <w:uiPriority w:val="99"/>
    <w:locked/>
    <w:rsid w:val="00952BC7"/>
    <w:rPr>
      <w:rFonts w:cs="Times New Roman"/>
      <w:kern w:val="1"/>
      <w:lang w:val="el-GR" w:eastAsia="el-GR" w:bidi="el-GR"/>
    </w:rPr>
  </w:style>
  <w:style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w:type="paragraph" w:customStyle="1" w:styleId="Kerettartalom">
    <w:name w:val="Kerettartalom"/>
    <w:basedOn w:val="BodyText"/>
    <w:uiPriority w:val="99"/>
    <w:rsid w:val="00952BC7"/>
  </w:style>
  <w:style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rPr>
  </w:style>
  <w:style w:type="character" w:customStyle="1" w:styleId="BalloonTextChar">
    <w:name w:val="Balloon Text Char"/>
    <w:link w:val="BalloonText"/>
    <w:uiPriority w:val="99"/>
    <w:locked/>
    <w:rsid w:val="00952BC7"/>
    <w:rPr>
      <w:rFonts w:ascii="Tahoma" w:hAnsi="Tahoma" w:cs="Tahoma"/>
      <w:kern w:val="1"/>
      <w:sz w:val="16"/>
      <w:szCs w:val="16"/>
    </w:rPr>
  </w:style>
  <w:style w:type="character" w:styleId="CommentReference">
    <w:name w:val="annotation reference"/>
    <w:uiPriority w:val="99"/>
    <w:rsid w:val="00952BC7"/>
    <w:rPr>
      <w:rFonts w:cs="Times New Roman"/>
      <w:sz w:val="16"/>
      <w:szCs w:val="16"/>
    </w:rPr>
  </w:style>
  <w:style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rPr>
  </w:style>
  <w:style w:type="character" w:customStyle="1" w:styleId="CommentTextChar">
    <w:name w:val="Comment Text Char"/>
    <w:link w:val="CommentText"/>
    <w:uiPriority w:val="99"/>
    <w:locked/>
    <w:rsid w:val="00952BC7"/>
    <w:rPr>
      <w:rFonts w:ascii="Times" w:hAnsi="Times" w:cs="Times New Roman"/>
      <w:kern w:val="1"/>
    </w:rPr>
  </w:style>
  <w:style w:type="paragraph" w:styleId="CommentSubject">
    <w:name w:val="annotation subject"/>
    <w:basedOn w:val="CommentText"/>
    <w:next w:val="CommentText"/>
    <w:link w:val="CommentSubjectChar"/>
    <w:uiPriority w:val="99"/>
    <w:rsid w:val="00952BC7"/>
    <w:rPr>
      <w:b/>
      <w:bCs/>
    </w:rPr>
  </w:style>
  <w:style w:type="character" w:customStyle="1" w:styleId="CommentSubjectChar">
    <w:name w:val="Comment Subject Char"/>
    <w:link w:val="CommentSubject"/>
    <w:uiPriority w:val="99"/>
    <w:locked/>
    <w:rsid w:val="00952BC7"/>
    <w:rPr>
      <w:rFonts w:ascii="Times" w:hAnsi="Times" w:cs="Times New Roman"/>
      <w:b/>
      <w:bCs/>
      <w:kern w:val="1"/>
    </w:rPr>
  </w:style>
  <w:style w:type="paragraph" w:styleId="Revision">
    <w:name w:val="Revision"/>
    <w:hidden/>
    <w:uiPriority w:val="99"/>
    <w:semiHidden/>
    <w:rsid w:val="00952BC7"/>
    <w:rPr>
      <w:rFonts w:ascii="Times" w:hAnsi="Times"/>
      <w:kern w:val="1"/>
    </w:rPr>
  </w:style>
  <w:style w:type="paragraph" w:customStyle="1" w:styleId="np">
    <w:name w:val="np"/>
    <w:basedOn w:val="Normal"/>
    <w:uiPriority w:val="99"/>
    <w:rsid w:val="00C030FC"/>
    <w:pPr>
      <w:spacing w:before="100" w:beforeAutospacing="1" w:after="100" w:afterAutospacing="1"/>
    </w:pPr>
  </w:style>
  <w:style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rPr>
  </w:style>
  <w:style w:type="character" w:customStyle="1" w:styleId="apple-converted-space">
    <w:name w:val="apple-converted-space"/>
    <w:basedOn w:val="DefaultParagraphFont"/>
    <w:rsid w:val="000F293F"/>
  </w:style>
  <w:style w:type="table" w:styleId="TableGrid">
    <w:name w:val="Table Grid"/>
    <w:basedOn w:val="TableNormal"/>
    <w:uiPriority w:val="59"/>
    <w:locked/>
    <w:rsid w:val="00A2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1">
    <w:name w:val="Élőláb Char1"/>
    <w:uiPriority w:val="99"/>
    <w:rsid w:val="00EB07AE"/>
    <w:rPr>
      <w:sz w:val="24"/>
      <w:szCs w:val="24"/>
      <w:lang w:val="el-GR" w:eastAsia="el-GR"/>
    </w:rPr>
  </w:style>
  <w:style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007615"/>
    <w:rPr>
      <w:rFonts w:ascii="Calibri" w:eastAsia="Calibri" w:hAnsi="Calibri"/>
      <w:lang w:eastAsia="el-GR"/>
    </w:rPr>
  </w:style>
  <w:style w:type="character" w:styleId="FootnoteReference">
    <w:name w:val="footnote reference"/>
    <w:uiPriority w:val="99"/>
    <w:unhideWhenUsed/>
    <w:locked/>
    <w:rsid w:val="00007615"/>
    <w:rPr>
      <w:vertAlign w:val="superscript"/>
    </w:rPr>
  </w:style>
  <w:style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rPr>
  </w:style>
  <w:style w:type="paragraph" w:styleId="NoSpacing">
    <w:name w:val="No Spacing"/>
    <w:link w:val="NoSpacingChar"/>
    <w:uiPriority w:val="1"/>
    <w:qFormat/>
    <w:rsid w:val="00007615"/>
    <w:rPr>
      <w:rFonts w:ascii="Calibri" w:eastAsia="Calibri" w:hAnsi="Calibri"/>
      <w:sz w:val="22"/>
      <w:szCs w:val="22"/>
    </w:rPr>
  </w:style>
  <w:style w:type="paragraph" w:customStyle="1" w:styleId="Norml1">
    <w:name w:val="Normál1"/>
    <w:basedOn w:val="Normal"/>
    <w:rsid w:val="00007615"/>
    <w:pPr>
      <w:spacing w:before="120"/>
      <w:jc w:val="both"/>
    </w:pPr>
  </w:style>
  <w:style w:type="paragraph" w:customStyle="1" w:styleId="Norml11">
    <w:name w:val="Normál11"/>
    <w:basedOn w:val="Normal"/>
    <w:rsid w:val="004315B4"/>
    <w:pPr>
      <w:spacing w:before="120"/>
      <w:jc w:val="both"/>
    </w:pPr>
  </w:style>
  <w:style w:type="paragraph" w:customStyle="1" w:styleId="Pont">
    <w:name w:val="Pont"/>
    <w:basedOn w:val="Normal"/>
    <w:qFormat/>
    <w:rsid w:val="005B4A47"/>
    <w:pPr>
      <w:numPr>
        <w:numId w:val="7"/>
      </w:numPr>
      <w:spacing w:before="200" w:after="200"/>
      <w:jc w:val="both"/>
    </w:pPr>
    <w:rPr>
      <w:rFonts w:eastAsia="Calibri"/>
      <w:szCs w:val="22"/>
    </w:rPr>
  </w:style>
  <w:style w:type="numbering" w:customStyle="1" w:styleId="Hatrozat">
    <w:name w:val="Határozat"/>
    <w:uiPriority w:val="99"/>
    <w:rsid w:val="005B4A47"/>
    <w:pPr>
      <w:numPr>
        <w:numId w:val="7"/>
      </w:numPr>
    </w:pPr>
  </w:style>
  <w:style w:type="paragraph" w:customStyle="1" w:styleId="Szveg">
    <w:name w:val="Szöveg"/>
    <w:basedOn w:val="Normal"/>
    <w:qFormat/>
    <w:rsid w:val="005B4A47"/>
    <w:pPr>
      <w:spacing w:before="200" w:after="200"/>
      <w:jc w:val="both"/>
    </w:pPr>
    <w:rPr>
      <w:rFonts w:eastAsia="Calibri"/>
      <w:sz w:val="22"/>
      <w:szCs w:val="22"/>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w:type="character" w:customStyle="1" w:styleId="NoSpacingChar">
    <w:name w:val="No Spacing Char"/>
    <w:link w:val="NoSpacing"/>
    <w:uiPriority w:val="1"/>
    <w:rsid w:val="00260F2B"/>
    <w:rPr>
      <w:rFonts w:ascii="Calibri" w:eastAsia="Calibri" w:hAnsi="Calibri"/>
      <w:sz w:val="22"/>
      <w:szCs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50">
      <w:bodyDiv w:val="1"/>
      <w:marLeft w:val="0"/>
      <w:marRight w:val="0"/>
      <w:marTop w:val="0"/>
      <w:marBottom w:val="0"/>
      <w:divBdr>
        <w:top w:val="none" w:sz="0" w:space="0" w:color="auto"/>
        <w:left w:val="none" w:sz="0" w:space="0" w:color="auto"/>
        <w:bottom w:val="none" w:sz="0" w:space="0" w:color="auto"/>
        <w:right w:val="none" w:sz="0" w:space="0" w:color="auto"/>
      </w:divBdr>
    </w:div>
    <w:div w:id="39473991">
      <w:bodyDiv w:val="1"/>
      <w:marLeft w:val="0"/>
      <w:marRight w:val="0"/>
      <w:marTop w:val="0"/>
      <w:marBottom w:val="0"/>
      <w:divBdr>
        <w:top w:val="none" w:sz="0" w:space="0" w:color="auto"/>
        <w:left w:val="none" w:sz="0" w:space="0" w:color="auto"/>
        <w:bottom w:val="none" w:sz="0" w:space="0" w:color="auto"/>
        <w:right w:val="none" w:sz="0" w:space="0" w:color="auto"/>
      </w:divBdr>
    </w:div>
    <w:div w:id="45877329">
      <w:bodyDiv w:val="1"/>
      <w:marLeft w:val="0"/>
      <w:marRight w:val="0"/>
      <w:marTop w:val="0"/>
      <w:marBottom w:val="0"/>
      <w:divBdr>
        <w:top w:val="none" w:sz="0" w:space="0" w:color="auto"/>
        <w:left w:val="none" w:sz="0" w:space="0" w:color="auto"/>
        <w:bottom w:val="none" w:sz="0" w:space="0" w:color="auto"/>
        <w:right w:val="none" w:sz="0" w:space="0" w:color="auto"/>
      </w:divBdr>
    </w:div>
    <w:div w:id="118762219">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177888772">
      <w:bodyDiv w:val="1"/>
      <w:marLeft w:val="0"/>
      <w:marRight w:val="0"/>
      <w:marTop w:val="0"/>
      <w:marBottom w:val="0"/>
      <w:divBdr>
        <w:top w:val="none" w:sz="0" w:space="0" w:color="auto"/>
        <w:left w:val="none" w:sz="0" w:space="0" w:color="auto"/>
        <w:bottom w:val="none" w:sz="0" w:space="0" w:color="auto"/>
        <w:right w:val="none" w:sz="0" w:space="0" w:color="auto"/>
      </w:divBdr>
    </w:div>
    <w:div w:id="242879316">
      <w:bodyDiv w:val="1"/>
      <w:marLeft w:val="0"/>
      <w:marRight w:val="0"/>
      <w:marTop w:val="0"/>
      <w:marBottom w:val="0"/>
      <w:divBdr>
        <w:top w:val="none" w:sz="0" w:space="0" w:color="auto"/>
        <w:left w:val="none" w:sz="0" w:space="0" w:color="auto"/>
        <w:bottom w:val="none" w:sz="0" w:space="0" w:color="auto"/>
        <w:right w:val="none" w:sz="0" w:space="0" w:color="auto"/>
      </w:divBdr>
    </w:div>
    <w:div w:id="244345312">
      <w:bodyDiv w:val="1"/>
      <w:marLeft w:val="0"/>
      <w:marRight w:val="0"/>
      <w:marTop w:val="0"/>
      <w:marBottom w:val="0"/>
      <w:divBdr>
        <w:top w:val="none" w:sz="0" w:space="0" w:color="auto"/>
        <w:left w:val="none" w:sz="0" w:space="0" w:color="auto"/>
        <w:bottom w:val="none" w:sz="0" w:space="0" w:color="auto"/>
        <w:right w:val="none" w:sz="0" w:space="0" w:color="auto"/>
      </w:divBdr>
    </w:div>
    <w:div w:id="357659836">
      <w:bodyDiv w:val="1"/>
      <w:marLeft w:val="0"/>
      <w:marRight w:val="0"/>
      <w:marTop w:val="0"/>
      <w:marBottom w:val="0"/>
      <w:divBdr>
        <w:top w:val="none" w:sz="0" w:space="0" w:color="auto"/>
        <w:left w:val="none" w:sz="0" w:space="0" w:color="auto"/>
        <w:bottom w:val="none" w:sz="0" w:space="0" w:color="auto"/>
        <w:right w:val="none" w:sz="0" w:space="0" w:color="auto"/>
      </w:divBdr>
    </w:div>
    <w:div w:id="372197838">
      <w:bodyDiv w:val="1"/>
      <w:marLeft w:val="0"/>
      <w:marRight w:val="0"/>
      <w:marTop w:val="0"/>
      <w:marBottom w:val="0"/>
      <w:divBdr>
        <w:top w:val="none" w:sz="0" w:space="0" w:color="auto"/>
        <w:left w:val="none" w:sz="0" w:space="0" w:color="auto"/>
        <w:bottom w:val="none" w:sz="0" w:space="0" w:color="auto"/>
        <w:right w:val="none" w:sz="0" w:space="0" w:color="auto"/>
      </w:divBdr>
    </w:div>
    <w:div w:id="375738171">
      <w:bodyDiv w:val="1"/>
      <w:marLeft w:val="0"/>
      <w:marRight w:val="0"/>
      <w:marTop w:val="0"/>
      <w:marBottom w:val="0"/>
      <w:divBdr>
        <w:top w:val="none" w:sz="0" w:space="0" w:color="auto"/>
        <w:left w:val="none" w:sz="0" w:space="0" w:color="auto"/>
        <w:bottom w:val="none" w:sz="0" w:space="0" w:color="auto"/>
        <w:right w:val="none" w:sz="0" w:space="0" w:color="auto"/>
      </w:divBdr>
    </w:div>
    <w:div w:id="482308959">
      <w:bodyDiv w:val="1"/>
      <w:marLeft w:val="0"/>
      <w:marRight w:val="0"/>
      <w:marTop w:val="0"/>
      <w:marBottom w:val="0"/>
      <w:divBdr>
        <w:top w:val="none" w:sz="0" w:space="0" w:color="auto"/>
        <w:left w:val="none" w:sz="0" w:space="0" w:color="auto"/>
        <w:bottom w:val="none" w:sz="0" w:space="0" w:color="auto"/>
        <w:right w:val="none" w:sz="0" w:space="0" w:color="auto"/>
      </w:divBdr>
    </w:div>
    <w:div w:id="527253673">
      <w:bodyDiv w:val="1"/>
      <w:marLeft w:val="0"/>
      <w:marRight w:val="0"/>
      <w:marTop w:val="0"/>
      <w:marBottom w:val="0"/>
      <w:divBdr>
        <w:top w:val="none" w:sz="0" w:space="0" w:color="auto"/>
        <w:left w:val="none" w:sz="0" w:space="0" w:color="auto"/>
        <w:bottom w:val="none" w:sz="0" w:space="0" w:color="auto"/>
        <w:right w:val="none" w:sz="0" w:space="0" w:color="auto"/>
      </w:divBdr>
    </w:div>
    <w:div w:id="569849137">
      <w:bodyDiv w:val="1"/>
      <w:marLeft w:val="0"/>
      <w:marRight w:val="0"/>
      <w:marTop w:val="0"/>
      <w:marBottom w:val="0"/>
      <w:divBdr>
        <w:top w:val="none" w:sz="0" w:space="0" w:color="auto"/>
        <w:left w:val="none" w:sz="0" w:space="0" w:color="auto"/>
        <w:bottom w:val="none" w:sz="0" w:space="0" w:color="auto"/>
        <w:right w:val="none" w:sz="0" w:space="0" w:color="auto"/>
      </w:divBdr>
    </w:div>
    <w:div w:id="662661612">
      <w:bodyDiv w:val="1"/>
      <w:marLeft w:val="0"/>
      <w:marRight w:val="0"/>
      <w:marTop w:val="0"/>
      <w:marBottom w:val="0"/>
      <w:divBdr>
        <w:top w:val="none" w:sz="0" w:space="0" w:color="auto"/>
        <w:left w:val="none" w:sz="0" w:space="0" w:color="auto"/>
        <w:bottom w:val="none" w:sz="0" w:space="0" w:color="auto"/>
        <w:right w:val="none" w:sz="0" w:space="0" w:color="auto"/>
      </w:divBdr>
    </w:div>
    <w:div w:id="669068107">
      <w:bodyDiv w:val="1"/>
      <w:marLeft w:val="0"/>
      <w:marRight w:val="0"/>
      <w:marTop w:val="0"/>
      <w:marBottom w:val="0"/>
      <w:divBdr>
        <w:top w:val="none" w:sz="0" w:space="0" w:color="auto"/>
        <w:left w:val="none" w:sz="0" w:space="0" w:color="auto"/>
        <w:bottom w:val="none" w:sz="0" w:space="0" w:color="auto"/>
        <w:right w:val="none" w:sz="0" w:space="0" w:color="auto"/>
      </w:divBdr>
    </w:div>
    <w:div w:id="702481837">
      <w:bodyDiv w:val="1"/>
      <w:marLeft w:val="0"/>
      <w:marRight w:val="0"/>
      <w:marTop w:val="0"/>
      <w:marBottom w:val="0"/>
      <w:divBdr>
        <w:top w:val="none" w:sz="0" w:space="0" w:color="auto"/>
        <w:left w:val="none" w:sz="0" w:space="0" w:color="auto"/>
        <w:bottom w:val="none" w:sz="0" w:space="0" w:color="auto"/>
        <w:right w:val="none" w:sz="0" w:space="0" w:color="auto"/>
      </w:divBdr>
    </w:div>
    <w:div w:id="760490768">
      <w:bodyDiv w:val="1"/>
      <w:marLeft w:val="0"/>
      <w:marRight w:val="0"/>
      <w:marTop w:val="0"/>
      <w:marBottom w:val="0"/>
      <w:divBdr>
        <w:top w:val="none" w:sz="0" w:space="0" w:color="auto"/>
        <w:left w:val="none" w:sz="0" w:space="0" w:color="auto"/>
        <w:bottom w:val="none" w:sz="0" w:space="0" w:color="auto"/>
        <w:right w:val="none" w:sz="0" w:space="0" w:color="auto"/>
      </w:divBdr>
    </w:div>
    <w:div w:id="829101594">
      <w:bodyDiv w:val="1"/>
      <w:marLeft w:val="0"/>
      <w:marRight w:val="0"/>
      <w:marTop w:val="0"/>
      <w:marBottom w:val="0"/>
      <w:divBdr>
        <w:top w:val="none" w:sz="0" w:space="0" w:color="auto"/>
        <w:left w:val="none" w:sz="0" w:space="0" w:color="auto"/>
        <w:bottom w:val="none" w:sz="0" w:space="0" w:color="auto"/>
        <w:right w:val="none" w:sz="0" w:space="0" w:color="auto"/>
      </w:divBdr>
    </w:div>
    <w:div w:id="846406607">
      <w:bodyDiv w:val="1"/>
      <w:marLeft w:val="0"/>
      <w:marRight w:val="0"/>
      <w:marTop w:val="0"/>
      <w:marBottom w:val="0"/>
      <w:divBdr>
        <w:top w:val="none" w:sz="0" w:space="0" w:color="auto"/>
        <w:left w:val="none" w:sz="0" w:space="0" w:color="auto"/>
        <w:bottom w:val="none" w:sz="0" w:space="0" w:color="auto"/>
        <w:right w:val="none" w:sz="0" w:space="0" w:color="auto"/>
      </w:divBdr>
    </w:div>
    <w:div w:id="868877482">
      <w:bodyDiv w:val="1"/>
      <w:marLeft w:val="0"/>
      <w:marRight w:val="0"/>
      <w:marTop w:val="0"/>
      <w:marBottom w:val="0"/>
      <w:divBdr>
        <w:top w:val="none" w:sz="0" w:space="0" w:color="auto"/>
        <w:left w:val="none" w:sz="0" w:space="0" w:color="auto"/>
        <w:bottom w:val="none" w:sz="0" w:space="0" w:color="auto"/>
        <w:right w:val="none" w:sz="0" w:space="0" w:color="auto"/>
      </w:divBdr>
    </w:div>
    <w:div w:id="906915688">
      <w:bodyDiv w:val="1"/>
      <w:marLeft w:val="0"/>
      <w:marRight w:val="0"/>
      <w:marTop w:val="0"/>
      <w:marBottom w:val="0"/>
      <w:divBdr>
        <w:top w:val="none" w:sz="0" w:space="0" w:color="auto"/>
        <w:left w:val="none" w:sz="0" w:space="0" w:color="auto"/>
        <w:bottom w:val="none" w:sz="0" w:space="0" w:color="auto"/>
        <w:right w:val="none" w:sz="0" w:space="0" w:color="auto"/>
      </w:divBdr>
    </w:div>
    <w:div w:id="913247504">
      <w:bodyDiv w:val="1"/>
      <w:marLeft w:val="0"/>
      <w:marRight w:val="0"/>
      <w:marTop w:val="0"/>
      <w:marBottom w:val="0"/>
      <w:divBdr>
        <w:top w:val="none" w:sz="0" w:space="0" w:color="auto"/>
        <w:left w:val="none" w:sz="0" w:space="0" w:color="auto"/>
        <w:bottom w:val="none" w:sz="0" w:space="0" w:color="auto"/>
        <w:right w:val="none" w:sz="0" w:space="0" w:color="auto"/>
      </w:divBdr>
    </w:div>
    <w:div w:id="946890061">
      <w:bodyDiv w:val="1"/>
      <w:marLeft w:val="0"/>
      <w:marRight w:val="0"/>
      <w:marTop w:val="0"/>
      <w:marBottom w:val="0"/>
      <w:divBdr>
        <w:top w:val="none" w:sz="0" w:space="0" w:color="auto"/>
        <w:left w:val="none" w:sz="0" w:space="0" w:color="auto"/>
        <w:bottom w:val="none" w:sz="0" w:space="0" w:color="auto"/>
        <w:right w:val="none" w:sz="0" w:space="0" w:color="auto"/>
      </w:divBdr>
    </w:div>
    <w:div w:id="948505828">
      <w:bodyDiv w:val="1"/>
      <w:marLeft w:val="0"/>
      <w:marRight w:val="0"/>
      <w:marTop w:val="0"/>
      <w:marBottom w:val="0"/>
      <w:divBdr>
        <w:top w:val="none" w:sz="0" w:space="0" w:color="auto"/>
        <w:left w:val="none" w:sz="0" w:space="0" w:color="auto"/>
        <w:bottom w:val="none" w:sz="0" w:space="0" w:color="auto"/>
        <w:right w:val="none" w:sz="0" w:space="0" w:color="auto"/>
      </w:divBdr>
    </w:div>
    <w:div w:id="981158289">
      <w:bodyDiv w:val="1"/>
      <w:marLeft w:val="0"/>
      <w:marRight w:val="0"/>
      <w:marTop w:val="0"/>
      <w:marBottom w:val="0"/>
      <w:divBdr>
        <w:top w:val="none" w:sz="0" w:space="0" w:color="auto"/>
        <w:left w:val="none" w:sz="0" w:space="0" w:color="auto"/>
        <w:bottom w:val="none" w:sz="0" w:space="0" w:color="auto"/>
        <w:right w:val="none" w:sz="0" w:space="0" w:color="auto"/>
      </w:divBdr>
    </w:div>
    <w:div w:id="1122531965">
      <w:bodyDiv w:val="1"/>
      <w:marLeft w:val="0"/>
      <w:marRight w:val="0"/>
      <w:marTop w:val="0"/>
      <w:marBottom w:val="0"/>
      <w:divBdr>
        <w:top w:val="none" w:sz="0" w:space="0" w:color="auto"/>
        <w:left w:val="none" w:sz="0" w:space="0" w:color="auto"/>
        <w:bottom w:val="none" w:sz="0" w:space="0" w:color="auto"/>
        <w:right w:val="none" w:sz="0" w:space="0" w:color="auto"/>
      </w:divBdr>
    </w:div>
    <w:div w:id="1251697739">
      <w:bodyDiv w:val="1"/>
      <w:marLeft w:val="0"/>
      <w:marRight w:val="0"/>
      <w:marTop w:val="0"/>
      <w:marBottom w:val="0"/>
      <w:divBdr>
        <w:top w:val="none" w:sz="0" w:space="0" w:color="auto"/>
        <w:left w:val="none" w:sz="0" w:space="0" w:color="auto"/>
        <w:bottom w:val="none" w:sz="0" w:space="0" w:color="auto"/>
        <w:right w:val="none" w:sz="0" w:space="0" w:color="auto"/>
      </w:divBdr>
    </w:div>
    <w:div w:id="1254170213">
      <w:bodyDiv w:val="1"/>
      <w:marLeft w:val="0"/>
      <w:marRight w:val="0"/>
      <w:marTop w:val="0"/>
      <w:marBottom w:val="0"/>
      <w:divBdr>
        <w:top w:val="none" w:sz="0" w:space="0" w:color="auto"/>
        <w:left w:val="none" w:sz="0" w:space="0" w:color="auto"/>
        <w:bottom w:val="none" w:sz="0" w:space="0" w:color="auto"/>
        <w:right w:val="none" w:sz="0" w:space="0" w:color="auto"/>
      </w:divBdr>
    </w:div>
    <w:div w:id="1281916041">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9380595">
      <w:bodyDiv w:val="1"/>
      <w:marLeft w:val="0"/>
      <w:marRight w:val="0"/>
      <w:marTop w:val="0"/>
      <w:marBottom w:val="0"/>
      <w:divBdr>
        <w:top w:val="none" w:sz="0" w:space="0" w:color="auto"/>
        <w:left w:val="none" w:sz="0" w:space="0" w:color="auto"/>
        <w:bottom w:val="none" w:sz="0" w:space="0" w:color="auto"/>
        <w:right w:val="none" w:sz="0" w:space="0" w:color="auto"/>
      </w:divBdr>
    </w:div>
    <w:div w:id="1444569688">
      <w:bodyDiv w:val="1"/>
      <w:marLeft w:val="0"/>
      <w:marRight w:val="0"/>
      <w:marTop w:val="0"/>
      <w:marBottom w:val="0"/>
      <w:divBdr>
        <w:top w:val="none" w:sz="0" w:space="0" w:color="auto"/>
        <w:left w:val="none" w:sz="0" w:space="0" w:color="auto"/>
        <w:bottom w:val="none" w:sz="0" w:space="0" w:color="auto"/>
        <w:right w:val="none" w:sz="0" w:space="0" w:color="auto"/>
      </w:divBdr>
    </w:div>
    <w:div w:id="1477331934">
      <w:bodyDiv w:val="1"/>
      <w:marLeft w:val="0"/>
      <w:marRight w:val="0"/>
      <w:marTop w:val="0"/>
      <w:marBottom w:val="0"/>
      <w:divBdr>
        <w:top w:val="none" w:sz="0" w:space="0" w:color="auto"/>
        <w:left w:val="none" w:sz="0" w:space="0" w:color="auto"/>
        <w:bottom w:val="none" w:sz="0" w:space="0" w:color="auto"/>
        <w:right w:val="none" w:sz="0" w:space="0" w:color="auto"/>
      </w:divBdr>
    </w:div>
    <w:div w:id="1487699413">
      <w:bodyDiv w:val="1"/>
      <w:marLeft w:val="0"/>
      <w:marRight w:val="0"/>
      <w:marTop w:val="0"/>
      <w:marBottom w:val="0"/>
      <w:divBdr>
        <w:top w:val="none" w:sz="0" w:space="0" w:color="auto"/>
        <w:left w:val="none" w:sz="0" w:space="0" w:color="auto"/>
        <w:bottom w:val="none" w:sz="0" w:space="0" w:color="auto"/>
        <w:right w:val="none" w:sz="0" w:space="0" w:color="auto"/>
      </w:divBdr>
    </w:div>
    <w:div w:id="1575512356">
      <w:bodyDiv w:val="1"/>
      <w:marLeft w:val="0"/>
      <w:marRight w:val="0"/>
      <w:marTop w:val="0"/>
      <w:marBottom w:val="0"/>
      <w:divBdr>
        <w:top w:val="none" w:sz="0" w:space="0" w:color="auto"/>
        <w:left w:val="none" w:sz="0" w:space="0" w:color="auto"/>
        <w:bottom w:val="none" w:sz="0" w:space="0" w:color="auto"/>
        <w:right w:val="none" w:sz="0" w:space="0" w:color="auto"/>
      </w:divBdr>
    </w:div>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 w:id="1715036641">
      <w:bodyDiv w:val="1"/>
      <w:marLeft w:val="0"/>
      <w:marRight w:val="0"/>
      <w:marTop w:val="0"/>
      <w:marBottom w:val="0"/>
      <w:divBdr>
        <w:top w:val="none" w:sz="0" w:space="0" w:color="auto"/>
        <w:left w:val="none" w:sz="0" w:space="0" w:color="auto"/>
        <w:bottom w:val="none" w:sz="0" w:space="0" w:color="auto"/>
        <w:right w:val="none" w:sz="0" w:space="0" w:color="auto"/>
      </w:divBdr>
      <w:divsChild>
        <w:div w:id="2054114245">
          <w:marLeft w:val="0"/>
          <w:marRight w:val="0"/>
          <w:marTop w:val="0"/>
          <w:marBottom w:val="0"/>
          <w:divBdr>
            <w:top w:val="none" w:sz="0" w:space="0" w:color="auto"/>
            <w:left w:val="none" w:sz="0" w:space="0" w:color="auto"/>
            <w:bottom w:val="none" w:sz="0" w:space="0" w:color="auto"/>
            <w:right w:val="none" w:sz="0" w:space="0" w:color="auto"/>
          </w:divBdr>
          <w:divsChild>
            <w:div w:id="201207965">
              <w:marLeft w:val="0"/>
              <w:marRight w:val="0"/>
              <w:marTop w:val="0"/>
              <w:marBottom w:val="0"/>
              <w:divBdr>
                <w:top w:val="none" w:sz="0" w:space="0" w:color="auto"/>
                <w:left w:val="none" w:sz="0" w:space="0" w:color="auto"/>
                <w:bottom w:val="none" w:sz="0" w:space="0" w:color="auto"/>
                <w:right w:val="none" w:sz="0" w:space="0" w:color="auto"/>
              </w:divBdr>
              <w:divsChild>
                <w:div w:id="201329001">
                  <w:marLeft w:val="75"/>
                  <w:marRight w:val="0"/>
                  <w:marTop w:val="0"/>
                  <w:marBottom w:val="0"/>
                  <w:divBdr>
                    <w:top w:val="none" w:sz="0" w:space="0" w:color="auto"/>
                    <w:left w:val="none" w:sz="0" w:space="0" w:color="auto"/>
                    <w:bottom w:val="none" w:sz="0" w:space="0" w:color="auto"/>
                    <w:right w:val="none" w:sz="0" w:space="0" w:color="auto"/>
                  </w:divBdr>
                  <w:divsChild>
                    <w:div w:id="184639762">
                      <w:marLeft w:val="0"/>
                      <w:marRight w:val="0"/>
                      <w:marTop w:val="0"/>
                      <w:marBottom w:val="0"/>
                      <w:divBdr>
                        <w:top w:val="none" w:sz="0" w:space="0" w:color="auto"/>
                        <w:left w:val="none" w:sz="0" w:space="0" w:color="auto"/>
                        <w:bottom w:val="none" w:sz="0" w:space="0" w:color="auto"/>
                        <w:right w:val="none" w:sz="0" w:space="0" w:color="auto"/>
                      </w:divBdr>
                      <w:divsChild>
                        <w:div w:id="1352219642">
                          <w:marLeft w:val="0"/>
                          <w:marRight w:val="0"/>
                          <w:marTop w:val="0"/>
                          <w:marBottom w:val="0"/>
                          <w:divBdr>
                            <w:top w:val="none" w:sz="0" w:space="0" w:color="auto"/>
                            <w:left w:val="none" w:sz="0" w:space="0" w:color="auto"/>
                            <w:bottom w:val="none" w:sz="0" w:space="0" w:color="auto"/>
                            <w:right w:val="none" w:sz="0" w:space="0" w:color="auto"/>
                          </w:divBdr>
                          <w:divsChild>
                            <w:div w:id="844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910">
      <w:bodyDiv w:val="1"/>
      <w:marLeft w:val="0"/>
      <w:marRight w:val="0"/>
      <w:marTop w:val="0"/>
      <w:marBottom w:val="0"/>
      <w:divBdr>
        <w:top w:val="none" w:sz="0" w:space="0" w:color="auto"/>
        <w:left w:val="none" w:sz="0" w:space="0" w:color="auto"/>
        <w:bottom w:val="none" w:sz="0" w:space="0" w:color="auto"/>
        <w:right w:val="none" w:sz="0" w:space="0" w:color="auto"/>
      </w:divBdr>
    </w:div>
    <w:div w:id="1862355036">
      <w:bodyDiv w:val="1"/>
      <w:marLeft w:val="0"/>
      <w:marRight w:val="0"/>
      <w:marTop w:val="0"/>
      <w:marBottom w:val="0"/>
      <w:divBdr>
        <w:top w:val="none" w:sz="0" w:space="0" w:color="auto"/>
        <w:left w:val="none" w:sz="0" w:space="0" w:color="auto"/>
        <w:bottom w:val="none" w:sz="0" w:space="0" w:color="auto"/>
        <w:right w:val="none" w:sz="0" w:space="0" w:color="auto"/>
      </w:divBdr>
    </w:div>
    <w:div w:id="1895658671">
      <w:bodyDiv w:val="1"/>
      <w:marLeft w:val="0"/>
      <w:marRight w:val="0"/>
      <w:marTop w:val="0"/>
      <w:marBottom w:val="0"/>
      <w:divBdr>
        <w:top w:val="none" w:sz="0" w:space="0" w:color="auto"/>
        <w:left w:val="none" w:sz="0" w:space="0" w:color="auto"/>
        <w:bottom w:val="none" w:sz="0" w:space="0" w:color="auto"/>
        <w:right w:val="none" w:sz="0" w:space="0" w:color="auto"/>
      </w:divBdr>
    </w:div>
    <w:div w:id="1934892320">
      <w:marLeft w:val="0"/>
      <w:marRight w:val="0"/>
      <w:marTop w:val="0"/>
      <w:marBottom w:val="0"/>
      <w:divBdr>
        <w:top w:val="none" w:sz="0" w:space="0" w:color="auto"/>
        <w:left w:val="none" w:sz="0" w:space="0" w:color="auto"/>
        <w:bottom w:val="none" w:sz="0" w:space="0" w:color="auto"/>
        <w:right w:val="none" w:sz="0" w:space="0" w:color="auto"/>
      </w:divBdr>
    </w:div>
    <w:div w:id="1995063820">
      <w:bodyDiv w:val="1"/>
      <w:marLeft w:val="0"/>
      <w:marRight w:val="0"/>
      <w:marTop w:val="0"/>
      <w:marBottom w:val="0"/>
      <w:divBdr>
        <w:top w:val="none" w:sz="0" w:space="0" w:color="auto"/>
        <w:left w:val="none" w:sz="0" w:space="0" w:color="auto"/>
        <w:bottom w:val="none" w:sz="0" w:space="0" w:color="auto"/>
        <w:right w:val="none" w:sz="0" w:space="0" w:color="auto"/>
      </w:divBdr>
    </w:div>
    <w:div w:id="2002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amas.andreka@am.gov.hu" TargetMode="External"/><Relationship Id="rId1" Type="http://schemas.openxmlformats.org/officeDocument/2006/relationships/hyperlink" Target="mailto:hunor.orban@a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CC4EE-8CCE-41B5-B7C4-A994FBB51352}">
  <ds:schemaRefs>
    <ds:schemaRef ds:uri="http://schemas.openxmlformats.org/officeDocument/2006/bibliography"/>
  </ds:schemaRefs>
</ds:datastoreItem>
</file>

<file path=customXml/itemProps2.xml><?xml version="1.0" encoding="utf-8"?>
<ds:datastoreItem xmlns:ds="http://schemas.openxmlformats.org/officeDocument/2006/customXml" ds:itemID="{4EA947FC-64FC-400A-A1E1-B23DE206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2140</Words>
  <Characters>12204</Characters>
  <Application>Microsoft Office Word</Application>
  <DocSecurity>0</DocSecurity>
  <Lines>101</Lines>
  <Paragraphs>28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Tímea dr.</dc:creator>
  <cp:lastModifiedBy>PETSIMERIS, Christodoulos</cp:lastModifiedBy>
  <cp:revision>6</cp:revision>
  <cp:lastPrinted>2019-06-12T12:18:00Z</cp:lastPrinted>
  <dcterms:created xsi:type="dcterms:W3CDTF">2019-06-25T07:45:00Z</dcterms:created>
  <dcterms:modified xsi:type="dcterms:W3CDTF">2019-07-03T12:01:00Z</dcterms:modified>
</cp:coreProperties>
</file>