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------IND- 2019 0309 HU- IT-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Ministro dell'Agricoltura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jc w:val="center"/>
        <w:rPr>
          <w:b/>
        </w:rPr>
      </w:pPr>
      <w:bookmarkStart w:id="0" w:name="_GoBack"/>
      <w:bookmarkEnd w:id="0"/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 xml:space="preserve">Decreto n. .../2019 del ... </w:t>
      </w:r>
      <w:r>
        <w:rPr>
          <w:b/>
        </w:rPr>
        <w:t xml:space="preserve">.... </w:t>
      </w:r>
      <w:r>
        <w:rPr>
          <w:b/>
        </w:rPr>
        <w:t>2019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</w:rPr>
        <w:t>recante modifica del decreto del ministro dell'Agricoltura n. 53/2017 del 18 ottobre 2017 relativo alle condizioni di funzionamento degli impianti di combustione con una potenza termica nominale totale pari o superiore a 140 kW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ma inferiore a 50 MW</w:t>
      </w:r>
      <w:r>
        <w:rPr>
          <w:rFonts w:eastAsiaTheme="minorHAnsi"/>
          <w:b/>
          <w:vertAlign w:val="subscript"/>
        </w:rPr>
        <w:t>th</w:t>
      </w:r>
      <w:r>
        <w:rPr>
          <w:rFonts w:eastAsiaTheme="minorHAnsi"/>
          <w:b/>
        </w:rPr>
        <w:t xml:space="preserve"> e ai valori limite degli inquinanti atmosferici emessi da tali impianti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>In applicazione dell'autorità conferitami ai sensi dell'articolo 110, paragrafo 8, della legge LIII del 1995 sulle norme generali di protezione ambientale e nell'esercizio delle mie funzioni previste dall'articolo 79, paragrafo 9, del decreto governativo n. 94/2018 del 22 maggio 2018 sui poteri e sulle competenze degli appartenenti al governo, decreto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>Articolo 1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1. All'articolo 2, paragrafo 1, del decreto del ministro dell'Agricoltura n. 53/2017 del 18 ottobre 2017 relativo alle condizioni di funzionamento degli impianti di combustione con una potenza termica nominale totale pari o superiore a 140 kW</w:t>
      </w:r>
      <w:r>
        <w:rPr>
          <w:vertAlign w:val="subscript"/>
        </w:rPr>
        <w:t>th</w:t>
      </w:r>
      <w:r>
        <w:t xml:space="preserve"> ma inferiore a 50 MW</w:t>
      </w:r>
      <w:r>
        <w:rPr>
          <w:vertAlign w:val="subscript"/>
        </w:rPr>
        <w:t>th</w:t>
      </w:r>
      <w:r>
        <w:t xml:space="preserve"> e ai valori limite degli inquinanti atmosferici emessi da tali impianti (in prosieguo "il decreto"), è aggiunto il seguente punto 1a: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>(Ai fini del presente decreto)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"1a) </w:t>
      </w:r>
      <w:r>
        <w:rPr>
          <w:i/>
        </w:rPr>
        <w:t>sistema di trasmissione del gas</w:t>
      </w:r>
      <w:r>
        <w:t>: un sistema cooperativo di gas naturale ai sensi della legge XL del 2008 sul rifornimento di gas naturale;".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2. All'articolo 2, paragrafo 1, del decreto il punto 9 è sostituito da quanto segue: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"9) </w:t>
      </w:r>
      <w:r>
        <w:rPr>
          <w:i/>
        </w:rPr>
        <w:t>potenza termica nominale totale</w:t>
      </w:r>
      <w:r>
        <w:t>: la somma delle potenze termiche nominali degli impianti di combustione calcolata secondo la regola di aggregazione; nel caso di un impianto di combustione è uguale alla sua potenza termica nominale;".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>Articolo 2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1. All'articolo 4 del decreto, i paragrafi 6 e 7 entrano in vigore con la seguente formulazione: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"6. I valori limite di emissione specificati all'allegato 1 si applicano agli impianti di combustione di categoria I con una potenza termica nominale totale pari o superiore a 1 MW</w:t>
      </w:r>
      <w:r>
        <w:rPr>
          <w:vertAlign w:val="subscript"/>
        </w:rPr>
        <w:t>th</w:t>
      </w:r>
      <w:r>
        <w:t>, in funzione per non più di 500 ore di esercizio all'anno come media mobile su un periodo di cinque anni, a eccezione del fatto che il valore limite di emissione per i materiali solidi per gli impianti di combustione alimentati da combustibili provenienti da biomasse solide è di 200 mg/Nm</w:t>
      </w:r>
      <w:r>
        <w:rPr>
          <w:vertAlign w:val="superscript"/>
        </w:rPr>
        <w:t>3</w:t>
      </w:r>
      <w:r>
        <w:t xml:space="preserve"> e il valore limite delle emissioni di monossido di carbonio è di 375 mg/Nm</w:t>
      </w:r>
      <w:r>
        <w:rPr>
          <w:vertAlign w:val="superscript"/>
        </w:rPr>
        <w:t>3</w:t>
      </w:r>
      <w:r>
        <w:t>.</w:t>
      </w:r>
    </w:p>
    <w:p w:rsidR="00287AE1" w:rsidRPr="00D4046D" w:rsidRDefault="00287AE1" w:rsidP="004A4164">
      <w:pPr>
        <w:jc w:val="both"/>
        <w:rPr>
          <w:i/>
        </w:rPr>
      </w:pPr>
      <w:r>
        <w:t>7. Fino al 1° gennaio 2030, i valori limite specificati all'allegato 1 si applicano agli impianti di combustione di categoria I con una potenza termica nominale totale superiore a 5 MW</w:t>
      </w:r>
      <w:r>
        <w:rPr>
          <w:vertAlign w:val="subscript"/>
        </w:rPr>
        <w:t>th</w:t>
      </w:r>
      <w:r>
        <w:t>, dove il 50 % della produzione di calore utile di tali impianti, come media mobile su un periodo di cinque anni, è fornito sotto forma di vapore o acqua calda o tiepida a una rete pubblica per il teleriscaldamento, a eccezione del fatto che il valore limite di emissione dell'anidride solforosa per gli impianti di combustione alimentati da combustibili solidi e liquidi è di 1 100 mg/Nm</w:t>
      </w:r>
      <w:r>
        <w:rPr>
          <w:vertAlign w:val="superscript"/>
        </w:rPr>
        <w:t>3</w:t>
      </w:r>
      <w:r>
        <w:t xml:space="preserve"> e il valore limite di emissione per i materiali solidi per gli impianti di combustione alimentati da combustibili solidi è di 150 mg/Nm</w:t>
      </w:r>
      <w:r>
        <w:rPr>
          <w:vertAlign w:val="superscript"/>
        </w:rPr>
        <w:t>3</w:t>
      </w:r>
      <w:r>
        <w:t>, mentre i valori limite di emissione di monossido di carbonio per gli impianti di combustione alimentati da combustibili provenienti da biomasse solide è di 375 mg/Nm</w:t>
      </w:r>
      <w:r>
        <w:rPr>
          <w:vertAlign w:val="superscript"/>
        </w:rPr>
        <w:t>3</w:t>
      </w:r>
      <w:r>
        <w:t>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2. All'articolo 4 del decreto, il paragrafo 9 entra in vigore con la seguente formulazione: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"9. Fino al 1° gennaio 2030, i valori limite di emissione specificati all'allegato 1 si applicano agli ossidi di azoto provenienti dai motori e dalle turbine a gas di categoria 1, con una potenza termica nominale totale superiore a 5 MW</w:t>
      </w:r>
      <w:r>
        <w:rPr>
          <w:vertAlign w:val="subscript"/>
        </w:rPr>
        <w:t>th</w:t>
      </w:r>
      <w:r>
        <w:t xml:space="preserve"> e utilizzati per il funzionamento di impianti di compressione di gas necessari a garantire la sicurezza e la tutela dei sistemi di trasmissione di gas, a eccezione del fatto che il valore limite di emissione di ossidi di azoto per i motori a gas messi in funzione prima del 1° gennaio 1994 è di 565 mg/Nm</w:t>
      </w:r>
      <w:r>
        <w:rPr>
          <w:vertAlign w:val="superscript"/>
        </w:rPr>
        <w:t>3</w:t>
      </w:r>
      <w:r>
        <w:t>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3. All'articolo 4 del decreto, il paragrafo 10 è sostituito da quanto segue: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"10. I valori limite di emissione specificati all'allegato 1 si applicano agli impianti di combustione di categoria II in funzione per non più di 500 ore di esercizio all'anno come media mobile su un periodo di tre anni, a eccezione del fatto che il valore limite di emissione per i materiali solidi per gli impianti di combustione alimentati da combustibili solidi è di 100 mg/Nm</w:t>
      </w:r>
      <w:r>
        <w:rPr>
          <w:vertAlign w:val="superscript"/>
        </w:rPr>
        <w:t>3</w:t>
      </w:r>
      <w:r>
        <w:t xml:space="preserve"> e il valore limite delle emissioni di monossido di carbonio per gli impianti di combustione con una potenza termica nominale totale pari o superiore a 1 MW</w:t>
      </w:r>
      <w:r>
        <w:rPr>
          <w:vertAlign w:val="subscript"/>
        </w:rPr>
        <w:t>th</w:t>
      </w:r>
      <w:r>
        <w:t xml:space="preserve"> alimentati da combustibili provenienti da biomasse solide è di 375 mg/Nm</w:t>
      </w:r>
      <w:r>
        <w:rPr>
          <w:vertAlign w:val="subscript"/>
        </w:rPr>
        <w:t>3</w:t>
      </w:r>
      <w:r>
        <w:t>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4. All'articolo 4 del decreto, il paragrafo 13 è sostituito da quanto segue: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>"13. In caso di motori fissi, non si applicano valori limite di emissione a: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a)</w:t>
      </w:r>
      <w:r>
        <w:t xml:space="preserve"> motori con una potenza termica nominale inferiore a 1 MW</w:t>
      </w:r>
      <w:r>
        <w:rPr>
          <w:vertAlign w:val="subscript"/>
        </w:rPr>
        <w:t>th</w:t>
      </w:r>
      <w:r>
        <w:t xml:space="preserve"> il cui consumo di carburante è inferiore a 50 kg/h, e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b)</w:t>
      </w:r>
      <w:r>
        <w:t xml:space="preserve"> motori fissi dotati di un'alimentazione elettrica di emergenza, in funzione per meno di 50 ore all'anno."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>Articolo 3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All'articolo 12 del decreto, i paragrafi 2 e 3 sono sostituiti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>"2. Fino al 31 dicembre 2029, i valori limite di emissione specificati all'allegato 1 si applicano agli impianti di combustione di categoria I con una potenza termica nominale totale pari o superiore a 1 MW</w:t>
      </w:r>
      <w:r>
        <w:rPr>
          <w:vertAlign w:val="subscript"/>
        </w:rPr>
        <w:t>th</w:t>
      </w:r>
      <w:r>
        <w:t xml:space="preserve"> ma inferiore a 5 MW</w:t>
      </w:r>
      <w:r>
        <w:rPr>
          <w:vertAlign w:val="subscript"/>
        </w:rPr>
        <w:t>th</w:t>
      </w:r>
      <w:r>
        <w:t xml:space="preserve">, con le seguenti eccezioni: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per la combustione di biomassa solida, il valore limite di emissione di monossido di carbonio è di 375 mg/Nm</w:t>
      </w:r>
      <w:r>
        <w:rPr>
          <w:vertAlign w:val="superscript"/>
        </w:rPr>
        <w:t>3</w:t>
      </w:r>
      <w:r>
        <w:t>,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per i motori a gas messi in funzione prima del 1° gennaio 1994 con una potenza termica nominale totale superiore a 3 MW</w:t>
      </w:r>
      <w:r>
        <w:rPr>
          <w:vertAlign w:val="subscript"/>
        </w:rPr>
        <w:t>th</w:t>
      </w:r>
      <w:r>
        <w:t xml:space="preserve"> il valore limite di emissione degli ossidi di azoto è di 565 mg/Nm</w:t>
      </w:r>
      <w:r>
        <w:rPr>
          <w:vertAlign w:val="superscript"/>
        </w:rPr>
        <w:t>3</w:t>
      </w:r>
      <w:r>
        <w:t>, il valore limite di emissione di monossido di carbonio per motori a quattro tempi è di 375 mg/Nm</w:t>
      </w:r>
      <w:r>
        <w:rPr>
          <w:vertAlign w:val="superscript"/>
        </w:rPr>
        <w:t>3</w:t>
      </w:r>
      <w:r>
        <w:t>, per motori a due tempi è di 320 mg/Nm</w:t>
      </w:r>
      <w:r>
        <w:rPr>
          <w:vertAlign w:val="superscript"/>
        </w:rPr>
        <w:t>3</w:t>
      </w:r>
      <w:r>
        <w:t xml:space="preserve"> e per i composti organici totali indicati come C (carbonio), ad eccezione del metano, il valore limite di emissione è di 115 mg/Nm</w:t>
      </w:r>
      <w:r>
        <w:rPr>
          <w:vertAlign w:val="superscript"/>
        </w:rPr>
        <w:t>3</w:t>
      </w:r>
      <w:r>
        <w:t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>3. Fino al 31 dicembre 2024, i valori limite di emissione specificati all'allegato 1 si applicano agli impianti di combustione di categoria I con una potenza termica nominale totale superiore a 5 MW</w:t>
      </w:r>
      <w:r>
        <w:rPr>
          <w:vertAlign w:val="subscript"/>
        </w:rPr>
        <w:t>th</w:t>
      </w:r>
      <w:r>
        <w:t>, con le seguenti eccezioni: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per la combustione di biomassa solida, il valore limite di emissione di monossido di carbonio è di 375 mg/Nm</w:t>
      </w:r>
      <w:r>
        <w:rPr>
          <w:vertAlign w:val="superscript"/>
        </w:rPr>
        <w:t>3</w:t>
      </w:r>
      <w:r>
        <w:t>,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per i motori a gas messi in funzione prima del 1° gennaio 1994 il valore limite di emissione degli ossidi di azoto è di 565 mg/Nm</w:t>
      </w:r>
      <w:r>
        <w:rPr>
          <w:vertAlign w:val="superscript"/>
        </w:rPr>
        <w:t>3</w:t>
      </w:r>
      <w:r>
        <w:t>, il valore limite di emissione di monossido di carbonio per motori a quattro tempi è di 375 mg/Nm</w:t>
      </w:r>
      <w:r>
        <w:rPr>
          <w:vertAlign w:val="superscript"/>
        </w:rPr>
        <w:t>3</w:t>
      </w:r>
      <w:r>
        <w:t>, per motori a due tempi è di 320 mg/Nm</w:t>
      </w:r>
      <w:r>
        <w:rPr>
          <w:vertAlign w:val="superscript"/>
        </w:rPr>
        <w:t>3</w:t>
      </w:r>
      <w:r>
        <w:t xml:space="preserve"> e per i composti organici totali indicati come C (carbonio), ad eccezione del metano, il valore limite di emissione è di 115 mg/Nm</w:t>
      </w:r>
      <w:r>
        <w:rPr>
          <w:vertAlign w:val="superscript"/>
        </w:rPr>
        <w:t>3</w:t>
      </w:r>
      <w:r>
        <w:t>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Articolo 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1. L'allegato 1 del decreto è modificato conformemente all'allegato 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2. L'allegato 2 del decreto entra in vigore conformemente all'allegato 2.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3. L'allegato 3 del decreto entra in vigore conformemente all'allegato 3.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4. L'allegato 4 del decreto è modificato conformemente all'allegato 4.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5. L'allegato 5 del decreto è modificato conformemente all'allegato 5.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Articolo 5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>All'allegato 4 del decreto, il punto 3.4 è abrogato.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Articolo 6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Fatta eccezione per quanto disposto ai paragrafi 2 e 3, il presente decreto entra in vigore il quindicesimo giorno successivo alla sua pubblicazione.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2. L'articolo 2, paragrafi 1 e 2, l'articolo 4, paragrafo 3, e l'allegato 3 entrano in vigore il 1° gennaio 2025.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3. L'articolo 4, paragrafo 2, e l'allegato 2 entrano in vigore il 1° gennaio 2030.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>Articolo 7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1. Il presente decreto ha come finalità la conformità alla direttiva (UE) 2015/2193 del Parlamento europeo e del Consiglio, del 25 novembre 2015, relativa alla limitazione delle emissioni nell'atmosfera di taluni inquinanti originati da impianti di combustione medi.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2. Il requisito della preventiva notifica del presente decreto, come previsto agli articoli da 5 a 7 della direttiva (UE) 2015/1535 del Parlamento europeo e del Consiglio, del 9 settembre 2015, che prevede una procedura d'informazione nel settore delle regolamentazioni tecniche e delle regole relative ai servizi della società dell'informazione, è stato soddisfatto.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16094" w:rsidRPr="00D4046D" w:rsidRDefault="00716094" w:rsidP="004A4164">
      <w:pPr/>
    </w:p>
    <w:p w:rsidR="00115E21" w:rsidRPr="000B1A9E" w:rsidRDefault="00115E21" w:rsidP="004A4164">
      <w:r>
        <w:t>Budapest, [giorno] giugno 2019."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5E21" w:rsidRPr="00832B17" w:rsidRDefault="00115E21" w:rsidP="004A4164">
      <w:pPr/>
    </w:p>
    <w:p w:rsidR="004A4164" w:rsidRDefault="002125C2" w:rsidP="004A4164">
      <w:pPr>
        <w:ind w:left="6379"/>
      </w:pPr>
      <w:r>
        <w:t>Dr. István Nagy</w:t>
      </w:r>
    </w:p>
    <w:p w:rsidR="004A4164" w:rsidRPr="004A4164" w:rsidRDefault="004A4164" w:rsidP="004A4164">
      <w:pPr>
        <w:ind w:left="6379"/>
      </w:pPr>
      <w:r>
        <w:rPr>
          <w:i/>
        </w:rPr>
        <w:t>Ministro dell'Agricoltura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Allegato 1 al decreto n. .../2019 del ... </w:t>
      </w:r>
      <w:r>
        <w:rPr>
          <w:i/>
        </w:rPr>
        <w:t xml:space="preserve">... </w:t>
      </w:r>
      <w:r>
        <w:rPr>
          <w:i/>
        </w:rPr>
        <w:t>2019 del ministro dell'Agricoltura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keepNext/>
        <w:keepLines/>
        <w:autoSpaceDE w:val="0"/>
        <w:autoSpaceDN w:val="0"/>
        <w:adjustRightInd w:val="0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 xml:space="preserve">1. </w:t>
      </w:r>
      <w:r>
        <w:t>All'allegato 1 del decreto, il punto 2.3 è sostituito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"2.3. Il valore limite di emissione di NO</w:t>
      </w:r>
      <w:r>
        <w:rPr>
          <w:vertAlign w:val="subscript"/>
        </w:rPr>
        <w:t>x</w:t>
      </w:r>
      <w:r>
        <w:t xml:space="preserve"> è di 320 mg/m</w:t>
      </w:r>
      <w:r>
        <w:rPr>
          <w:vertAlign w:val="superscript"/>
        </w:rPr>
        <w:t>3</w:t>
      </w:r>
      <w:r>
        <w:t xml:space="preserve"> per la combustione di lignite, di 300 mg/m</w:t>
      </w:r>
      <w:r>
        <w:rPr>
          <w:vertAlign w:val="superscript"/>
        </w:rPr>
        <w:t>3</w:t>
      </w:r>
      <w:r>
        <w:t xml:space="preserve"> per le caldaie a combustibile liquido alimentate da combustibili provenienti da biomasse solide e di 210 mg/m</w:t>
      </w:r>
      <w:r>
        <w:rPr>
          <w:vertAlign w:val="superscript"/>
        </w:rPr>
        <w:t>3</w:t>
      </w:r>
      <w:r>
        <w:t xml:space="preserve"> per le caldaie a combustibile liquido alimentate da altri combustibili solidi."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 </w:t>
      </w:r>
      <w:r>
        <w:t>All'allegato 1 del decreto, il punto 3.1 è sostituito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>"3.1. Il valore limite di emissione di NO</w:t>
      </w:r>
      <w:r>
        <w:rPr>
          <w:vertAlign w:val="subscript"/>
        </w:rPr>
        <w:t>x</w:t>
      </w:r>
      <w:r>
        <w:t xml:space="preserve"> è di 300 mg/m</w:t>
      </w:r>
      <w:r>
        <w:rPr>
          <w:vertAlign w:val="superscript"/>
        </w:rPr>
        <w:t>3</w:t>
      </w:r>
      <w:r>
        <w:t xml:space="preserve"> per motori a due tempi, di 225 mg/m</w:t>
      </w:r>
      <w:r>
        <w:rPr>
          <w:vertAlign w:val="superscript"/>
        </w:rPr>
        <w:t>3</w:t>
      </w:r>
      <w:r>
        <w:t xml:space="preserve"> per motori a gas a quattro tempi alimentati da biogas e gas di discarica, di 1 650 mg/m</w:t>
      </w:r>
      <w:r>
        <w:rPr>
          <w:vertAlign w:val="superscript"/>
        </w:rPr>
        <w:t>3</w:t>
      </w:r>
      <w:r>
        <w:t xml:space="preserve"> per motori diesel utilizzati esclusivamente per trivellazioni esplorative e di 1 500 mg/m</w:t>
      </w:r>
      <w:r>
        <w:rPr>
          <w:vertAlign w:val="superscript"/>
        </w:rPr>
        <w:t>3</w:t>
      </w:r>
      <w:r>
        <w:t xml:space="preserve"> per altri motori diesel."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0D9" w:rsidRDefault="00C060D9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</w:t>
      </w:r>
      <w:r>
        <w:t xml:space="preserve">All'allegato 1 del decreto è aggiunto il seguente punto 3.4: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>"3.4. Il valore limite di emissione di TOC per motori a gas che utilizzano gas naturale con un tenore di etano superiore al 5 % è di 95 mg/m</w:t>
      </w:r>
      <w:r>
        <w:rPr>
          <w:vertAlign w:val="superscript"/>
        </w:rPr>
        <w:t>3</w:t>
      </w:r>
      <w:r>
        <w:t>."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Allegato 2 al decreto n. .../2019 del ... </w:t>
      </w:r>
      <w:r>
        <w:rPr>
          <w:i/>
        </w:rPr>
        <w:t xml:space="preserve">... </w:t>
      </w:r>
      <w:r>
        <w:rPr>
          <w:i/>
        </w:rPr>
        <w:t>2019 del ministro dell'Agricoltura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keepNext/>
        <w:keepLines/>
        <w:autoSpaceDE w:val="0"/>
        <w:autoSpaceDN w:val="0"/>
        <w:adjustRightInd w:val="0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1. </w:t>
      </w:r>
      <w:r>
        <w:t>All'allegato 2 del decreto, punto 2, nella cella B:5 della tabella "1 500" è sostituito da "375".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 xml:space="preserve">2. </w:t>
      </w:r>
      <w:r>
        <w:t>All'allegato 2 del decreto, il punto 2.5 entra in vigore con la seguente formulazione: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"2.5. Il valore limite di emissione di NO</w:t>
      </w:r>
      <w:r>
        <w:rPr>
          <w:vertAlign w:val="subscript"/>
        </w:rPr>
        <w:t>x</w:t>
      </w:r>
      <w:r>
        <w:t xml:space="preserve"> è di 320 mg/Nm</w:t>
      </w:r>
      <w:r>
        <w:rPr>
          <w:vertAlign w:val="superscript"/>
        </w:rPr>
        <w:t>3</w:t>
      </w:r>
      <w:r>
        <w:t xml:space="preserve"> per la combustione di lignite, di 300 mg/Nm</w:t>
      </w:r>
      <w:r>
        <w:rPr>
          <w:vertAlign w:val="superscript"/>
        </w:rPr>
        <w:t>3</w:t>
      </w:r>
      <w:r>
        <w:t xml:space="preserve"> per le caldaie a combustibile liquido alimentate da combustibili provenienti da biomasse solide e di 210 mg/Nm</w:t>
      </w:r>
      <w:r>
        <w:rPr>
          <w:vertAlign w:val="superscript"/>
        </w:rPr>
        <w:t>3</w:t>
      </w:r>
      <w:r>
        <w:t xml:space="preserve"> per le caldaie a combustibile liquido alimentate da altri combustibili solidi."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</w:t>
      </w:r>
      <w:r>
        <w:t>All'allegato 2 del decreto, il punto 3.3 entra in vigore con la seguente formulazione: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"3.3. Il valore limite di emissione di NO</w:t>
      </w:r>
      <w:r>
        <w:rPr>
          <w:vertAlign w:val="subscript"/>
        </w:rPr>
        <w:t>x</w:t>
      </w:r>
      <w:r>
        <w:t xml:space="preserve"> è di 1 500 mg/Nm</w:t>
      </w:r>
      <w:r>
        <w:rPr>
          <w:vertAlign w:val="superscript"/>
        </w:rPr>
        <w:t>3</w:t>
      </w:r>
      <w:r>
        <w:t xml:space="preserve"> nei seguenti casi: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a)</w:t>
      </w:r>
      <w:r>
        <w:tab/>
      </w:r>
      <w:r>
        <w:t>per i motori diesel la cui costruzione è iniziata prima del 18 maggio 2006,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>b)</w:t>
      </w:r>
      <w:r>
        <w:tab/>
      </w:r>
      <w:r>
        <w:t>per i motori a doppia alimentazione a combustibile liquido."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00308" w:rsidRDefault="00400308" w:rsidP="004A4164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/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</w:t>
      </w:r>
      <w:r>
        <w:t xml:space="preserve">All'allegato 2 del decreto è aggiunto il seguente punto 3.8: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>"3.8. Il valore limite di emissione di TOC per motori a gas che utilizzano gas naturale con un tenore di etano superiore al 5 % è di 95 mg/m</w:t>
      </w:r>
      <w:r>
        <w:rPr>
          <w:vertAlign w:val="superscript"/>
        </w:rPr>
        <w:t>3</w:t>
      </w:r>
      <w:r>
        <w:t>."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Allegato 3 al decreto n. .../2019 del ... </w:t>
      </w:r>
      <w:r>
        <w:rPr>
          <w:i/>
        </w:rPr>
        <w:t xml:space="preserve">... </w:t>
      </w:r>
      <w:r>
        <w:rPr>
          <w:i/>
        </w:rPr>
        <w:t>2019 del ministro dell'Agricoltura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1. </w:t>
      </w:r>
      <w:r>
        <w:t>All'allegato 3 del decreto, punto 2, nella cella B:5 della tabella "1 500" è sostituito da "375".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 </w:t>
      </w:r>
      <w:r>
        <w:t>All'allegato 3 del decreto, il punto 2.6 entra in vigore con la seguente formulazione: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"2.6. Il valore limite di emissione di NO</w:t>
      </w:r>
      <w:r>
        <w:rPr>
          <w:vertAlign w:val="subscript"/>
        </w:rPr>
        <w:t>x</w:t>
      </w:r>
      <w:r>
        <w:t xml:space="preserve"> è di 320 mg/m</w:t>
      </w:r>
      <w:r>
        <w:rPr>
          <w:vertAlign w:val="superscript"/>
        </w:rPr>
        <w:t>3</w:t>
      </w:r>
      <w:r>
        <w:t xml:space="preserve"> per la combustione di lignite, di 300 mg/m</w:t>
      </w:r>
      <w:r>
        <w:rPr>
          <w:vertAlign w:val="superscript"/>
        </w:rPr>
        <w:t>3</w:t>
      </w:r>
      <w:r>
        <w:t xml:space="preserve"> per le caldaie a combustibile liquido alimentate da combustibili provenienti da biomasse solide e di 210 mg/m</w:t>
      </w:r>
      <w:r>
        <w:rPr>
          <w:vertAlign w:val="superscript"/>
        </w:rPr>
        <w:t>3</w:t>
      </w:r>
      <w:r>
        <w:t xml:space="preserve"> per le caldaie a combustibile liquido alimentate da altri combustibili solidi."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C1B4C" w:rsidRDefault="00FC1B4C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</w:t>
      </w:r>
      <w:r>
        <w:t>All'allegato 3 del decreto, il punto 3.2 entra in vigore con la seguente formulazione: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>"3.2. Il valore limite di emissione di NO</w:t>
      </w:r>
      <w:r>
        <w:rPr>
          <w:vertAlign w:val="subscript"/>
        </w:rPr>
        <w:t>x</w:t>
      </w:r>
      <w:r>
        <w:t xml:space="preserve"> è di 1 500 mg/Nm</w:t>
      </w:r>
      <w:r>
        <w:rPr>
          <w:vertAlign w:val="superscript"/>
        </w:rPr>
        <w:t>3</w:t>
      </w:r>
      <w:r>
        <w:t xml:space="preserve"> nei seguenti casi:</w:t>
      </w:r>
    </w:p>
    <w:p w:rsidR="00F86AAE" w:rsidRPr="00D4046D" w:rsidRDefault="00F86AAE" w:rsidP="004A4164">
      <w:r>
        <w:t>a)</w:t>
      </w:r>
      <w:r>
        <w:tab/>
      </w:r>
      <w:r>
        <w:t>per i motori diesel la cui costruzione è iniziata prima del 18 maggio 2006,</w:t>
      </w:r>
    </w:p>
    <w:p w:rsidR="00A00383" w:rsidRPr="00D4046D" w:rsidRDefault="00F86AAE" w:rsidP="004A4164">
      <w:r>
        <w:t>b)</w:t>
      </w:r>
      <w:r>
        <w:tab/>
      </w:r>
      <w:r>
        <w:t>per i motori a doppia alimentazione a combustibile liquido."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0383" w:rsidRDefault="00A00383" w:rsidP="004A4164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/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</w:t>
      </w:r>
      <w:r>
        <w:t xml:space="preserve">All'allegato 3 del decreto, il punto 3 entra in vigore con i seguenti punti 3.9 e 3.10: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>"3.9. Il valore limite di emissione di TOC per motori a gas che utilizzano gas naturale con un tenore di etano superiore al 5 % è di 95 mg/m</w:t>
      </w:r>
      <w:r>
        <w:rPr>
          <w:vertAlign w:val="superscript"/>
        </w:rPr>
        <w:t>3</w:t>
      </w:r>
      <w:r>
        <w:t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3.10. Per i motori a gas messi in funzione prima del 1° gennaio 1994 utilizzati per il funzionamento di impianti di compressione di gas necessari a garantire la sicurezza e la tutela dei sistemi di trasmissione di gas, il valore limite di emissione di monossido di carbonio per i motori a quattro tempi è di 375 mg/m</w:t>
      </w:r>
      <w:r>
        <w:rPr>
          <w:rFonts w:eastAsiaTheme="minorEastAsia"/>
          <w:vertAlign w:val="superscript"/>
        </w:rPr>
        <w:t>3</w:t>
      </w:r>
      <w:r>
        <w:t>, per i motori a due tempi è di 320 mg/m</w:t>
      </w:r>
      <w:r>
        <w:rPr>
          <w:rFonts w:eastAsiaTheme="minorEastAsia"/>
          <w:vertAlign w:val="superscript"/>
        </w:rPr>
        <w:t>3</w:t>
      </w:r>
      <w:r>
        <w:t xml:space="preserve"> e il valore limite di emissione di TOC è di 115 mg/m</w:t>
      </w:r>
      <w:r>
        <w:rPr>
          <w:rFonts w:eastAsiaTheme="minorEastAsia"/>
          <w:vertAlign w:val="superscript"/>
        </w:rPr>
        <w:t>3</w:t>
      </w:r>
      <w:r>
        <w:t xml:space="preserve"> fino al 1° gennaio 2030."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Allegato 4 al decreto n. .../2019 del ... </w:t>
      </w:r>
      <w:r>
        <w:rPr>
          <w:i/>
        </w:rPr>
        <w:t xml:space="preserve">... </w:t>
      </w:r>
      <w:r>
        <w:rPr>
          <w:i/>
        </w:rPr>
        <w:t>2019 del ministro dell'Agricoltura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6AD7" w:rsidRPr="00D4046D" w:rsidRDefault="00846AD7" w:rsidP="004A4164">
      <w:pPr>
        <w:keepNext/>
        <w:keepLines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 xml:space="preserve">1. </w:t>
      </w:r>
      <w:r>
        <w:t>All'allegato 4 del decreto, il punto 2.5 è sostituito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"2.5. Il valore limite di emissione di NO</w:t>
      </w:r>
      <w:r>
        <w:rPr>
          <w:vertAlign w:val="subscript"/>
        </w:rPr>
        <w:t>x</w:t>
      </w:r>
      <w:r>
        <w:t xml:space="preserve"> è di 320 mg/m</w:t>
      </w:r>
      <w:r>
        <w:rPr>
          <w:vertAlign w:val="superscript"/>
        </w:rPr>
        <w:t>3</w:t>
      </w:r>
      <w:r>
        <w:t xml:space="preserve"> per la combustione di lignite, di 300 mg/m</w:t>
      </w:r>
      <w:r>
        <w:rPr>
          <w:vertAlign w:val="superscript"/>
        </w:rPr>
        <w:t>3</w:t>
      </w:r>
      <w:r>
        <w:t xml:space="preserve"> per le caldaie a combustibile liquido alimentate da combustibili provenienti da biomasse solide e di 210 mg/m</w:t>
      </w:r>
      <w:r>
        <w:rPr>
          <w:vertAlign w:val="superscript"/>
        </w:rPr>
        <w:t>3</w:t>
      </w:r>
      <w:r>
        <w:t xml:space="preserve"> per le caldaie a combustibile liquido alimentate da altri combustibili solidi."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Default="00F94FF8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 </w:t>
      </w:r>
      <w:r>
        <w:t>All'allegato 4 del decreto, il punto 3.3 è sostituito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>"3.3. Il valore limite di emissione di NO</w:t>
      </w:r>
      <w:r>
        <w:rPr>
          <w:vertAlign w:val="subscript"/>
        </w:rPr>
        <w:t>x</w:t>
      </w:r>
      <w:r>
        <w:t xml:space="preserve"> per motori diesel, se l'emissione di NO</w:t>
      </w:r>
      <w:r>
        <w:rPr>
          <w:vertAlign w:val="subscript"/>
        </w:rPr>
        <w:t>x</w:t>
      </w:r>
      <w:r>
        <w:t xml:space="preserve"> è limitata a causa di misure primarie, è di 1 650 mg/m</w:t>
      </w:r>
      <w:r>
        <w:rPr>
          <w:vertAlign w:val="superscript"/>
        </w:rPr>
        <w:t>3</w:t>
      </w:r>
      <w:r>
        <w:t xml:space="preserve"> per motori diesel utilizzati esclusivamente per trivellazioni esplorative e di 1 500 mg/m</w:t>
      </w:r>
      <w:r>
        <w:rPr>
          <w:vertAlign w:val="superscript"/>
        </w:rPr>
        <w:t>3</w:t>
      </w:r>
      <w:r>
        <w:t xml:space="preserve"> per altri motori diesel."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92A3F" w:rsidRDefault="00D92A3F" w:rsidP="004A4164">
      <w:pPr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</w:t>
      </w:r>
      <w:r>
        <w:t>All'allegato 4 del decreto è aggiunto il seguente punto 3.8: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>"3.8. Il valore limite di emissione di TOC per motori a gas che utilizzano gas naturale con un tenore di etano superiore al 5 % è di 95 mg/m</w:t>
      </w:r>
      <w:r>
        <w:rPr>
          <w:vertAlign w:val="superscript"/>
        </w:rPr>
        <w:t>3</w:t>
      </w:r>
      <w:r>
        <w:t>."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 xml:space="preserve">Allegato 5 al decreto n. .../2019 del ... </w:t>
      </w:r>
      <w:r>
        <w:rPr>
          <w:i/>
        </w:rPr>
        <w:t xml:space="preserve">... </w:t>
      </w:r>
      <w:r>
        <w:rPr>
          <w:i/>
        </w:rPr>
        <w:t>2019 del ministro dell'Agricoltura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 </w:t>
      </w:r>
      <w:r>
        <w:t xml:space="preserve">All'allegato 5 del decreto, punto 2, nella cella B:5 della tabella "1 500" è sostituito da "375".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Default="00F94FF8" w:rsidP="004A4164">
      <w:pPr>
        <w:autoSpaceDE w:val="0"/>
        <w:autoSpaceDN w:val="0"/>
        <w:adjustRightInd w:val="0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 xml:space="preserve">2. </w:t>
      </w:r>
      <w:r>
        <w:t>All'allegato 5 del decreto, i punti 2.3 e 2.4 sono sostituiti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"2.3. Il valore limite di emissione di NO</w:t>
      </w:r>
      <w:r>
        <w:rPr>
          <w:vertAlign w:val="subscript"/>
        </w:rPr>
        <w:t>x</w:t>
      </w:r>
      <w:r>
        <w:t xml:space="preserve"> per gli impianti di combustione alimentati da combustibili solidi con una potenza termica nominale totale pari o superiore a 1 MW</w:t>
      </w:r>
      <w:r>
        <w:rPr>
          <w:vertAlign w:val="subscript"/>
        </w:rPr>
        <w:t>th</w:t>
      </w:r>
      <w:r>
        <w:t xml:space="preserve"> ma inferiore a 5 MW</w:t>
      </w:r>
      <w:r>
        <w:rPr>
          <w:vertAlign w:val="subscript"/>
        </w:rPr>
        <w:t>th</w:t>
      </w:r>
      <w:r>
        <w:t xml:space="preserve"> è di 500 mg/Nm</w:t>
      </w:r>
      <w:r>
        <w:rPr>
          <w:vertAlign w:val="superscript"/>
        </w:rPr>
        <w:t>3</w:t>
      </w:r>
      <w:r>
        <w:t>, a eccezione del fatto che per la combustione della lignite il valore limite di emissione è di 320 mg/Nm</w:t>
      </w:r>
      <w:r>
        <w:rPr>
          <w:vertAlign w:val="superscript"/>
        </w:rPr>
        <w:t>3</w:t>
      </w:r>
      <w:r>
        <w:t xml:space="preserve"> e per le caldaie a combustibile liquido alimentate da combustibili provenienti da biomasse solide il valore limite di emissione è di 300 mg/Nm</w:t>
      </w:r>
      <w:r>
        <w:rPr>
          <w:vertAlign w:val="superscript"/>
        </w:rPr>
        <w:t>3</w:t>
      </w:r>
      <w:r>
        <w:t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2.4. Il valore limite di emissione di NO</w:t>
      </w:r>
      <w:r>
        <w:rPr>
          <w:vertAlign w:val="subscript"/>
        </w:rPr>
        <w:t>x</w:t>
      </w:r>
      <w:r>
        <w:t xml:space="preserve"> per le caldaie a combustibile liquido alimentate da altri combustibili solidi è di 210 mg/Nm</w:t>
      </w:r>
      <w:r>
        <w:rPr>
          <w:vertAlign w:val="superscript"/>
        </w:rPr>
        <w:t>3</w:t>
      </w:r>
      <w:r>
        <w:t>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33D0" w:rsidRDefault="001733D0" w:rsidP="004A4164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D4046D" w:rsidRDefault="004A4164" w:rsidP="004A4164">
      <w:pPr/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 xml:space="preserve">3. </w:t>
      </w:r>
      <w:r>
        <w:t>All'allegato 5 del decreto, il punto 3.2 è sostituito da quanto segue: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>"3.2. Per i motori in funzione per 500-1 500 ore all'anno, se la loro emissione di NO</w:t>
      </w:r>
      <w:r>
        <w:rPr>
          <w:vertAlign w:val="subscript"/>
        </w:rPr>
        <w:t>x</w:t>
      </w:r>
      <w:r>
        <w:t xml:space="preserve"> è limitata a causa di misure primarie, si applicano i seguenti valori limite di emissione di NO</w:t>
      </w:r>
      <w:r>
        <w:rPr>
          <w:vertAlign w:val="subscript"/>
        </w:rPr>
        <w:t>x</w:t>
      </w:r>
      <w:r>
        <w:t>:</w:t>
      </w:r>
    </w:p>
    <w:p w:rsidR="001733D0" w:rsidRPr="00D4046D" w:rsidRDefault="001733D0" w:rsidP="004A4164">
      <w:pPr>
        <w:jc w:val="both"/>
      </w:pPr>
      <w:r>
        <w:t>a) 1 300 mg/Nm</w:t>
      </w:r>
      <w:r>
        <w:rPr>
          <w:vertAlign w:val="superscript"/>
        </w:rPr>
        <w:t>3</w:t>
      </w:r>
      <w:r>
        <w:t xml:space="preserve"> per motori diesel con una potenza termica nominale totale non superiore a 20 MW</w:t>
      </w:r>
      <w:r>
        <w:rPr>
          <w:vertAlign w:val="subscript"/>
        </w:rPr>
        <w:t>th</w:t>
      </w:r>
      <w:r>
        <w:t xml:space="preserve"> con ≤ 1 200 giri/min,</w:t>
      </w:r>
    </w:p>
    <w:p w:rsidR="001733D0" w:rsidRPr="00EF21F5" w:rsidRDefault="001733D0" w:rsidP="004A4164">
      <w:pPr>
        <w:jc w:val="both"/>
      </w:pPr>
      <w:r>
        <w:t>b) 1 500 mg/Nm</w:t>
      </w:r>
      <w:r>
        <w:rPr>
          <w:vertAlign w:val="superscript"/>
        </w:rPr>
        <w:t>3</w:t>
      </w:r>
      <w:r>
        <w:t xml:space="preserve"> per motori diesel con una potenza termica nominale totale superiore a 20 MW</w:t>
      </w:r>
      <w:r>
        <w:rPr>
          <w:vertAlign w:val="subscript"/>
        </w:rPr>
        <w:t>th</w:t>
      </w:r>
      <w:r>
        <w:t xml:space="preserve"> e per i motori a doppia alimentazione a combustibile liquido,</w:t>
      </w:r>
    </w:p>
    <w:p w:rsidR="007A2FAA" w:rsidRPr="00EF21F5" w:rsidRDefault="001733D0" w:rsidP="004A4164">
      <w:pPr>
        <w:jc w:val="both"/>
      </w:pPr>
      <w:r>
        <w:t>c) 750 mg/Nm</w:t>
      </w:r>
      <w:r>
        <w:rPr>
          <w:vertAlign w:val="superscript"/>
        </w:rPr>
        <w:t>3</w:t>
      </w:r>
      <w:r>
        <w:t xml:space="preserve"> per motori diesel con &gt; 1 200 giri/min,</w:t>
      </w:r>
    </w:p>
    <w:p w:rsidR="00F94FF8" w:rsidRPr="00EF21F5" w:rsidRDefault="007A2FAA" w:rsidP="004A4164">
      <w:pPr>
        <w:jc w:val="both"/>
      </w:pPr>
      <w:r>
        <w:t>d) 380 mg/Nm</w:t>
      </w:r>
      <w:r>
        <w:rPr>
          <w:vertAlign w:val="superscript"/>
        </w:rPr>
        <w:t>3</w:t>
      </w:r>
      <w:r>
        <w:t xml:space="preserve"> per motori a doppia alimentazione a combustibile gassoso."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828A5" w:rsidRDefault="00C828A5" w:rsidP="004A4164">
      <w:pPr>
        <w:jc w:val="both"/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 xml:space="preserve">4. </w:t>
      </w:r>
      <w:r>
        <w:t>All'allegato 5 del decreto è aggiunto il seguente punto 3.9: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>"3.9. Il valore limite di emissione di TOC per motori a gas che utilizzano gas naturale con un tenore di etano superiore al 5 % è di 95 mg/m</w:t>
      </w:r>
      <w:r>
        <w:rPr>
          <w:vertAlign w:val="superscript"/>
        </w:rPr>
        <w:t>3</w:t>
      </w:r>
      <w:r>
        <w:t>."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43786F" w:rsidRDefault="0043786F">
      <w:pPr/>
      <w:r>
        <w:separator/>
      </w:r>
    </w:p>
  </w:endnote>
  <w:endnote xmlns:w15="http://schemas.microsoft.com/office/word/2012/wordml" w:type="continuationSeparator" w:id="0">
    <w:p w:rsidR="0043786F" w:rsidRDefault="0043786F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 xmlns:w="http://schemas.openxmlformats.org/wordprocessingml/2006/main"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Redatto da: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Capo dipartimento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 (1) 795 5859</w:t>
          </w:r>
        </w:p>
        <w:p w:rsidR="00F80E39" w:rsidRPr="008430F8" w:rsidRDefault="002125C2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>
              <w:rPr>
                <w:rStyle w:val="Hyperlink"/>
                <w:i/>
                <w:sz w:val="16"/>
              </w:rPr>
              <w:t>hunor.orban@am.gov.hu</w:t>
            </w:r>
          </w:hyperlink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Dr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Capo dipartimento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 (1) 795 3801</w:t>
          </w:r>
        </w:p>
        <w:p w:rsidR="00F80E39" w:rsidRPr="008430F8" w:rsidRDefault="002125C2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Rivisto da: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Vice ministro di Stato </w:t>
          </w: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Ministro di Stato </w:t>
          </w: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Ministro di Stato</w:t>
          </w:r>
        </w:p>
      </w:tc>
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Approvato da:</w:t>
          </w: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Ministro</w:t>
          </w:r>
        </w:p>
      </w:tc>
    </w:tr>
  </w:tbl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0E39" w:rsidRPr="00BE1C91" w:rsidRDefault="00F80E39" w:rsidP="00BE1C91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43786F" w:rsidRDefault="0043786F">
      <w:pPr/>
      <w:r>
        <w:separator/>
      </w:r>
    </w:p>
  </w:footnote>
  <w:footnote xmlns:w15="http://schemas.microsoft.com/office/word/2012/wordml" w:type="continuationSeparator" w:id="0">
    <w:p w:rsidR="0043786F" w:rsidRDefault="0043786F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25C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146C4F"/>
    <w:rPr>
      <w:sz w:val="24"/>
      <w:szCs w:val="24"/>
    </w:rPr>
  </w:style>
  <w:style xmlns:w15="http://schemas.microsoft.com/office/word/2012/wordml"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xmlns:w15="http://schemas.microsoft.com/office/word/2012/wordml"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xmlns:w15="http://schemas.microsoft.com/office/word/2012/wordml"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xmlns:w15="http://schemas.microsoft.com/office/word/2012/wordml"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xmlns:w15="http://schemas.microsoft.com/office/word/2012/wordml"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xmlns:w15="http://schemas.microsoft.com/office/word/2012/wordml"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xmlns:w15="http://schemas.microsoft.com/office/word/2012/wordml"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xmlns:w15="http://schemas.microsoft.com/office/word/2012/wordml"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xmlns:w15="http://schemas.microsoft.com/office/word/2012/wordml"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xmlns:w15="http://schemas.microsoft.com/office/word/2012/wordml"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xmlns:w15="http://schemas.microsoft.com/office/word/2012/wordml"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xmlns:w15="http://schemas.microsoft.com/office/word/2012/wordml" w:type="character" w:customStyle="1" w:styleId="Bekezdsalapbettpusa1">
    <w:name w:val="Bekezdés alapbetűtípusa1"/>
    <w:uiPriority w:val="99"/>
    <w:rsid w:val="00952BC7"/>
  </w:style>
  <w:style xmlns:w15="http://schemas.microsoft.com/office/word/2012/wordml"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xmlns:w15="http://schemas.microsoft.com/office/word/2012/wordml"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xmlns:w15="http://schemas.microsoft.com/office/word/2012/wordml"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xmlns:w15="http://schemas.microsoft.com/office/word/2012/wordml"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xmlns:w15="http://schemas.microsoft.com/office/word/2012/wordml"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xmlns:w15="http://schemas.microsoft.com/office/word/2012/wordml"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xmlns:w15="http://schemas.microsoft.com/office/word/2012/wordml" w:type="character" w:styleId="PageNumber">
    <w:name w:val="page number"/>
    <w:uiPriority w:val="99"/>
    <w:rsid w:val="007E6F4D"/>
    <w:rPr>
      <w:rFonts w:cs="Times New Roman"/>
    </w:rPr>
  </w:style>
  <w:style xmlns:w15="http://schemas.microsoft.com/office/word/2012/wordml"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xmlns:w15="http://schemas.microsoft.com/office/word/2012/wordml"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xmlns:w15="http://schemas.microsoft.com/office/word/2012/wordml"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xmlns:w15="http://schemas.microsoft.com/office/word/2012/wordml"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xmlns:w15="http://schemas.microsoft.com/office/word/2012/wordml"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xmlns:w15="http://schemas.microsoft.com/office/word/2012/wordml"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xmlns:w15="http://schemas.microsoft.com/office/word/2012/wordml"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xmlns:w15="http://schemas.microsoft.com/office/word/2012/wordml"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xmlns:w15="http://schemas.microsoft.com/office/word/2012/wordml"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xmlns:w15="http://schemas.microsoft.com/office/word/2012/wordml"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xmlns:w15="http://schemas.microsoft.com/office/word/2012/wordml"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xmlns:w15="http://schemas.microsoft.com/office/word/2012/wordml"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xmlns:w15="http://schemas.microsoft.com/office/word/2012/wordml" w:type="character" w:customStyle="1" w:styleId="Cmsor6Char1">
    <w:name w:val="Címsor 6 Char1"/>
    <w:uiPriority w:val="99"/>
    <w:rsid w:val="00952BC7"/>
    <w:rPr>
      <w:rFonts w:ascii="Calibri" w:hAnsi="Calibri"/>
      <w:b/>
    </w:rPr>
  </w:style>
  <w:style xmlns:w15="http://schemas.microsoft.com/office/word/2012/wordml" w:type="character" w:customStyle="1" w:styleId="Oldalszm1">
    <w:name w:val="Oldalszám1"/>
    <w:uiPriority w:val="99"/>
    <w:rsid w:val="00952BC7"/>
  </w:style>
  <w:style xmlns:w15="http://schemas.microsoft.com/office/word/2012/wordml" w:type="character" w:customStyle="1" w:styleId="Bekezdsalapbettpusa3">
    <w:name w:val="Bekezdés alapbet?típusa3"/>
    <w:uiPriority w:val="99"/>
    <w:rsid w:val="00952BC7"/>
  </w:style>
  <w:style xmlns:w15="http://schemas.microsoft.com/office/word/2012/wordml" w:type="character" w:customStyle="1" w:styleId="Absatz-Standardschriftart">
    <w:name w:val="Absatz-Standardschriftart"/>
    <w:uiPriority w:val="99"/>
    <w:rsid w:val="00952BC7"/>
  </w:style>
  <w:style xmlns:w15="http://schemas.microsoft.com/office/word/2012/wordml" w:type="character" w:customStyle="1" w:styleId="Bekezdsalapbettpusa2">
    <w:name w:val="Bekezdés alapbet?típusa2"/>
    <w:uiPriority w:val="99"/>
    <w:rsid w:val="00952BC7"/>
  </w:style>
  <w:style xmlns:w15="http://schemas.microsoft.com/office/word/2012/wordml" w:type="character" w:customStyle="1" w:styleId="Bekezdsalapbettpusa10">
    <w:name w:val="Bekezdés alapbet?típusa1"/>
    <w:uiPriority w:val="99"/>
    <w:rsid w:val="00952BC7"/>
  </w:style>
  <w:style xmlns:w15="http://schemas.microsoft.com/office/word/2012/wordml" w:type="character" w:customStyle="1" w:styleId="WW-Absatz-Standardschriftart">
    <w:name w:val="WW-Absatz-Standardschriftart"/>
    <w:uiPriority w:val="99"/>
    <w:rsid w:val="00952BC7"/>
  </w:style>
  <w:style xmlns:w15="http://schemas.microsoft.com/office/word/2012/wordml" w:type="character" w:customStyle="1" w:styleId="Bekezdsalap-bettpusa">
    <w:name w:val="Bekezdés alap-bet?típusa"/>
    <w:uiPriority w:val="99"/>
    <w:rsid w:val="00952BC7"/>
  </w:style>
  <w:style xmlns:w15="http://schemas.microsoft.com/office/word/2012/wordml" w:type="character" w:customStyle="1" w:styleId="Jegyzethivatkozs1">
    <w:name w:val="Jegyzethivatkozás1"/>
    <w:uiPriority w:val="99"/>
    <w:rsid w:val="00952BC7"/>
    <w:rPr>
      <w:sz w:val="16"/>
    </w:rPr>
  </w:style>
  <w:style xmlns:w15="http://schemas.microsoft.com/office/word/2012/wordml" w:type="character" w:customStyle="1" w:styleId="JegyzetszvegChar">
    <w:name w:val="Jegyzetszöveg Char"/>
    <w:uiPriority w:val="99"/>
    <w:rsid w:val="00952BC7"/>
    <w:rPr>
      <w:rFonts w:ascii="Times" w:hAnsi="Times"/>
    </w:rPr>
  </w:style>
  <w:style xmlns:w15="http://schemas.microsoft.com/office/word/2012/wordml" w:type="character" w:customStyle="1" w:styleId="MegjegyzstrgyaChar">
    <w:name w:val="Megjegyzés tárgya Char"/>
    <w:uiPriority w:val="99"/>
    <w:rsid w:val="00952BC7"/>
    <w:rPr>
      <w:b/>
    </w:rPr>
  </w:style>
  <w:style xmlns:w15="http://schemas.microsoft.com/office/word/2012/wordml"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xmlns:w15="http://schemas.microsoft.com/office/word/2012/wordml" w:type="character" w:customStyle="1" w:styleId="Jegyzethivatkozs2">
    <w:name w:val="Jegyzethivatkozás2"/>
    <w:uiPriority w:val="99"/>
    <w:rsid w:val="00952BC7"/>
    <w:rPr>
      <w:sz w:val="16"/>
    </w:rPr>
  </w:style>
  <w:style xmlns:w15="http://schemas.microsoft.com/office/word/2012/wordml" w:type="character" w:customStyle="1" w:styleId="Szmozsjelek">
    <w:name w:val="Számozásjelek"/>
    <w:uiPriority w:val="99"/>
    <w:rsid w:val="00952BC7"/>
  </w:style>
  <w:style xmlns:w15="http://schemas.microsoft.com/office/word/2012/wordml"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xmlns:w15="http://schemas.microsoft.com/office/word/2012/wordml"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xmlns:w15="http://schemas.microsoft.com/office/word/2012/wordml"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it-IT" w:eastAsia="it-IT" w:bidi="it-IT"/>
    </w:rPr>
  </w:style>
  <w:style xmlns:w15="http://schemas.microsoft.com/office/word/2012/wordml"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xmlns:w15="http://schemas.microsoft.com/office/word/2012/wordml"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xmlns:w15="http://schemas.microsoft.com/office/word/2012/wordml"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xmlns:w15="http://schemas.microsoft.com/office/word/2012/wordml"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xmlns:w15="http://schemas.microsoft.com/office/word/2012/wordml"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xmlns:w15="http://schemas.microsoft.com/office/word/2012/wordml"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xmlns:w15="http://schemas.microsoft.com/office/word/2012/wordml"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xmlns:w15="http://schemas.microsoft.com/office/word/2012/wordml"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xmlns:w15="http://schemas.microsoft.com/office/word/2012/wordml"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xmlns:w15="http://schemas.microsoft.com/office/word/2012/wordml"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xmlns:w15="http://schemas.microsoft.com/office/word/2012/wordml"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xmlns:w15="http://schemas.microsoft.com/office/word/2012/wordml"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xmlns:w15="http://schemas.microsoft.com/office/word/2012/wordml"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xmlns:w15="http://schemas.microsoft.com/office/word/2012/wordml" w:type="paragraph" w:customStyle="1" w:styleId="Kerettartalom">
    <w:name w:val="Kerettartalom"/>
    <w:basedOn w:val="BodyText"/>
    <w:uiPriority w:val="99"/>
    <w:rsid w:val="00952BC7"/>
  </w:style>
  <w:style xmlns:w15="http://schemas.microsoft.com/office/word/2012/wordml"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xmlns:w15="http://schemas.microsoft.com/office/word/2012/wordml"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xmlns:w15="http://schemas.microsoft.com/office/word/2012/wordml"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xmlns:w15="http://schemas.microsoft.com/office/word/2012/wordml"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xmlns:w15="http://schemas.microsoft.com/office/word/2012/wordml"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xmlns:w15="http://schemas.microsoft.com/office/word/2012/wordml"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xmlns:w15="http://schemas.microsoft.com/office/word/2012/wordml"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xmlns:w15="http://schemas.microsoft.com/office/word/2012/wordml"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xmlns:w15="http://schemas.microsoft.com/office/word/2012/wordml" w:type="character" w:customStyle="1" w:styleId="apple-converted-space">
    <w:name w:val="apple-converted-space"/>
    <w:basedOn w:val="DefaultParagraphFont"/>
    <w:rsid w:val="000F293F"/>
  </w:style>
  <w:style xmlns:w15="http://schemas.microsoft.com/office/word/2012/wordml"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character" w:customStyle="1" w:styleId="llbChar1">
    <w:name w:val="Élőláb Char1"/>
    <w:uiPriority w:val="99"/>
    <w:rsid w:val="00EB07AE"/>
    <w:rPr>
      <w:sz w:val="24"/>
      <w:szCs w:val="24"/>
      <w:lang w:val="it-IT" w:eastAsia="it-IT"/>
    </w:rPr>
  </w:style>
  <w:style xmlns:w15="http://schemas.microsoft.com/office/word/2012/wordml"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xmlns:w15="http://schemas.microsoft.com/office/word/2012/wordml"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it-IT"/>
    </w:rPr>
  </w:style>
  <w:style xmlns:w15="http://schemas.microsoft.com/office/word/2012/wordml"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xmlns:w15="http://schemas.microsoft.com/office/word/2012/wordml"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xmlns:w15="http://schemas.microsoft.com/office/word/2012/wordml"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xmlns:w15="http://schemas.microsoft.com/office/word/2012/wordml" w:type="paragraph" w:customStyle="1" w:styleId="Norml1">
    <w:name w:val="Normál1"/>
    <w:basedOn w:val="Normal"/>
    <w:rsid w:val="00007615"/>
    <w:pPr>
      <w:spacing w:before="120"/>
      <w:jc w:val="both"/>
    </w:pPr>
  </w:style>
  <w:style xmlns:w15="http://schemas.microsoft.com/office/word/2012/wordml" w:type="paragraph" w:customStyle="1" w:styleId="Norml11">
    <w:name w:val="Normál11"/>
    <w:basedOn w:val="Normal"/>
    <w:rsid w:val="004315B4"/>
    <w:pPr>
      <w:spacing w:before="120"/>
      <w:jc w:val="both"/>
    </w:pPr>
  </w:style>
  <w:style xmlns:w15="http://schemas.microsoft.com/office/word/2012/wordml"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xmlns:w15="http://schemas.microsoft.com/office/word/2012/wordml" w:type="numbering" w:customStyle="1" w:styleId="Hatrozat">
    <w:name w:val="Határozat"/>
    <w:uiPriority w:val="99"/>
    <w:rsid w:val="005B4A47"/>
    <w:pPr>
      <w:numPr>
        <w:numId w:val="7"/>
      </w:numPr>
    </w:pPr>
  </w:style>
  <w:style xmlns:w15="http://schemas.microsoft.com/office/word/2012/wordml"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xmlns:w15="http://schemas.microsoft.com/office/word/2012/wordml"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xmlns:w15="http://schemas.microsoft.com/office/word/2012/wordml"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footer1.xml.rels><?xml version="1.0" encoding="utf-8"?><Relationships xmlns="http://schemas.openxmlformats.org/package/2006/relationships"><Relationship Id="rId2" Type="http://schemas.openxmlformats.org/officeDocument/2006/relationships/hyperlink" Target="mailto:tamas.andreka@am.gov.hu" TargetMode="External" /><Relationship Id="rId1" Type="http://schemas.openxmlformats.org/officeDocument/2006/relationships/hyperlink" Target="mailto:hunor.orban@am.gov.hu" TargetMode="Externa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6EE0-199B-4FC1-B18C-AC88A2E4B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3BA0-6B7E-46A6-A9AC-32EEF0D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John McCarthy</cp:lastModifiedBy>
  <cp:revision>5</cp:revision>
  <cp:lastPrinted>2019-06-12T12:18:00Z</cp:lastPrinted>
  <dcterms:created xsi:type="dcterms:W3CDTF">2019-06-25T07:45:00Z</dcterms:created>
  <dcterms:modified xsi:type="dcterms:W3CDTF">2019-07-01T09:19:00Z</dcterms:modified>
</cp:coreProperties>
</file>