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33B" w:rsidRPr="00113982" w:rsidRDefault="00E377C2" w:rsidP="0093333B">
      <w:pPr>
        <w:autoSpaceDE w:val="0"/>
        <w:autoSpaceDN w:val="0"/>
        <w:adjustRightInd w:val="0"/>
        <w:spacing w:after="0" w:line="240" w:lineRule="auto"/>
        <w:jc w:val="both"/>
        <w:rPr>
          <w:rFonts w:ascii="Times New Roman" w:hAnsi="Times New Roman" w:cs="Times New Roman"/>
          <w:sz w:val="24"/>
          <w:szCs w:val="24"/>
        </w:rPr>
      </w:pPr>
      <w:r w:rsidRPr="00113982">
        <w:rPr>
          <w:rFonts w:ascii="Courier New" w:hAnsi="Courier New"/>
          <w:sz w:val="20"/>
          <w:szCs w:val="20"/>
        </w:rPr>
        <w:t>1. ---</w:t>
      </w:r>
      <w:r w:rsidR="00C57A18">
        <w:rPr>
          <w:rFonts w:ascii="Courier New" w:hAnsi="Courier New"/>
          <w:sz w:val="20"/>
          <w:szCs w:val="20"/>
        </w:rPr>
        <w:t>-</w:t>
      </w:r>
      <w:r w:rsidRPr="00113982">
        <w:rPr>
          <w:rFonts w:ascii="Courier New" w:hAnsi="Courier New"/>
          <w:sz w:val="20"/>
          <w:szCs w:val="20"/>
        </w:rPr>
        <w:t xml:space="preserve">--IND- 2019 0309 HU- BG- ------ </w:t>
      </w:r>
      <w:r w:rsidRPr="00113982">
        <w:rPr>
          <w:rFonts w:ascii="Segoe UI" w:hAnsi="Segoe UI"/>
          <w:color w:val="000000"/>
          <w:sz w:val="20"/>
          <w:szCs w:val="20"/>
        </w:rPr>
        <w:t>20201130</w:t>
      </w:r>
      <w:r w:rsidRPr="00113982">
        <w:rPr>
          <w:rFonts w:ascii="Calibri" w:hAnsi="Calibri"/>
          <w:sz w:val="20"/>
          <w:szCs w:val="20"/>
        </w:rPr>
        <w:t xml:space="preserve"> </w:t>
      </w:r>
      <w:r w:rsidRPr="00113982">
        <w:rPr>
          <w:rFonts w:ascii="Courier New" w:hAnsi="Courier New"/>
          <w:sz w:val="20"/>
          <w:szCs w:val="20"/>
        </w:rPr>
        <w:t>--- --- FINAL</w:t>
      </w:r>
    </w:p>
    <w:p w:rsidR="0093333B" w:rsidRPr="00113982"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sidRPr="00113982">
        <w:rPr>
          <w:rFonts w:ascii="Times New Roman" w:hAnsi="Times New Roman"/>
          <w:b/>
          <w:bCs/>
          <w:sz w:val="28"/>
          <w:szCs w:val="28"/>
        </w:rPr>
        <w:t>Указ № 51/2019 на министъра на земеделието от 28 октомври 2019 г.</w:t>
      </w:r>
    </w:p>
    <w:p w:rsidR="0093333B" w:rsidRPr="00113982"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sidRPr="00113982">
        <w:rPr>
          <w:rFonts w:ascii="Times New Roman" w:hAnsi="Times New Roman"/>
          <w:b/>
          <w:bCs/>
          <w:sz w:val="28"/>
          <w:szCs w:val="28"/>
        </w:rPr>
        <w:t>за изменение на Указ № 53/2017 на министъра на земеделието от 18 октомври 2017 г. относно работните условия за горивни инсталации с обща номинална входяща топлинна мощност, равна на или по-голяма от 140 kWth, но по-малка от 50 MWth, и относно допустимите норми за замърсители на въздуха, отделяни от тях</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Съгласно правомощията, дадени ми по силата на член 110, параграф 8, буква ж) от Закон LIII от 1995 г. за общите правила за защитата на околната среда, действайки в обхвата на служебните задължения, както е определено в член 79, параграф 9 от Правителствен указ № 94/2018 от 22 май 2018 г. относно задълженията и правомощията на членовете на правителството, с настоящото определям, както следва:</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b/>
          <w:bCs/>
          <w:sz w:val="24"/>
          <w:szCs w:val="24"/>
        </w:rPr>
        <w:t>Член 1.</w:t>
      </w:r>
      <w:r w:rsidRPr="00113982">
        <w:rPr>
          <w:rFonts w:ascii="Times New Roman" w:hAnsi="Times New Roman"/>
          <w:sz w:val="24"/>
          <w:szCs w:val="24"/>
        </w:rPr>
        <w:t xml:space="preserve"> 1) Следната точка 1а се добавя към член 2, параграф 1 от Указ № 53/2017 на министъра на земеделието от 18 октомври 2017 г. относно условията за експлоатация на горивни инсталации с обща номинална входяща топлинна мощност равна на или по-голяма от 140 kWth, но по-малка от 50 MWth, и относно допустимите норми за замърсители на въздуха, отделяни от тях (наричан по-нататък „указът“):</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i/>
          <w:iCs/>
          <w:sz w:val="24"/>
          <w:szCs w:val="24"/>
        </w:rPr>
        <w:t>(За целите на настоящия указ)</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„1.a „</w:t>
      </w:r>
      <w:r w:rsidRPr="00113982">
        <w:rPr>
          <w:rFonts w:ascii="Times New Roman" w:hAnsi="Times New Roman"/>
          <w:i/>
          <w:iCs/>
          <w:sz w:val="24"/>
          <w:szCs w:val="24"/>
        </w:rPr>
        <w:t>газопреносна система</w:t>
      </w:r>
      <w:r w:rsidRPr="00113982">
        <w:rPr>
          <w:rFonts w:ascii="Times New Roman" w:hAnsi="Times New Roman"/>
          <w:sz w:val="24"/>
          <w:szCs w:val="24"/>
        </w:rPr>
        <w:t>“ означава подпомагаща система за природен газ съгласно Закон XL от 2008 г. за доставката на природен газ;“</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2) Член 2, параграф 1, девета алинея от указа се заменя със следното:</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„9. „</w:t>
      </w:r>
      <w:r w:rsidRPr="00113982">
        <w:rPr>
          <w:rFonts w:ascii="Times New Roman" w:hAnsi="Times New Roman"/>
          <w:i/>
          <w:iCs/>
          <w:sz w:val="24"/>
          <w:szCs w:val="24"/>
        </w:rPr>
        <w:t>обща номинална входяща топлинна мощност</w:t>
      </w:r>
      <w:r w:rsidRPr="00113982">
        <w:rPr>
          <w:rFonts w:ascii="Times New Roman" w:hAnsi="Times New Roman"/>
          <w:sz w:val="24"/>
          <w:szCs w:val="24"/>
        </w:rPr>
        <w:t>“ означава сборът на номиналните топлинни мощности на горивни инсталации, изчислен в съответствие с правилата за натрупване, който в случай на горивна инсталация е равен на неговата номинална входяща топлинна мощност;“</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b/>
          <w:bCs/>
          <w:sz w:val="24"/>
          <w:szCs w:val="24"/>
        </w:rPr>
        <w:t>Член 2.</w:t>
      </w:r>
      <w:r w:rsidRPr="00113982">
        <w:rPr>
          <w:rFonts w:ascii="Times New Roman" w:hAnsi="Times New Roman"/>
          <w:sz w:val="24"/>
          <w:szCs w:val="24"/>
        </w:rPr>
        <w:t xml:space="preserve"> 1) Член 4, параграфи 6 и 7 от указа влизат в сила със следната формулировка:</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„6) Нормите за допустими емисии, определени в приложение 1, се прилагат за горивни инсталации от категория I с обща номинална входяща топлинна мощност, по-голяма или равна на 1 MWth, и която работи не повече от 500 работни часа годишно като плаваща средна стойност за период от пет години, с изключение на нормата за допустими емисии за твърди материали за горивни инсталации, изгарящи твърди горива от биомаса, която е 200 mg/Nm3, а нормата за допустими емисии за въглероден оксид е 375 mg/Nm3.</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7) До 1 януари 2030 г. допустимите норми, посочени в приложение 1, се прилагат за горивни инсталации от категория I с обща номинална входяща топлинна мощност, по-голяма от 5 MWth, когато 50 % от производството на полезна топлоенергия на такива инсталации, определено като плаваща средна стойност за период от пет години, се предоставя под формата на пара, топла или гореща вода на обществена мрежа за централно отопление, с изключение на това, че нормата за допустими емисии на серен диоксид на горивни инсталации, изгарящи твърди и течни горива, е 1 100 mg/Nm3, а нормата за допустими емисии на твърди материали за горивни инсталации, изгарящи твърди горива, е 150 mg/Nm3, докато нормата за допустими емисии за въглероден оксид за горивни инсталации, изгарящи твърдо гориво от биомаса, е 375 mg/Nm3.“</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lastRenderedPageBreak/>
        <w:t>2) Член 4, параграф 9 от указа влиза в сила със следната формулировка:</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„9) До 1 януари 2030 г. нормите за допустими емисии, определени в приложение 1, се прилагат за азотни оксиди от двигатели от категория 1 и газови турбини с обща номинална входяща топлинна мощност, по-голяма от 5 MWth, и които се използват за задвижване на компресорни газови станции, за да се гарантират безопасността и сигурността на газопреносните системи, с изключение на газовите двигатели, въведени в експлоатация преди 1 януари 1994 г., нормата за допустими емисии за азотни оксиди е 565 mg/Nm3.“</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 Член 4, параграф 10 от указа се заменя със следното:</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„10) Нормите за допустими емисии, определени в приложение 1, се прилагат за горивни инсталации от категория II, които работят не повече от 500 работни часа годишно като плаваща средна стойност за период от три години, с изключение на нормата за допустими емисии за твърди материали за горивни инсталации, изгарящи твърди горива, е 100 mg/Nm3, а нормата за допустими емисии за въглероден оксид за горивни инсталации с обща номинална входяща топлинна мощност, по-голяма или равна на 1 MWth, които изгарят твърдо гориво от биомаса, е 375 mg/Nm3.“</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4) Член 4, параграф 13 от указа се заменя със следното:</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„13) В случай на стационарни двигатели, нормите за допустими емисии не се прилагат за:</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i/>
          <w:iCs/>
          <w:sz w:val="24"/>
          <w:szCs w:val="24"/>
        </w:rPr>
        <w:t>a)</w:t>
      </w:r>
      <w:r w:rsidRPr="00113982">
        <w:rPr>
          <w:rFonts w:ascii="Times New Roman" w:hAnsi="Times New Roman"/>
          <w:sz w:val="24"/>
          <w:szCs w:val="24"/>
        </w:rPr>
        <w:t xml:space="preserve"> двигатели с обща номинална входяща топлинна мощност по-малка от 1 MWth, чиято консумация на гориво е по-малка от 50 kg/h, и</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i/>
          <w:iCs/>
          <w:sz w:val="24"/>
          <w:szCs w:val="24"/>
        </w:rPr>
        <w:t>б)</w:t>
      </w:r>
      <w:r w:rsidRPr="00113982">
        <w:rPr>
          <w:rFonts w:ascii="Times New Roman" w:hAnsi="Times New Roman"/>
          <w:sz w:val="24"/>
          <w:szCs w:val="24"/>
        </w:rPr>
        <w:t xml:space="preserve"> стационарни двигатели с аварийно енергозахранване, които работят по-малко от 50 часа годишно.“</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b/>
          <w:bCs/>
          <w:sz w:val="24"/>
          <w:szCs w:val="24"/>
        </w:rPr>
        <w:t>Член 3.</w:t>
      </w:r>
      <w:r w:rsidRPr="00113982">
        <w:rPr>
          <w:rFonts w:ascii="Times New Roman" w:hAnsi="Times New Roman"/>
          <w:sz w:val="24"/>
          <w:szCs w:val="24"/>
        </w:rPr>
        <w:t xml:space="preserve"> Член 12, параграфи 2 и 3 от указа се заменят със следното:</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„2) До 31 декември 2029 г. нормите за допустими емисии, определени в приложение 1, се прилагат за горивни инсталации от категория I с обща номинална входяща топлинна мощност, по-голяма или равна на 1 MWth, но по-малка от 5 MWth, със следните изключения:</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i/>
          <w:iCs/>
          <w:sz w:val="24"/>
          <w:szCs w:val="24"/>
        </w:rPr>
        <w:t>а)</w:t>
      </w:r>
      <w:r w:rsidRPr="00113982">
        <w:rPr>
          <w:rFonts w:ascii="Times New Roman" w:hAnsi="Times New Roman"/>
          <w:sz w:val="24"/>
          <w:szCs w:val="24"/>
        </w:rPr>
        <w:t xml:space="preserve"> в случай на изгаряне на твърда биомаса, нормата за допустими емисии за въглероден оксид е 375 mg/Nm3;</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i/>
          <w:iCs/>
          <w:sz w:val="24"/>
          <w:szCs w:val="24"/>
        </w:rPr>
        <w:t>б)</w:t>
      </w:r>
      <w:r w:rsidRPr="00113982">
        <w:rPr>
          <w:rFonts w:ascii="Times New Roman" w:hAnsi="Times New Roman"/>
          <w:sz w:val="24"/>
          <w:szCs w:val="24"/>
        </w:rPr>
        <w:t xml:space="preserve"> в случай на газови двигатели, въведени в експлоатация преди 1 януари 1994 г., които са с обща номинална входяща топлинна мощност по-голяма от 3 MWth, нормата за допустими емисии за азотни оксиди е 565 mg/Nm3, нормата за допустими емисии на въглероден оксид (CO) за четиритактови двигатели е 375 mg/Nm3, за двутактови двигатели тя е 320 mg/Nm3, и за общо органични съединения, изразени като C (въглерод), с изключение на метан, нормата за допустими емисии е 115 mg/Nm3.</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 До 31 декември 2024 г. нормите за допустими емисии, определени в приложение 1, се прилагат за горивни инсталации от категория I с обща номинална входяща топлинна мощност, по-голяма от 5 MWth, със следните изключения:</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i/>
          <w:iCs/>
          <w:sz w:val="24"/>
          <w:szCs w:val="24"/>
        </w:rPr>
        <w:t>а)</w:t>
      </w:r>
      <w:r w:rsidRPr="00113982">
        <w:rPr>
          <w:rFonts w:ascii="Times New Roman" w:hAnsi="Times New Roman"/>
          <w:sz w:val="24"/>
          <w:szCs w:val="24"/>
        </w:rPr>
        <w:t xml:space="preserve"> в случай на изгаряне на твърда биомаса, нормата за допустими емисии за въглероден оксид е 375 mg/Nm3;</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i/>
          <w:iCs/>
          <w:sz w:val="24"/>
          <w:szCs w:val="24"/>
        </w:rPr>
        <w:t>б)</w:t>
      </w:r>
      <w:r w:rsidRPr="00113982">
        <w:rPr>
          <w:rFonts w:ascii="Times New Roman" w:hAnsi="Times New Roman"/>
          <w:sz w:val="24"/>
          <w:szCs w:val="24"/>
        </w:rPr>
        <w:t xml:space="preserve"> в случай на газови двигатели, въведени в експлоатация преди 1 януари 1994 г., нормата за допустими емисии за азотни оксиди е 565 mg/Nm3, нормата за допустими емисии за въглероден оксид за четиритактови двигатели е 375 mg/Nm3, за двутактови двигатели тя е 320 mg/Nm3, и за общо органични съединения, изразени като C (въглерод), с изключение на метан, нормата за допустими емисии е 115 mg/Nm3.“</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b/>
          <w:bCs/>
          <w:sz w:val="24"/>
          <w:szCs w:val="24"/>
        </w:rPr>
        <w:t>Член 4.</w:t>
      </w:r>
      <w:r w:rsidRPr="00113982">
        <w:rPr>
          <w:rFonts w:ascii="Times New Roman" w:hAnsi="Times New Roman"/>
          <w:sz w:val="24"/>
          <w:szCs w:val="24"/>
        </w:rPr>
        <w:t xml:space="preserve"> 1) Приложение 1 към указа се изменя в съответствие с приложение 1.</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2) Приложение 2 към указа влиза в сила в съответствие с приложение 2.</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lastRenderedPageBreak/>
        <w:t>3) Приложение 3 към указа влиза в сила в съответствие с приложение 3.</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4) Приложение 4 към указа се изменя в съответствие с приложение 4.</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5) Приложение 5 към указа се изменя в съответствие с приложение 5.</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b/>
          <w:bCs/>
          <w:sz w:val="24"/>
          <w:szCs w:val="24"/>
        </w:rPr>
        <w:t>Член 5.</w:t>
      </w:r>
      <w:r w:rsidRPr="00113982">
        <w:rPr>
          <w:rFonts w:ascii="Times New Roman" w:hAnsi="Times New Roman"/>
          <w:sz w:val="24"/>
          <w:szCs w:val="24"/>
        </w:rPr>
        <w:t xml:space="preserve"> Приложение 4, точка 3, подточка 3.4 от указа се отменя.</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b/>
          <w:bCs/>
          <w:sz w:val="24"/>
          <w:szCs w:val="24"/>
        </w:rPr>
        <w:t xml:space="preserve">Член 6. </w:t>
      </w:r>
      <w:r w:rsidRPr="00113982">
        <w:rPr>
          <w:rFonts w:ascii="Times New Roman" w:hAnsi="Times New Roman"/>
          <w:sz w:val="24"/>
          <w:szCs w:val="24"/>
        </w:rPr>
        <w:t>1) Настоящият указ, с изключенията, определени в параграфи 2 и 3, влиза в сила на петнадесетия ден след неговото публикуване.</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2) Член 2, параграфи 1 и 2, член 4, параграф 3 и приложение 3 влизат в сила от 1 януари 2025 г.</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 Член 4, параграф 2 и приложение 2 влизат в сила на 1 януари 2030 г.</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b/>
          <w:bCs/>
          <w:sz w:val="24"/>
          <w:szCs w:val="24"/>
        </w:rPr>
        <w:t xml:space="preserve">Член 7. </w:t>
      </w:r>
      <w:r w:rsidRPr="00113982">
        <w:rPr>
          <w:rFonts w:ascii="Times New Roman" w:hAnsi="Times New Roman"/>
          <w:sz w:val="24"/>
          <w:szCs w:val="24"/>
        </w:rPr>
        <w:t>1) С настоящия указ се спазва Директива (ЕС) 2015/2193 на Европейския парламент и на Съвета от 25 ноември 2015 г. за ограничаване на емисиите във въздуха на определени замърсители, изпускани от средни горивни инсталации.</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2) Спазено е изискването за извършване на предварителна нотификация на настоящия указ, както е посочено в членове 5—7 от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rsidR="0093333B" w:rsidRPr="00113982"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sidRPr="00113982">
        <w:rPr>
          <w:rFonts w:ascii="Times New Roman" w:hAnsi="Times New Roman"/>
          <w:i/>
          <w:iCs/>
          <w:sz w:val="28"/>
          <w:szCs w:val="28"/>
          <w:u w:val="single"/>
        </w:rPr>
        <w:t>Приложение 1 към Указ № 51/2019 на министъра на земеделието от 28 октомври 2019 г.</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1. Приложение 1, точка 2, подточка 2.3 от указа се заменя със следното:</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„2</w:t>
      </w:r>
      <w:r w:rsidR="004E3950">
        <w:rPr>
          <w:rFonts w:ascii="Times New Roman" w:hAnsi="Times New Roman"/>
          <w:sz w:val="24"/>
          <w:szCs w:val="24"/>
        </w:rPr>
        <w:t>.</w:t>
      </w:r>
      <w:bookmarkStart w:id="0" w:name="_GoBack"/>
      <w:bookmarkEnd w:id="0"/>
      <w:r w:rsidRPr="00113982">
        <w:rPr>
          <w:rFonts w:ascii="Times New Roman" w:hAnsi="Times New Roman"/>
          <w:sz w:val="24"/>
          <w:szCs w:val="24"/>
        </w:rPr>
        <w:t>3. Нормата за допустими емисии за NOx е 320 mg/m3 за изгаряне на лигнитни въглища, 300 mg/m3 за котли за изгаряне на течности, изгарящи твърди горива от биомаса, и 210 mg/m3 за котли за изгаряне на течности, изгарящи други твърди горива.“</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2. Приложение 1, точка 3, подточка 3.1 от указа се заменя със следното:</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„3.1. Нормата за допустими емисии за NOx е 300 mg/m3 за двутактови двигатели, 225 mg/m3 за четиритактови газови двигатели, изгарящи биогаз и сметищен газ, 1 650 mg/m3 за дизелови двигатели, които се използват изключително при проучвателно сондиране, и 1 500 mg/m3 за други дизелови двигатели.“</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 Към приложение 1, точка 3 от указа се добавя следната подточка 3.4:</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„3.4. Нормата за допустими емисии на общ органичен въглерод (TOC) за газови двигатели, които използват природен газ със съдържание на етан, по-голямо от 5 %, е 95 mg/m3.“</w:t>
      </w:r>
    </w:p>
    <w:p w:rsidR="0093333B" w:rsidRPr="00113982"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sidRPr="00113982">
        <w:rPr>
          <w:rFonts w:ascii="Times New Roman" w:hAnsi="Times New Roman"/>
          <w:i/>
          <w:iCs/>
          <w:sz w:val="28"/>
          <w:szCs w:val="28"/>
          <w:u w:val="single"/>
        </w:rPr>
        <w:t>Приложение 2 към Указ № 51/2019 на министъра на земеделието от 28 октомври 2019 г.</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1. В клетка B:5 от таблицата в приложение 2, точка 2 от указа „1 500“ се заменя с „375“.</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2. Приложение 2, точка 2, подточка 2.5 от указа влиза в сила, както следва:</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„2.5. Нормата за допустими емисии за NOx е 320 mg/Nm3 за изгаряне на лигнитни въглища, 300 mg/Nm3 за котли за изгаряне на течности, изгарящи твърди горива от биомаса, и 210 mg/Nm3 за котли за изгаряне на течности, изгарящи други твърди горива.“</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 Приложение 2, точка 3, подточка 3.3 от указа влиза в сила, както следва:</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„3.3. Нормата за допустими емисии на NOx е 1 500 mg/Nm3 в следните случаи:</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i/>
          <w:iCs/>
          <w:sz w:val="24"/>
          <w:szCs w:val="24"/>
        </w:rPr>
        <w:t>а)</w:t>
      </w:r>
      <w:r w:rsidRPr="00113982">
        <w:rPr>
          <w:rFonts w:ascii="Times New Roman" w:hAnsi="Times New Roman"/>
          <w:sz w:val="24"/>
          <w:szCs w:val="24"/>
        </w:rPr>
        <w:t xml:space="preserve"> за дизелови двигатели, чието конструиране е започнало преди 18 май 2006 г.;</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i/>
          <w:iCs/>
          <w:sz w:val="24"/>
          <w:szCs w:val="24"/>
        </w:rPr>
        <w:lastRenderedPageBreak/>
        <w:t>б)</w:t>
      </w:r>
      <w:r w:rsidRPr="00113982">
        <w:rPr>
          <w:rFonts w:ascii="Times New Roman" w:hAnsi="Times New Roman"/>
          <w:sz w:val="24"/>
          <w:szCs w:val="24"/>
        </w:rPr>
        <w:t xml:space="preserve"> за двигатели, работещи с два вида горива, при течен режим.“</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4. Към приложение 2, точка 3 от указа се добавя следната подточка 3.8:</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„3.8. Нормата за допустими емисии на общ органичен въглерод (TOC) за газови двигатели, които използват природен газ със съдържание на етан, по-голямо от 5 %, е 95 mg/m3.“</w:t>
      </w:r>
    </w:p>
    <w:p w:rsidR="0093333B" w:rsidRPr="00113982"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sidRPr="00113982">
        <w:rPr>
          <w:rFonts w:ascii="Times New Roman" w:hAnsi="Times New Roman"/>
          <w:i/>
          <w:iCs/>
          <w:sz w:val="28"/>
          <w:szCs w:val="28"/>
          <w:u w:val="single"/>
        </w:rPr>
        <w:t>Приложение 3 към Указ № 51/2019 на министъра на земеделието от 28 октомври 2019 г.</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1. В клетка B:5 от таблицата в приложение 3, точка 2 от указа „1 500“ се заменя с „375“.</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2. Приложение 3, точка 2, подточка 2.6 от указа влиза в сила, както следва:</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„2</w:t>
      </w:r>
      <w:r w:rsidR="004E3950">
        <w:rPr>
          <w:rFonts w:ascii="Times New Roman" w:hAnsi="Times New Roman"/>
          <w:sz w:val="24"/>
          <w:szCs w:val="24"/>
        </w:rPr>
        <w:t>.</w:t>
      </w:r>
      <w:r w:rsidRPr="00113982">
        <w:rPr>
          <w:rFonts w:ascii="Times New Roman" w:hAnsi="Times New Roman"/>
          <w:sz w:val="24"/>
          <w:szCs w:val="24"/>
        </w:rPr>
        <w:t>6. Нормата за допустими емисии за NOx е 320 mg/m3 за изгаряне на лигнитни въглища, 300 mg/m3 за котли за изгаряне на течности, изгарящи твърди горива от биомаса, и 210 mg/m3 за котли за изгаряне на течности, изгарящи други твърди горива.“</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 Приложение 3, точка 3, подточка 3.2 от указа влиза в сила, както следва:</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„3.2. Нормата за допустими емисии на NOx е 1 500 mg/Nm3 в следните случаи:</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i/>
          <w:iCs/>
          <w:sz w:val="24"/>
          <w:szCs w:val="24"/>
        </w:rPr>
        <w:t>а)</w:t>
      </w:r>
      <w:r w:rsidRPr="00113982">
        <w:rPr>
          <w:rFonts w:ascii="Times New Roman" w:hAnsi="Times New Roman"/>
          <w:sz w:val="24"/>
          <w:szCs w:val="24"/>
        </w:rPr>
        <w:t xml:space="preserve"> за дизелови двигатели, чието конструиране е започнало преди 18 май 2006 г.;</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i/>
          <w:iCs/>
          <w:sz w:val="24"/>
          <w:szCs w:val="24"/>
        </w:rPr>
        <w:t>б)</w:t>
      </w:r>
      <w:r w:rsidRPr="00113982">
        <w:rPr>
          <w:rFonts w:ascii="Times New Roman" w:hAnsi="Times New Roman"/>
          <w:sz w:val="24"/>
          <w:szCs w:val="24"/>
        </w:rPr>
        <w:t xml:space="preserve"> за двигатели, работещи с два вида горива, при течен режим.“</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4. Приложение 3, точка 3 от указа влиза в сила със следните подточки 3.9 и 3.10:</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„3.9. Нормата за допустими емисии на общ органичен въглерод (TOC) за газови двигатели, които използват природен газ със съдържание на етан, по-голямо от 5 %, е 95 mg/m3.</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w:t>
      </w:r>
      <w:r w:rsidR="004E3950">
        <w:rPr>
          <w:rFonts w:ascii="Times New Roman" w:hAnsi="Times New Roman"/>
          <w:sz w:val="24"/>
          <w:szCs w:val="24"/>
        </w:rPr>
        <w:t>.</w:t>
      </w:r>
      <w:r w:rsidRPr="00113982">
        <w:rPr>
          <w:rFonts w:ascii="Times New Roman" w:hAnsi="Times New Roman"/>
          <w:sz w:val="24"/>
          <w:szCs w:val="24"/>
        </w:rPr>
        <w:t>10. В случай на газови двигатели, въведени в експлоатация преди 1 януари 1994 г., които се използват за задвижване на компресорни газови станции, за да се гарантират безопасността и сигурността на газопреносните системи, нормата за допустими емисии на въглероден оксид (CO) за четиритактови двигатели е 375 mg/m3, за двутактови двигатели тя е 320 mg/m3, и нормата за допустими емисии на общ органичен въглерод (TOC) е 115 mg/m3 до 1 януари 2030 г.“</w:t>
      </w:r>
    </w:p>
    <w:p w:rsidR="0093333B" w:rsidRPr="00113982"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sidRPr="00113982">
        <w:rPr>
          <w:rFonts w:ascii="Times New Roman" w:hAnsi="Times New Roman"/>
          <w:i/>
          <w:iCs/>
          <w:sz w:val="28"/>
          <w:szCs w:val="28"/>
          <w:u w:val="single"/>
        </w:rPr>
        <w:t>Приложение 4 към Указ № 51/2019 на министъра на земеделието от 28 октомври 2019 г.</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1. Приложение 4, точка 2, подточка 2.5 от указа се заменя със следното:</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„2.5. Нормата за допустими емисии за NOx е 320 mg/m3 за изгаряне на лигнитни въглища, 300 mg/m3 за котли за изгаряне на течности, изгарящи твърди горива от биомаса, и 210 mg/m3 за котли за изгаряне на течности, изгарящи други твърди горива.“</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2. Приложение 4, точка 3, подточка 3.3 от указа се заменя със следното:</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„3.3. Нормата за допустими емисии за NOx за дизелови двигатели, ако техните емисии на NOx са ограничени поради първични мерки, е 1 650 mg/m3 за дизелови двигатели, които се използват изключително при проучвателно сондиране, и 1 500 mg/m3 за други дизелови двигатели.“</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 Към приложение 4, точка 3 от указа се добавя следната подточка 3.8:</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„3.8. Нормата за допустими емисии на общ органичен въглерод (TOC) за газови двигатели, които използват природен газ със съдържание на етан, по-голямо от 5 %, е 95 mg/m3.“</w:t>
      </w:r>
    </w:p>
    <w:p w:rsidR="0093333B" w:rsidRPr="00113982"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sidRPr="00113982">
        <w:rPr>
          <w:rFonts w:ascii="Times New Roman" w:hAnsi="Times New Roman"/>
          <w:i/>
          <w:iCs/>
          <w:sz w:val="28"/>
          <w:szCs w:val="28"/>
          <w:u w:val="single"/>
        </w:rPr>
        <w:lastRenderedPageBreak/>
        <w:t>Приложение 5 към Указ № 51/2019 на министъра на земеделието от 28 октомври 2019 г.</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1. В клетка B:5 от таблицата в приложение 5, точка 2 от указа „1 500“ се заменя с „375“.</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2. Приложение 5, точка 2, подточки 2.3 и 2.4 от указа се заменят със следното:</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„2</w:t>
      </w:r>
      <w:r w:rsidR="004E3950">
        <w:rPr>
          <w:rFonts w:ascii="Times New Roman" w:hAnsi="Times New Roman"/>
          <w:sz w:val="24"/>
          <w:szCs w:val="24"/>
        </w:rPr>
        <w:t>.</w:t>
      </w:r>
      <w:r w:rsidRPr="00113982">
        <w:rPr>
          <w:rFonts w:ascii="Times New Roman" w:hAnsi="Times New Roman"/>
          <w:sz w:val="24"/>
          <w:szCs w:val="24"/>
        </w:rPr>
        <w:t>3. Нормата за допустими емисии за NOx за горивни инсталации, изгарящи твърди горива с обща номинална входяща топлинна мощност, по-голяма или равна на 1 MWth, но по-малка от 5 MWth, е 500 mg/Nm3, с изключение на това, че за изгарянето на лигнитни въглища тя е 320 mg/Nm3, и за котли за изгаряне на течности, изгарящи твърди горива от биомаса, тя е 300 mg/Nm3.</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2.4. Нормата за допустими емисии за NOx за котли за изгаряне на течности, изгарящи други твърди горива, е 210 mg/Nm3.“</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 Приложение 5, точка 3, подточка 3.2 от указа се заменя със следното:</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„3.2. В случай на двигатели, които работят 500—1 500 часа годишно, ако техните емисии на NOx са ограничени поради първични мерки, се прилагат следните норми за допустими емисии на NOx:</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i/>
          <w:iCs/>
          <w:sz w:val="24"/>
          <w:szCs w:val="24"/>
        </w:rPr>
        <w:t>a)</w:t>
      </w:r>
      <w:r w:rsidRPr="00113982">
        <w:rPr>
          <w:rFonts w:ascii="Times New Roman" w:hAnsi="Times New Roman"/>
          <w:sz w:val="24"/>
          <w:szCs w:val="24"/>
        </w:rPr>
        <w:t xml:space="preserve"> 1 300 mg/Nm3</w:t>
      </w:r>
      <w:r w:rsidRPr="00113982">
        <w:rPr>
          <w:rFonts w:ascii="Times New Roman" w:hAnsi="Times New Roman"/>
          <w:i/>
          <w:iCs/>
          <w:sz w:val="24"/>
          <w:szCs w:val="24"/>
        </w:rPr>
        <w:t xml:space="preserve"> </w:t>
      </w:r>
      <w:r w:rsidRPr="00113982">
        <w:rPr>
          <w:rFonts w:ascii="Times New Roman" w:hAnsi="Times New Roman"/>
          <w:sz w:val="24"/>
          <w:szCs w:val="24"/>
        </w:rPr>
        <w:t>за дизелови двигатели с обща входяща топлинна мощност, не по-голяма от 20 MWth с ≤ 1 200 r/min;</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i/>
          <w:iCs/>
          <w:sz w:val="24"/>
          <w:szCs w:val="24"/>
        </w:rPr>
        <w:t>б)</w:t>
      </w:r>
      <w:r w:rsidRPr="00113982">
        <w:rPr>
          <w:rFonts w:ascii="Times New Roman" w:hAnsi="Times New Roman"/>
          <w:sz w:val="24"/>
          <w:szCs w:val="24"/>
        </w:rPr>
        <w:t xml:space="preserve"> 1 500 mg/Nm3</w:t>
      </w:r>
      <w:r w:rsidRPr="00113982">
        <w:rPr>
          <w:rFonts w:ascii="Times New Roman" w:hAnsi="Times New Roman"/>
          <w:i/>
          <w:iCs/>
          <w:sz w:val="24"/>
          <w:szCs w:val="24"/>
        </w:rPr>
        <w:t xml:space="preserve"> </w:t>
      </w:r>
      <w:r w:rsidRPr="00113982">
        <w:rPr>
          <w:rFonts w:ascii="Times New Roman" w:hAnsi="Times New Roman"/>
          <w:sz w:val="24"/>
          <w:szCs w:val="24"/>
        </w:rPr>
        <w:t>за дизелови двигатели с обща входяща топлинна мощност, не по-голяма от 20 MWth и за двигатели, работещи с два вида горива, при течен режим;</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i/>
          <w:iCs/>
          <w:sz w:val="24"/>
          <w:szCs w:val="24"/>
        </w:rPr>
        <w:t>в)</w:t>
      </w:r>
      <w:r w:rsidRPr="00113982">
        <w:rPr>
          <w:rFonts w:ascii="Times New Roman" w:hAnsi="Times New Roman"/>
          <w:sz w:val="24"/>
          <w:szCs w:val="24"/>
        </w:rPr>
        <w:t xml:space="preserve"> 750 mg/Nm3 за дизелови двигатели с &gt; 1 200 r/min;</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i/>
          <w:iCs/>
          <w:sz w:val="24"/>
          <w:szCs w:val="24"/>
        </w:rPr>
        <w:t>г)</w:t>
      </w:r>
      <w:r w:rsidRPr="00113982">
        <w:rPr>
          <w:rFonts w:ascii="Times New Roman" w:hAnsi="Times New Roman"/>
          <w:sz w:val="24"/>
          <w:szCs w:val="24"/>
        </w:rPr>
        <w:t xml:space="preserve"> 380 mg/Nm3 за двигатели, работещи с два вида горива, при течен режим.“</w:t>
      </w:r>
    </w:p>
    <w:p w:rsidR="0093333B" w:rsidRPr="00113982"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4. Към приложение 5, точка 3 от указа се добавя следната подточка 3.9:</w:t>
      </w:r>
    </w:p>
    <w:p w:rsidR="0093333B" w:rsidRPr="00113982"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sidRPr="00113982">
        <w:rPr>
          <w:rFonts w:ascii="Times New Roman" w:hAnsi="Times New Roman"/>
          <w:sz w:val="24"/>
          <w:szCs w:val="24"/>
        </w:rPr>
        <w:t>„3.9. Нормата за допустими емисии на общ органичен въглерод (TOC) за газови двигатели, които използват природен газ със съдържание на етан, по-голямо от 5 %, е 95 mg/m3.“</w:t>
      </w:r>
    </w:p>
    <w:sectPr w:rsidR="0093333B" w:rsidRPr="00113982" w:rsidSect="009C445E">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BA" w:rsidRDefault="00CD2BBA" w:rsidP="000A7E07">
      <w:pPr>
        <w:spacing w:after="0" w:line="240" w:lineRule="auto"/>
      </w:pPr>
      <w:r>
        <w:separator/>
      </w:r>
    </w:p>
  </w:endnote>
  <w:endnote w:type="continuationSeparator" w:id="0">
    <w:p w:rsidR="00CD2BBA" w:rsidRDefault="00CD2BBA" w:rsidP="000A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BA" w:rsidRDefault="00CD2BBA" w:rsidP="000A7E07">
      <w:pPr>
        <w:spacing w:after="0" w:line="240" w:lineRule="auto"/>
      </w:pPr>
      <w:r>
        <w:separator/>
      </w:r>
    </w:p>
  </w:footnote>
  <w:footnote w:type="continuationSeparator" w:id="0">
    <w:p w:rsidR="00CD2BBA" w:rsidRDefault="00CD2BBA" w:rsidP="000A7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33B"/>
    <w:rsid w:val="000A7E07"/>
    <w:rsid w:val="00113982"/>
    <w:rsid w:val="00196C2F"/>
    <w:rsid w:val="004E3950"/>
    <w:rsid w:val="0093333B"/>
    <w:rsid w:val="00A8487D"/>
    <w:rsid w:val="00BC7545"/>
    <w:rsid w:val="00C57A18"/>
    <w:rsid w:val="00CD2BBA"/>
    <w:rsid w:val="00D23C28"/>
    <w:rsid w:val="00E377C2"/>
    <w:rsid w:val="00ED5715"/>
    <w:rsid w:val="00F9186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36B07"/>
  <w15:docId w15:val="{7AF770AC-F4EB-4C9B-A399-9E60975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kezds">
    <w:name w:val="Bekezdés"/>
    <w:uiPriority w:val="99"/>
    <w:rsid w:val="0093333B"/>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93333B"/>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93333B"/>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93333B"/>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93333B"/>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93333B"/>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93333B"/>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93333B"/>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93333B"/>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93333B"/>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93333B"/>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93333B"/>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93333B"/>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93333B"/>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93333B"/>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93333B"/>
    <w:pPr>
      <w:autoSpaceDE w:val="0"/>
      <w:autoSpaceDN w:val="0"/>
      <w:adjustRightInd w:val="0"/>
      <w:spacing w:after="0" w:line="240" w:lineRule="auto"/>
      <w:jc w:val="center"/>
    </w:pPr>
    <w:rPr>
      <w:rFonts w:ascii="Times New Roman" w:hAnsi="Times New Roman" w:cs="Times New Roman"/>
      <w:sz w:val="24"/>
      <w:szCs w:val="24"/>
    </w:rPr>
  </w:style>
  <w:style w:type="paragraph" w:styleId="Header">
    <w:name w:val="header"/>
    <w:basedOn w:val="Normal"/>
    <w:link w:val="HeaderChar"/>
    <w:uiPriority w:val="99"/>
    <w:unhideWhenUsed/>
    <w:rsid w:val="000A7E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7E07"/>
  </w:style>
  <w:style w:type="paragraph" w:styleId="Footer">
    <w:name w:val="footer"/>
    <w:basedOn w:val="Normal"/>
    <w:link w:val="FooterChar"/>
    <w:uiPriority w:val="99"/>
    <w:unhideWhenUsed/>
    <w:rsid w:val="000A7E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528FA-D9F5-4FBF-9573-8894115351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DAE3A-C924-4EA0-B4E2-5F884A074EC5}">
  <ds:schemaRefs>
    <ds:schemaRef ds:uri="http://schemas.microsoft.com/sharepoint/v3/contenttype/forms"/>
  </ds:schemaRefs>
</ds:datastoreItem>
</file>

<file path=customXml/itemProps3.xml><?xml version="1.0" encoding="utf-8"?>
<ds:datastoreItem xmlns:ds="http://schemas.openxmlformats.org/officeDocument/2006/customXml" ds:itemID="{494E42F8-CE91-4B51-A438-1638D61F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2041</Words>
  <Characters>11638</Characters>
  <Application>Microsoft Office Word</Application>
  <DocSecurity>0</DocSecurity>
  <Lines>96</Lines>
  <Paragraphs>27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Fazekas Zsolt</dc:creator>
  <cp:lastModifiedBy>Ke, Tingting</cp:lastModifiedBy>
  <cp:revision>10</cp:revision>
  <dcterms:created xsi:type="dcterms:W3CDTF">2020-09-23T07:03:00Z</dcterms:created>
  <dcterms:modified xsi:type="dcterms:W3CDTF">2020-11-27T09:06:00Z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