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F91869" w:rsidRDefault="00E377C2" w:rsidP="009333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sz w:val="20"/>
          <w:szCs w:val="20"/>
        </w:rPr>
        <w:t>1. --</w:t>
      </w:r>
      <w:r w:rsidR="00493C87">
        <w:rPr>
          <w:rFonts w:ascii="Courier New" w:hAnsi="Courier New"/>
          <w:sz w:val="20"/>
          <w:szCs w:val="20"/>
        </w:rPr>
        <w:t>-</w:t>
      </w:r>
      <w:bookmarkStart w:id="0" w:name="_GoBack"/>
      <w:bookmarkEnd w:id="0"/>
      <w:r>
        <w:rPr>
          <w:rFonts w:ascii="Courier New" w:hAnsi="Courier New"/>
          <w:sz w:val="20"/>
          <w:szCs w:val="20"/>
        </w:rPr>
        <w:t xml:space="preserve">---IND- 2019 0309 HU- HR- ------ </w:t>
      </w:r>
      <w:r>
        <w:rPr>
          <w:rFonts w:ascii="Segoe UI" w:hAnsi="Segoe UI"/>
          <w:color w:val="000000"/>
          <w:sz w:val="20"/>
          <w:szCs w:val="20"/>
        </w:rPr>
        <w:t>20201130</w:t>
      </w:r>
      <w:r>
        <w:rPr>
          <w:rFonts w:ascii="Calibri" w:hAnsi="Calibri"/>
          <w:sz w:val="20"/>
          <w:szCs w:val="20"/>
        </w:rPr>
        <w:t xml:space="preserve"> </w:t>
      </w:r>
      <w:r>
        <w:rPr>
          <w:rFonts w:ascii="Courier New" w:hAnsi="Courier New"/>
          <w:sz w:val="20"/>
          <w:szCs w:val="20"/>
        </w:rPr>
        <w:t>--- --- FINAL</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bCs/>
          <w:sz w:val="28"/>
          <w:szCs w:val="28"/>
        </w:rPr>
        <w:t>Uredba br. 51/2019 ministra poljoprivrede od 28. listopada 2019.</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bCs/>
          <w:sz w:val="28"/>
          <w:szCs w:val="28"/>
        </w:rPr>
        <w:t>o izmjeni Uredbe br. 53/2017 ministra poljoprivrede od 18. listopada 2017. o uvjetima rada uređaja za loženje s ukupnom nazivnom toplinskom ulaznom snagom većom od ili jednakom 140 kWth, ali manjom od 50 MWth, te o graničnim vrijednostima onečišćivača zraka emitiranih iz njih</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U skladu s ovlaštenjem danim na temelju članka 110. stavka 8. točke (g) Zakona LIII iz 1995. o općim pravilima za zaštitu okoliša, djelujući u okviru svojih dužnosti, kako je utvrđeno člankom 79. stavkom 9. Uredbe Vlade br. 94/2018 od 22. svibnja 2018. o dužnostima i ovlastima članova Vlade, ovime donosim sljedeće: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Članak 1.</w:t>
      </w:r>
      <w:r>
        <w:rPr>
          <w:rFonts w:ascii="Times New Roman" w:hAnsi="Times New Roman"/>
          <w:sz w:val="24"/>
          <w:szCs w:val="24"/>
        </w:rPr>
        <w:t xml:space="preserve"> 1. Točka 1.a navedena u nastavku dodaje se članku 2. stavku 1. Uredbe 53/2017 ministra poljoprivrede od 18. listopada 2017. o uvjetima rada uređaja za loženje s ukupnom nazivnom toplinskom ulaznom snagom većom od ili jednakom 140 kWth, ali manjom od 50 MWth, te o graničnim vrijednostima onečišćujućih tvari u zraku emitiranih iz njih (dalje u tekstu „Uredba”):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(Za potrebe ove Uredbe)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„1.a ‚</w:t>
      </w:r>
      <w:r>
        <w:rPr>
          <w:rFonts w:ascii="Times New Roman" w:hAnsi="Times New Roman"/>
          <w:i/>
          <w:iCs/>
          <w:sz w:val="24"/>
          <w:szCs w:val="24"/>
        </w:rPr>
        <w:t>sustav za prijenos plina</w:t>
      </w:r>
      <w:r>
        <w:rPr>
          <w:rFonts w:ascii="Times New Roman" w:hAnsi="Times New Roman"/>
          <w:sz w:val="24"/>
          <w:szCs w:val="24"/>
        </w:rPr>
        <w:t>’ znači kooperativni sustav prirodnog plina u skladu sa Zakonom XL iz 2008. o opskrbi prirodnim plinom;”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Članak 2. stavak 1. točka 9. Uredbe zamjenjuje se sljedećim: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„9. ‚</w:t>
      </w:r>
      <w:r>
        <w:rPr>
          <w:rFonts w:ascii="Times New Roman" w:hAnsi="Times New Roman"/>
          <w:i/>
          <w:iCs/>
          <w:sz w:val="24"/>
          <w:szCs w:val="24"/>
        </w:rPr>
        <w:t>ukupna nazivna toplinska ulazna snaga</w:t>
      </w:r>
      <w:r>
        <w:rPr>
          <w:rFonts w:ascii="Times New Roman" w:hAnsi="Times New Roman"/>
          <w:sz w:val="24"/>
          <w:szCs w:val="24"/>
        </w:rPr>
        <w:t>’ znači zbroj nazivnih toplinskih ulaznih snaga uređaja za loženje, izračunan prema pravilu zbrajanja, koji je u slučaju uređaja za loženje jednak njegovoj nazivnoj toplinskoj ulaznoj snazi;”</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Članak 2.</w:t>
      </w:r>
      <w:r>
        <w:rPr>
          <w:rFonts w:ascii="Times New Roman" w:hAnsi="Times New Roman"/>
          <w:sz w:val="24"/>
          <w:szCs w:val="24"/>
        </w:rPr>
        <w:t xml:space="preserve"> 1. Članak 4. stavci 6. i 7. Uredbe stupaju na snagu u sljedećem obliku: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„6. Granične vrijednosti emisija navedene u Prilogu 1. primjenjuju se na uređaje za loženje kategorije I. s ukupnom nazivnom toplinskom ulaznom snagom većom od ili jednakom 1 MWth koji rade najviše 500 radnih sati godišnje kao tekući prosjek tijekom razdoblja od pet godina, uz iznimku da granična vrijednost emisija za krute materijale za uređaje za loženje goriva iz krute biomase iznosi 200 mg/Nm3, a granična vrijednost emisija za ugljikov monoksid iznosi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7. Do 1. siječnja 2030. granične vrijednosti navedene u Prilogu 1. primjenjuju se na uređaje za loženje kategorije I. s ukupnom nazivnom toplinskom ulaznom snagom većom od 5 MWth pri čemu se 50 % proizvodnje korisne topline takvih uređaja, kao tekući prosjek tijekom razdoblja od pet godina, pruža u obliku pare ili tople ili vruće vode za javnu mrežu za centralizirano grijanje, uz iznimku da granična vrijednost emisija za sumporov dioksid za uređaje za loženje krutih i tekućih goriva iznosi 1 100 mg/Nm3, a granična vrijednost emisija za krute materijale za uređaje za loženje krutih goriva iznosi 150 mg/Nm3, dok granična vrijednost emisija za ugljikov monoksid za uređaje za loženje goriva iz krute biomase iznosi 375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Članak 4. stavak 9. Uredbe stupa na snagu u sljedećem obliku:</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„9. Do 1. siječnja 2030. granične vrijednosti emisija navedene u Prilogu 1. primjenjuju se na dušikove okside iz motora i plinskih turbina kategorije 1. s ukupnom nazivnom toplinskom ulaznom snagom većom od 5 MWth i koji se upotrebljavaju za pokretanje stanica za komprimiranje plina potrebnih radi osiguravanja sigurnosti i zaštite sustava za prijenos plina, uz </w:t>
      </w:r>
      <w:r>
        <w:rPr>
          <w:rFonts w:ascii="Times New Roman" w:hAnsi="Times New Roman"/>
          <w:sz w:val="24"/>
          <w:szCs w:val="24"/>
        </w:rPr>
        <w:lastRenderedPageBreak/>
        <w:t>iznimku da u slučaju plinskih motora puštenih u rad prije 1. siječnja 1994., granična vrijednost emisija za dušikove okside iznosi 565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Članak 4. stavak 10. Uredbe zamjenjuje se sljedećim: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„10. Granične vrijednosti emisija navedene u Prilogu 1. primjenjuju se na uređaje za loženje kategorije II. koji rade najviše 500 radnih sati godišnje kao tekući prosjek tijekom razdoblja od tri godine, uz iznimku da granična vrijednost emisija za krute materijale za uređaje za loženje krutih goriva iznosi 100 mg/Nm3, a granična vrijednost emisija za ugljikov monoksid za uređaje za loženje s ukupnom nazivnom toplinskom ulaznom snagom većom od ili jednakom 1 MWth u kojima se loži gorivo iz krute biomase iznosi 375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Članak 4. stavak 13. Uredbe zamjenjuje se sljedećim: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„13. U slučaju stacionarnih motora, granične vrijednosti emisija ne primjenjuju se na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a)</w:t>
      </w:r>
      <w:r>
        <w:rPr>
          <w:rFonts w:ascii="Times New Roman" w:hAnsi="Times New Roman"/>
          <w:sz w:val="24"/>
          <w:szCs w:val="24"/>
        </w:rPr>
        <w:t xml:space="preserve"> motore s nazivnom toplinskom ulaznom snagom manjom od 1 MWth, čija je upotreba goriva manja od 50 kg/h; 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b)</w:t>
      </w:r>
      <w:r>
        <w:rPr>
          <w:rFonts w:ascii="Times New Roman" w:hAnsi="Times New Roman"/>
          <w:sz w:val="24"/>
          <w:szCs w:val="24"/>
        </w:rPr>
        <w:t xml:space="preserve"> stacionarne motore s napajanjem u slučaju nužde koji rade manje od 50 sati godišnje.”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Članak 3. </w:t>
      </w:r>
      <w:r>
        <w:rPr>
          <w:rFonts w:ascii="Times New Roman" w:hAnsi="Times New Roman"/>
          <w:sz w:val="24"/>
          <w:szCs w:val="24"/>
        </w:rPr>
        <w:t>Članak 12. stavci 2. i 3. Uredbe zamjenjuje se sljedećim: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Do 31. prosinca 2029. granične vrijednosti emisija navedene u Prilogu 1. primjenjuju se na uređaje za loženje kategorije I. s ukupnom nazivnom toplinskom ulaznom snagom većom od ili jednakom 1 MWth, ali manjom od 5 MWth, uz sljedeće iznimke: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u slučaju loženja krute biomase, granična vrijednost emisija za ugljikov monoksid iznosi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u slučaju plinskih motora puštenih u rad prije 1. siječnja 1994. s ukupnom nazivnom toplinskom ulaznom snagom većom od 3 MWth, granična vrijednost emisija za dušikove okside iznosi 565 mg/Nm3, granična vrijednost emisija CO za četverotaktne motore iznosi 375 mg/Nm3, za dvotaktne motore iznosi 320 mg/Nm3, a za ukupne organske spojeve, izražene kao C (ugljik), osim metana, granična vrijednost emisija iznosi 115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Do 31. prosinca 2024. granične vrijednosti emisija navedene u Prilogu 1. primjenjuju se na uređaje za loženje kategorije I. s ukupnom nazivnom toplinskom ulaznom snagom većom od 5 MWth, uz sljedeće iznimke: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u slučaju loženja krute biomase granična vrijednost emisija za ugljikov monoksid iznosi 375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u slučaju plinskih motora puštenih u rad prije 1. siječnja 1994. granična vrijednost emisija za dušikove okside iznosi 565 mg/Nm3, granična vrijednost emisija za ugljikov monoksid za četverotaktne motore iznosi 375 mg/Nm3, za dvotaktne motore iznosi 320 mg/Nm3, a za ukupne organske spojeve, izražene kao C (ugljik), osim metana, granična vrijednost emisija iznosi 115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Članak 4.</w:t>
      </w:r>
      <w:r>
        <w:rPr>
          <w:rFonts w:ascii="Times New Roman" w:hAnsi="Times New Roman"/>
          <w:sz w:val="24"/>
          <w:szCs w:val="24"/>
        </w:rPr>
        <w:t xml:space="preserve"> 1. Prilog 1. Uredbi mijenja se u skladu s Prilogom 1.</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Prilog 2. Uredbi stupa na snagu u skladu s Prilogom 2.</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Prilog 3. Uredbi stupa na snagu u skladu s Prilogom 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Prilog 4. Uredbi mijenja se u skladu s Prilogom 4.</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5. Prilog 5. Uredbi mijenja se u skladu s Prilogom 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Članak 5.</w:t>
      </w:r>
      <w:r>
        <w:rPr>
          <w:rFonts w:ascii="Times New Roman" w:hAnsi="Times New Roman"/>
          <w:sz w:val="24"/>
          <w:szCs w:val="24"/>
        </w:rPr>
        <w:t xml:space="preserve"> Podtočka 3.4. točke 3. Priloga 4. Uredbi ovime prestaje važiti.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Članak 6.</w:t>
      </w:r>
      <w:r>
        <w:rPr>
          <w:rFonts w:ascii="Times New Roman" w:hAnsi="Times New Roman"/>
          <w:sz w:val="24"/>
          <w:szCs w:val="24"/>
        </w:rPr>
        <w:t xml:space="preserve"> 1. Ova Uredba, uz iznimke definirane u stavcima 2. i 3., stupa na snagu petnaestog dana nakon njezine objave.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Članak 2. stavci 1. i 2., članak 4. stavak 3. i Prilog 3. stupaju na snagu 1. siječnja 2025.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Članak 4. stavak 2. i Prilog 2. stupaju na snagu 1. siječnja 2030.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lastRenderedPageBreak/>
        <w:t xml:space="preserve">Članak 7. </w:t>
      </w:r>
      <w:r>
        <w:rPr>
          <w:rFonts w:ascii="Times New Roman" w:hAnsi="Times New Roman"/>
          <w:sz w:val="24"/>
          <w:szCs w:val="24"/>
        </w:rPr>
        <w:t>1. Ova Uredba služi u svrhu sukladnosti s Direktivom (EU) 2015/2193 Europskog parlamenta i Vijeća od 25. studenoga 2015. o ograničenju emisija određenih onečišćujućih tvari u zrak iz srednjih uređaja za loženje.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Ispunjen je zahtjev za slanje prethodne obavijesti o ovoj Uredbi, kako je propisano člancima 5. do 7. Direktive (EU) 2015/1535 Europskog parlamenta i Vijeća od 9. rujna 2015. o utvrđivanju postupka pružanja informacija u području tehničkih propisa i pravila o uslugama informacijskog društva.</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Prilog 1. Uredbi br. 51/2019 ministra poljoprivrede od 28. listopada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Podtočka 2.3. točke 2. Priloga 1. Uredbi zamjenjuje se sljedećim: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„2.3. Granična vrijednost emisija za NOx iznosi 320 mg/m3 za loženje lignita, 300 mg/m3 za kotlove za loženje s fluidom u kojima se lože goriva iz krute biomase te 210 mg/m3 za kotlove za loženje s fluidom u kojima se lože druga kruta goriva.”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Podtočka 3.1. točke 3. Priloga 1. Uredbi zamjenjuje se sljedećim: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„3.1. Granična vrijednost emisija za NOx iznosi 300 mg/m3 za dvotaktne motore, 225 mg/m3 za četverotaktne plinske motore u kojima se loži bioplin i odlagališni plin, 1 650 mg/m3 za dizelske motore koji se isključivo upotrebljavaju za bušenje u svrhu istraživanja i 1 500 mg/m3 za druge dizelske motore.”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Sljedeća podtočka 3.4. dodaje se točki 3. Priloga 1. Uredbi: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„3.4. Granična vrijednost emisija ukupnog organskog ugljika (TOC) za plinske motore u kojima se upotrebljava prirodni plin sa sadržajem etana većim od 5 % iznosi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Prilog 2. Uredbi br. 51/2019 ministra poljoprivrede od 28. listopada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U polju B:5 tablice u točki 2. iz Priloga 2. Uredbi broj „1 500” zamjenjuje se brojem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Podtočka 2.5. točke 2. Priloga 2. Uredbi stupa na snagu kako slijedi: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„2.5. Granična vrijednost emisija za NOx iznosi 320 mg/Nm3 za loženje lignita, 300 mg/Nm3 za kotlove za loženje s fluidom u kojima se lože goriva iz krute biomase te 210 mg/Nm3 za kotlove za loženje s fluidom u kojima se lože druga kruta goriva.”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Podtočka 3.3. točke 3. Priloga 2. Uredbi stupa na snagu kako slijedi:</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„3.3. Granična vrijednost emisija za NOx iznosi 1 500 mg/Nm3 u sljedećim slučajevima: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za dizelske motore čija je izrada počela prije 18. svibnja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za motore s dvojnim gorivom u načinu rada s tekućim gorivom.”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Sljedeća podtočka 3.8. dodaje se točki 3. Priloga 2. Uredbi: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„3.8. Granična vrijednost emisija ukupnog organskog ugljika (TOC) za plinske motore u kojima se upotrebljava prirodni plin sa sadržajem etana većim od 5 % iznosi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Prilog 3. Uredbi br. 51/2019 ministra poljoprivrede od 28. listopada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U polju B:5 tablice u točki 2. iz Priloga 3. Uredbi, broj „1 500” zamjenjuje se brojem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Podtočka 2.6. točke 2. Priloga 3. Uredbi stupa na snagu kako slijedi: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„2.6. Granična vrijednost emisija za NOx iznosi 320 mg/m3 za loženje lignita, 300 mg/m3 za kotlove za loženje s fluidom u kojima se lože goriva iz krute biomase te 210 mg/m3 za kotlove za loženje s fluidom u kojima se lože druga kruta goriva.”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lastRenderedPageBreak/>
        <w:t>3. Podtočka 3.2. točke 3. Priloga 3. Uredbi stupa na snagu kako slijedi:</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„3,2. Granična vrijednost emisija za NOx iznosi 1 500 mg/Nm3 u sljedećim slučajevima: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za dizelske motore čija je izrada počela prije 18. svibnja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za motore s dvojnim gorivom u načinu rada s tekućim gorivom.”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Točka 3. Priloga 3. Uredbi stupa na snagu sa sljedećim podtočkama 3.9. i 3.10.: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„3.9. Granična vrijednost emisija ukupnog organskog ugljika (TOC) za plinske motore u kojima se upotrebljava prirodni plin sa sadržajem etana većim od 5 % iznosi 95 mg/m3.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3.10. U slučaju plinskih motora koji su pušteni u rad prije 1. siječnja 1994. i koji se upotrebljavaju za pokretanje stanica za komprimiranje plina potrebnih radi osiguravanja sigurnosti i zaštite sustava za prijenos plina, granična vrijednost emisija CO za četverotaktne motore iznosi 375 mg/m3, za dvotaktne motore iznosi 320 mg/m3, a granična vrijednost emisija ukupnog organskog ugljika (TOC) iznosi 115 mg/m3 do 1. siječnja 2030.”</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Prilog 4. Uredbi br. 51/2019 ministra poljoprivrede od 28. listopada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Podtočka 2.5. točke 2. Priloga 4. Uredbi zamjenjuje se sljedećim: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„2.5. Granična vrijednost emisija za NOx iznosi 320 mg/m3 za loženje lignita, 300 mg/m3 za kotlove za loženje s fluidom u kojima se lože goriva iz krute biomase te 210 mg/m3 za kotlove za loženje s fluidom u kojima se lože druga kruta goriva.”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Podtočka 3.3. točke 3. Priloga 4. Uredbi zamjenjuje se sljedećim: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„3.3. Granična vrijednost emisija za NOx za dizelske motore, ako je njihova emisija NOx ograničena zbog primarnih mjera, iznosi 1 650 mg/m3 za dizelske motore koji se isključivo upotrebljavaju za bušenje u svrhu istraživanja i 1 500 mg/m3 za druge dizelske motore.”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Sljedeća podtočka 3.8. dodaje se točki 3. Priloga 4. Uredbi: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„3.8. Granična vrijednost emisija ukupnog organskog ugljika (TOC) za plinske motore u kojima se upotrebljava prirodni plin sa sadržajem etana većim od 5 % iznosi 95 mg/m3.”</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Prilog 5. Uredbi br. 51/2019 ministra poljoprivrede od 28. listopada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U polju B:5 tablice u točki 2. iz Priloga 5. Uredbi broj „1 500” zamjenjuje se brojem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Podtočke 2.3. i 2.4. točke 2. Priloga 5. Uredbi zamjenjuju se sljedećim: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„2.3. Granična vrijednost emisija za NOx za uređaje za loženje krutih goriva s ukupnom nazivnom toplinskom ulaznom snagom većom od ili jednakom 1 MWth, ali manjom od 5 MWth, iznosi 500 mg/Nm3, uz iznimku da za loženje lignita iznosi 320 mg/Nm3, a za kotlove za loženje s fluidom u kojima se lože goriva iz krute biomase iznosi 300 mg/Nm3.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2.4. Granična vrijednost emisija za NOx za kotlove za loženje s fluidom u kojima se lože druga kruta goriva iznosi 210 mg/Nm3.”</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Podtočka 3.2. točke 3. Priloga 5. Uredbi zamjenjuje se sljedećim: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„3.2. U slučaju motora koji godišnje rade 500–1 500 sati, ako je njihova emisija NOx ograničena zbog primarnih mjera, primjenjuju se sljedeće granične vrijednosti emisija za NOx:</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1 300 mg/Nm3</w:t>
      </w:r>
      <w:r>
        <w:rPr>
          <w:rFonts w:ascii="Times New Roman" w:hAnsi="Times New Roman"/>
          <w:i/>
          <w:iCs/>
          <w:sz w:val="24"/>
          <w:szCs w:val="24"/>
        </w:rPr>
        <w:t xml:space="preserve"> </w:t>
      </w:r>
      <w:r>
        <w:rPr>
          <w:rFonts w:ascii="Times New Roman" w:hAnsi="Times New Roman"/>
          <w:sz w:val="24"/>
          <w:szCs w:val="24"/>
        </w:rPr>
        <w:t>za dizelske motore s ukupnom nazivnom toplinskom ulaznom snagom do najviše 20 MWth s ≤ 1 200 r/min;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1 500 mg/Nm3</w:t>
      </w:r>
      <w:r>
        <w:rPr>
          <w:rFonts w:ascii="Times New Roman" w:hAnsi="Times New Roman"/>
          <w:i/>
          <w:iCs/>
          <w:sz w:val="24"/>
          <w:szCs w:val="24"/>
        </w:rPr>
        <w:t xml:space="preserve"> </w:t>
      </w:r>
      <w:r>
        <w:rPr>
          <w:rFonts w:ascii="Times New Roman" w:hAnsi="Times New Roman"/>
          <w:sz w:val="24"/>
          <w:szCs w:val="24"/>
        </w:rPr>
        <w:t>za dizelske motore s ukupnom nazivnom toplinskom ulaznom snagom većom od 20 MWth i za motore s dvojnim gorivom u načinu rada s tekućim gorivom;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(c)</w:t>
      </w:r>
      <w:r>
        <w:rPr>
          <w:rFonts w:ascii="Times New Roman" w:hAnsi="Times New Roman"/>
          <w:sz w:val="24"/>
          <w:szCs w:val="24"/>
        </w:rPr>
        <w:t xml:space="preserve"> 750 mg/Nm</w:t>
      </w:r>
      <w:r>
        <w:rPr>
          <w:rFonts w:ascii="Times New Roman" w:hAnsi="Times New Roman"/>
          <w:i/>
          <w:iCs/>
          <w:sz w:val="24"/>
          <w:szCs w:val="24"/>
        </w:rPr>
        <w:t>3</w:t>
      </w:r>
      <w:r>
        <w:rPr>
          <w:rFonts w:ascii="Times New Roman" w:hAnsi="Times New Roman"/>
          <w:sz w:val="24"/>
          <w:szCs w:val="24"/>
        </w:rPr>
        <w:t xml:space="preserve"> za dizelske motore s &gt; 1 200 r/min;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(d)</w:t>
      </w:r>
      <w:r>
        <w:rPr>
          <w:rFonts w:ascii="Times New Roman" w:hAnsi="Times New Roman"/>
          <w:sz w:val="24"/>
          <w:szCs w:val="24"/>
        </w:rPr>
        <w:t xml:space="preserve"> 380 mg/Nm3 za motore s dvojnim gorivom u načinu rada s plinovitim gorivom.”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lastRenderedPageBreak/>
        <w:t>4. Sljedeća podtočka 3.9. dodaje se točki 3. Priloga 5. Uredbi: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„3.9. Granična vrijednost emisija ukupnog organskog ugljika (TOC) za plinske motore u kojima se upotrebljava prirodni plin sa sadržajem etana većim od 5 % iznosi 95 mg/m3.”</w:t>
      </w:r>
    </w:p>
    <w:sectPr w:rsidR="0093333B"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007" w:rsidRDefault="00903007" w:rsidP="000A7E07">
      <w:pPr>
        <w:spacing w:after="0" w:line="240" w:lineRule="auto"/>
      </w:pPr>
      <w:r>
        <w:separator/>
      </w:r>
    </w:p>
  </w:endnote>
  <w:endnote w:type="continuationSeparator" w:id="0">
    <w:p w:rsidR="00903007" w:rsidRDefault="00903007"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007" w:rsidRDefault="00903007" w:rsidP="000A7E07">
      <w:pPr>
        <w:spacing w:after="0" w:line="240" w:lineRule="auto"/>
      </w:pPr>
      <w:r>
        <w:separator/>
      </w:r>
    </w:p>
  </w:footnote>
  <w:footnote w:type="continuationSeparator" w:id="0">
    <w:p w:rsidR="00903007" w:rsidRDefault="00903007"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196C2F"/>
    <w:rsid w:val="00493C87"/>
    <w:rsid w:val="00903007"/>
    <w:rsid w:val="0093333B"/>
    <w:rsid w:val="00A8487D"/>
    <w:rsid w:val="00D23C28"/>
    <w:rsid w:val="00E377C2"/>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9676"/>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528FA-D9F5-4FBF-9573-8894115351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DAE3A-C924-4EA0-B4E2-5F884A074EC5}">
  <ds:schemaRefs>
    <ds:schemaRef ds:uri="http://schemas.microsoft.com/sharepoint/v3/contenttype/forms"/>
  </ds:schemaRefs>
</ds:datastoreItem>
</file>

<file path=customXml/itemProps3.xml><?xml version="1.0" encoding="utf-8"?>
<ds:datastoreItem xmlns:ds="http://schemas.openxmlformats.org/officeDocument/2006/customXml" ds:itemID="{494E42F8-CE91-4B51-A438-1638D61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1955</Words>
  <Characters>11150</Characters>
  <Application>Microsoft Office Word</Application>
  <DocSecurity>0</DocSecurity>
  <Lines>92</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Ke, Tingting</cp:lastModifiedBy>
  <cp:revision>7</cp:revision>
  <dcterms:created xsi:type="dcterms:W3CDTF">2020-09-23T07:03:00Z</dcterms:created>
  <dcterms:modified xsi:type="dcterms:W3CDTF">2020-11-27T08:59:00Z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