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AE84A7" w14:textId="75EF08F9" w:rsidR="00817DDD" w:rsidRPr="00817DDD" w:rsidRDefault="00817DDD" w:rsidP="00817DDD">
      <w:pPr>
        <w:spacing w:after="120"/>
        <w:ind w:right="14"/>
        <w:jc w:val="center"/>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0468 F-- DA-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 xml:space="preserve">DEN FRANSKE REPUBLIK</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 xml:space="preserve">Ministeriet for grøn omstilling og økonomi- og finansministeriet</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 xml:space="preserve">Dekret nr. 2020-xxx af xx xxx 2020</w:t>
        <w:br/>
        <w:t xml:space="preserve">om reparerbarhedsindeks for elektrisk og elektronisk udstyr</w:t>
      </w:r>
    </w:p>
    <w:p w14:paraId="00000015" w14:textId="3A2425A6" w:rsidR="00EF7252" w:rsidRDefault="00817DDD" w:rsidP="00081B50">
      <w:pPr>
        <w:pBdr>
          <w:top w:val="nil"/>
          <w:left w:val="nil"/>
          <w:bottom w:val="nil"/>
          <w:right w:val="nil"/>
          <w:between w:val="nil"/>
        </w:pBdr>
        <w:jc w:val="center"/>
        <w:rPr>
          <w:i/>
          <w:color w:val="000000"/>
        </w:rPr>
      </w:pPr>
      <w:r>
        <w:rPr>
          <w:color w:val="000000"/>
        </w:rPr>
        <w:t xml:space="preserve">NOR: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i/>
          <w:color w:val="000000"/>
          <w:b/>
        </w:rPr>
        <w:t xml:space="preserve">Berørte grupper: </w:t>
      </w:r>
      <w:r>
        <w:rPr>
          <w:i/>
          <w:color w:val="000000"/>
        </w:rPr>
        <w:t xml:space="preserve">Producenter, importører eller andre markedsførere af elektrisk og elektronisk udstyr samt forhandlere af sådant udstyr og virksomheder, som bruger et websted, en platform eller en anden onlinedistributionsform som led i deres erhvervsaktivitet i Frankrig</w:t>
      </w:r>
      <w:r>
        <w:rPr>
          <w:i/>
          <w:color w:val="000000"/>
        </w:rPr>
        <w:t xml:space="preserve">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i/>
          <w:color w:val="000000"/>
          <w:b/>
        </w:rPr>
        <w:t xml:space="preserve">Emne:</w:t>
      </w:r>
      <w:r>
        <w:rPr>
          <w:i/>
          <w:color w:val="000000"/>
        </w:rPr>
        <w:t xml:space="preserve"> Regler for anvendelse af reparerbarhedsindeks i henhold til miljølovens artikel L.541-9-2</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i/>
          <w:color w:val="000000"/>
          <w:b/>
        </w:rPr>
        <w:t xml:space="preserve">Ikrafttrædelse:</w:t>
      </w:r>
      <w:r>
        <w:rPr>
          <w:i/>
          <w:color w:val="000000"/>
        </w:rPr>
        <w:t xml:space="preserve"> Retsakten træder i kraft den 1. januar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i/>
          <w:color w:val="000000"/>
          <w:b/>
        </w:rPr>
        <w:t xml:space="preserve">Beskrivelse:</w:t>
      </w:r>
      <w:r>
        <w:rPr>
          <w:i/>
          <w:color w:val="000000"/>
        </w:rPr>
        <w:t xml:space="preserve"> I dette dekret fastlægges regler for anvendelse af miljølovens artikel L.541-9-2 om indførelse af et reparerbarhedsindeks for visse kategorier af elektrisk og elektronisk udstyr.</w:t>
      </w:r>
      <w:r>
        <w:rPr>
          <w:i/>
          <w:color w:val="000000"/>
        </w:rPr>
        <w:t xml:space="preserve"> </w:t>
      </w:r>
      <w:r>
        <w:rPr>
          <w:i/>
          <w:color w:val="000000"/>
        </w:rPr>
        <w:t xml:space="preserve">Det præciserer bl.a. de valgte kriterier og metoder for beregning af dette indeks.</w:t>
      </w:r>
      <w:r>
        <w:rPr>
          <w:i/>
          <w:color w:val="000000"/>
        </w:rPr>
        <w:t xml:space="preserve"> </w:t>
      </w:r>
      <w:r>
        <w:rPr>
          <w:i/>
          <w:color w:val="000000"/>
        </w:rPr>
        <w:t xml:space="preserve">Producenter og importører af det berørte udstyr oplyser vederlagsfrit distributører og enhver, som anmoder om det, om reparerbarhedsindekset og de tilhørende beregningsparametre.</w:t>
      </w:r>
      <w:r>
        <w:rPr>
          <w:i/>
          <w:color w:val="000000"/>
        </w:rPr>
        <w:t xml:space="preserve"> </w:t>
      </w:r>
      <w:r>
        <w:rPr>
          <w:i/>
          <w:color w:val="000000"/>
        </w:rPr>
        <w:t xml:space="preserve">Distributører, herunder fjernsalgsdistributører, oplyser vederlagsfrit forbrugeren ved køb om det pågældende udstyrs reparerbarhedsindeks ved hjælp af en mærkning, et mærke eller et opslag eller enhver anden hensigtsmæssig måde.</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i/>
          <w:color w:val="000000"/>
          <w:b/>
        </w:rPr>
        <w:t xml:space="preserve">Henvisning:</w:t>
      </w:r>
      <w:r>
        <w:rPr>
          <w:i/>
          <w:color w:val="000000"/>
        </w:rPr>
        <w:t xml:space="preserve"> Nærværende dekret findes på Légifrances websted (</w:t>
      </w:r>
      <w:hyperlink r:id="rId8">
        <w:r>
          <w:rPr>
            <w:i/>
            <w:color w:val="000000"/>
            <w:u w:val="single"/>
          </w:rPr>
          <w:t xml:space="preserve">http://www.legifrance.gouv.fr</w:t>
        </w:r>
      </w:hyperlink>
      <w:r>
        <w:rPr>
          <w:i/>
          <w:color w:val="000000"/>
        </w:rPr>
        <w:t xml:space="preserve">).</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 xml:space="preserve">Premierministeren har</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på baggrund af en rapport fra ministeren for grøn omstilling og økonomi- og finansministeren</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under henvisning til Europa-Parlamentets og Rådets direktiv 2008/98/EF af 19. november 2008 om affald og om ophævelse af visse direktiver</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under henvisning til Europa-Parlamentets og Rådets direktiv (EU) 2015/1535 af 9. september 2015 om en informationsprocedure med hensyn til tekniske forskrifter samt forskrifter for informationssamfundets tjenester</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under henvisning til lov om forbrug, især den indledende artikel i den affattelse, der følger af lov nr. 2017-203 af 21. februar 2017 om godkendelse af regeringslov nr. 2016-301 af 14. marts 2016 og nr. 2016-351 af 25. marts 2016</w:t>
      </w:r>
      <w:r>
        <w:rPr>
          <w:color w:val="000000"/>
        </w:rPr>
        <w:t xml:space="preserve">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under henvisning til miljøloven, især artikel L.541-9-2, i den affattelse, der følger af artikel 16 i lov nr. 2020-105 af 10. februar 2020 om bekæmpelse af spild og om cirkulær økonomi </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under henvisning til notifikation nr. XXXX/XXXX/X tilsendt Europa-Kommissionen i medfør af direktiv (EU)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og efter høring af statsrådet (Conseil d'Etat) (sektion for offentlige arbejder)</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 xml:space="preserve">udstedt følgende dekret:</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 xml:space="preserve">Artikel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miljølovens forskriftsmæssige del, bind V, titel IV, indsættes et kapitel IV og et afsnit 1 med følgende ordlyd:</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 xml:space="preserve">"Kapitel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 xml:space="preserve">Oplysninger til offentligheden om affaldsproducerende produkter</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 xml:space="preserve">Afsnit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 xml:space="preserve">Mærkning af reparerbarhedsindeks</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1" w:name="_heading=h.gjdgxs"/>
      <w:bookmarkEnd w:id="1"/>
      <w:r>
        <w:rPr>
          <w:color w:val="000000"/>
        </w:rPr>
        <w:t xml:space="preserve">Artikel R.544-1. – Reparerbarhedsindekset for elektrisk og elektronisk udstyr som fastlagt i miljølovens artikel L.541-9-2 svarer til et pointtal fra 1 til 10, som skal oplyses, når forbrugerne køber nyt udstyr.</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Dette indeks gælder for hver enkelt model af dette udstyr.</w:t>
      </w:r>
      <w:r>
        <w:rPr>
          <w:color w:val="000000"/>
        </w:rPr>
        <w:t xml:space="preserve">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Artikel R.544-2. – I dette dekret forstås ved:</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 xml:space="preserve">1. "tilgængeliggørelse på markedet": levering som led i en forretningsaktivitet af elektrisk eller elektronisk udstyr, som er bestemt til distribution eller anvendelse på det nationale marked, mod eller uden vederlag</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 xml:space="preserve">2. "markedsføring": første tilgængeliggørelse af elektrisk eller elektronisk udstyr på det nationale marked</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 xml:space="preserve">3. "producent": fysisk eller juridisk person, som fremstiller eller får konstrueret elektrisk eller elektronisk udstyr og afsætter det i eget navn eller i eget mærke</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 xml:space="preserve">4. "importør": fysisk eller juridisk person, som bringer elektrisk eller elektronisk udstyr på det nationale marked med oprindelse i EU-medlemsstater eller tredjelande</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 xml:space="preserve">5. "distributør": fysisk eller juridisk person, som indgår i forsyningskæden bortset fra producenten eller importøren, og som udbyder elektrisk eller elektronisk udstyr til salg på det nationale marked</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t xml:space="preserve">6. "forhandler": fysisk eller juridisk person, der som led i en forretningsaktivitet gør elektrisk eller elektronisk udstyr tilgængeligt på markedet og sælger det til forbrugere, herunder ved fjernsalg</w:t>
      </w:r>
      <w:r>
        <w:rPr>
          <w:color w:val="000000"/>
        </w:rPr>
        <w:t xml:space="preserve"> </w:t>
      </w:r>
    </w:p>
    <w:p w14:paraId="00000036" w14:textId="77777777" w:rsidR="00EF7252" w:rsidRDefault="007C6B33" w:rsidP="00081B50">
      <w:pPr>
        <w:pBdr>
          <w:top w:val="nil"/>
          <w:left w:val="nil"/>
          <w:bottom w:val="nil"/>
          <w:right w:val="nil"/>
          <w:between w:val="nil"/>
        </w:pBdr>
        <w:spacing w:after="120"/>
        <w:jc w:val="both"/>
        <w:rPr>
          <w:b/>
          <w:color w:val="000000"/>
        </w:rPr>
      </w:pPr>
      <w:r>
        <w:rPr>
          <w:color w:val="000000"/>
        </w:rPr>
        <w:t xml:space="preserve">7. "fjernsalg": aftale indgået via telekommunikationsmedier mellem en professionel forhandler og en forbruger i et organiseret salgssystem, uden at forhandleren og forbrugeren er fysisk til stede samtidig, udelukkende ved brug af en eller flere telekommunikationsteknikker indtil aftalens afslutning</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 xml:space="preserve">8. "model": en udstyrsudgave, hvor alle enheder har samme relevante tekniske specifikationer med henblik på beregning af reparerbarhedsindekset.</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Artikel 544-3. –</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 xml:space="preserve">I. – Producenterne eller importørerne fastlægger reparerbarhedsindekset for det elektriske eller elektroniske udstyr, de markedsfører, samt de parametre, som ligger til grund for beregningen, efter nogle regler, der fastsættes ved bekendtgørelse.</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 xml:space="preserve">II. – Producenter og importører oplyser vederlagsfrit og elektronisk distributører og forhandlere ved optagelse i sortimentet og levering af elektrisk og elektronisk udstyr for hver markedsført udstyrsmodel om:</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 xml:space="preserve">a) reparerbarhedsindekset efter regler og med en mærkning, der fastsættes ved bekendtgørelse</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parametrene for beregning af reparerbarhedsindekset i et format, der fastsættes ved bekendtgørelse.</w:t>
      </w:r>
      <w:r>
        <w:rPr>
          <w:color w:val="000000"/>
        </w:rPr>
        <w:t xml:space="preserve">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 xml:space="preserve">III. – Hvis distributøren ikke også er forhandler, oplyser distributøren vederlagsfrit under samme betingelser som i litra a) og b) forhandleren om indeks og beregningsparametre ved optagelse i sortimentet og levering af elektrisk og elektronisk udstyr.</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 xml:space="preserve">IV. – Indekset kan yderligere fremgå direkte af den enkelte modelenhed eller emballagen med en mærkning eller et mærke i en mærkningsform, der fastsættes ved bekendtgørelse.</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 xml:space="preserve">V. – Oplysningerne i stk. II formidles vederlagsfrit af producenterne og importørerne inden for 15 dage til enhver, som anmoder herom, i mindst to år efter markedsføringen af den sidste enhed af en given udstyrsmodel.</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Artikel 544-4. –</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Hvis det elektriske eller elektroniske udstyr udbydes til salg i en forretning, angiver forhandleren efter regler og i en mærkningsform, der fastsættes ved bekendtgørelse, reparerbarhedsindekset, som er oplyst af producenten eller importøren, synligt på det udbudte udstyr eller i dette udstyrs umiddelbare nærhed.</w:t>
      </w:r>
      <w:r>
        <w:rPr>
          <w:color w:val="000000"/>
        </w:rPr>
        <w:t xml:space="preserve">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 xml:space="preserve">II. – Hvis det elektriske eller elektroniske udstyr udbydes til fjernsalg, angiver forhandleren reparerbarhedsindekset synligt i præsentationen af udstyret eller i umiddelbar nærhed af prisen efter regler og i en mærkningsform, der fastsættes ved bekendtgørelse.</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 xml:space="preserve">III. – Forhandleren stiller endvidere parametrene for beregningen af udstyrets reparerbarhedsindeks til rådighed for forbrugerne i det format, der fastsættes ved bekendtgørelse, med enhver hensigtsmæssig metode.</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Artikel 544-5. – Reparerbarhedsindekset samt de parametre, som ligger til grund for beregningen, stilles til rådighed for forbrugerne af producenterne eller importørerne i mindst to år efter markedsføringen af den sidste enhed af en given udstyrsmodel.</w:t>
      </w:r>
      <w:r>
        <w:rPr>
          <w:color w:val="000000"/>
        </w:rPr>
        <w:t xml:space="preserve">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Artikel 544-6. –</w:t>
      </w:r>
      <w:r>
        <w:rPr>
          <w:color w:val="000000"/>
        </w:rPr>
        <w:t xml:space="preserve">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Reparerbarhedsindekset beregnes ud fra følgende parametre:</w:t>
      </w:r>
      <w:r>
        <w:rPr>
          <w:color w:val="000000"/>
        </w:rPr>
        <w:t xml:space="preserve">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et pointtal ud af 20 for den tekniske dokumentations og anvendelses- og vedligeholdelsesvejledningens tilgængelighedsperiode for producenter, reparatører og forbrugere</w:t>
      </w:r>
      <w:r>
        <w:rPr>
          <w:color w:val="000000"/>
        </w:rPr>
        <w:t xml:space="preserve">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 xml:space="preserve">b) et pointtal ud af 20 for udstyrets demonteringsvenlighed: antal demonteringstrin for adgang til de enkelte reservedele, specifikationer for nødvendigt værktøj og reservedelenes indbyrdes fastgørelse</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 xml:space="preserve">c) et pointtal ud af 20 for reservedelenes tilgængelighedsperiode på markedet og for leveringsfrister til producenter, reservedelsdistributører, reparatører og forbrugere</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 xml:space="preserve">d) et pointtal ud af 20 for forholdet mellem fabrikantens eller importørens salgspris for reservedele og fabrikantens eller importørens salgspris for udstyret, som beregnes efter regler, der fastsættes ved bekendtgørelse</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 xml:space="preserve">e) et pointtal ud af 20 for specifikke kriterier for den pågældende udstyrskategori.</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w:t>
      </w:r>
      <w:r>
        <w:rPr>
          <w:color w:val="000000"/>
        </w:rPr>
        <w:t xml:space="preserve"> </w:t>
      </w:r>
      <w:r>
        <w:rPr>
          <w:color w:val="000000"/>
        </w:rPr>
        <w:t xml:space="preserve">Reparerbarhedsindekset fremkommer ved at sammentælle de fem pointtal, som er opnået, og derefter dividere resultatet med 10 med henblik på at udtrykke et sammenfattende pointtal på en skala fra 1 til 10.</w:t>
      </w:r>
      <w:r>
        <w:rPr>
          <w:color w:val="000000"/>
        </w:rPr>
        <w:t xml:space="preserve">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w:t>
      </w:r>
      <w:r>
        <w:rPr>
          <w:color w:val="000000"/>
        </w:rPr>
        <w:t xml:space="preserve">III. –</w:t>
      </w:r>
      <w:r>
        <w:rPr>
          <w:color w:val="000000"/>
        </w:rPr>
        <w:t xml:space="preserve"> </w:t>
      </w:r>
      <w:r>
        <w:rPr>
          <w:color w:val="000000"/>
        </w:rPr>
        <w:t xml:space="preserve">For hver kategori elektrisk og elektronisk udstyr fastlægges samtlige kriterier og underkriterier, herunder specifikke kriterier for den enkelte kategori, samt metoderne til beregning af indekset ved bekendtgørelse fra miljøministeren og økonomi- og finansministeren.</w:t>
      </w:r>
      <w:r>
        <w:rPr>
          <w:color w:val="000000"/>
        </w:rPr>
        <w:t xml:space="preserve">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Artikel 544-7. – Fra den 1. januar 2024 suppleres eller erstattes reparerbarhedsindekset med et bæredygtighedsindeks for visse kategorier af udstyr, hvori der medtages nye kriterier, herunder udstyrets driftssikkerhed og holdbarhed.</w:t>
      </w:r>
      <w:r>
        <w:rPr>
          <w:color w:val="000000"/>
        </w:rPr>
        <w:t xml:space="preserve">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 xml:space="preserve">Artikel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 xml:space="preserve">Bestemmelserne i nærværende dekret træder i kraft den 1. januar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 xml:space="preserve">Artikel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Ministeren for grøn omstilling og økonomi- og finansministeren er, hver inden for sit område, ansvarlige for gennemførelsen af nærværende dekret, som offentliggøres i </w:t>
      </w:r>
      <w:r>
        <w:rPr>
          <w:color w:val="000000"/>
          <w:i/>
        </w:rPr>
        <w:t xml:space="preserve">Journal officiel</w:t>
      </w:r>
      <w:r>
        <w:rPr>
          <w:color w:val="000000"/>
        </w:rPr>
        <w:t xml:space="preserve">, Den Franske Republiks statstidende.</w:t>
      </w:r>
      <w:r>
        <w:rPr>
          <w:color w:val="000000"/>
        </w:rPr>
        <w:t xml:space="preserve">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 xml:space="preserve">Udfærdiget den xx 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2" w:name="_heading=h.30j0zll"/>
      <w:bookmarkEnd w:id="2"/>
      <w:r>
        <w:rPr>
          <w:color w:val="000000"/>
        </w:rPr>
        <w:t xml:space="preserve">På premierministerens vegne:</w:t>
      </w:r>
    </w:p>
    <w:p w14:paraId="039D5CE4" w14:textId="0EC6F35A" w:rsidR="00081B50" w:rsidRDefault="007C6B33" w:rsidP="00081B50">
      <w:pPr>
        <w:pBdr>
          <w:top w:val="nil"/>
          <w:left w:val="nil"/>
          <w:bottom w:val="nil"/>
          <w:right w:val="nil"/>
          <w:between w:val="nil"/>
        </w:pBdr>
        <w:ind w:left="720"/>
        <w:rPr>
          <w:color w:val="000000"/>
        </w:rPr>
      </w:pPr>
      <w:r>
        <w:rPr>
          <w:color w:val="000000"/>
        </w:rPr>
        <w:t xml:space="preserve">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 xml:space="preserve">Ministeren for grøn omstilling</w:t>
      </w:r>
    </w:p>
    <w:p w14:paraId="60ACC114" w14:textId="20DE3655" w:rsidR="00081B50" w:rsidRDefault="007C6B33" w:rsidP="00081B50">
      <w:pPr>
        <w:pBdr>
          <w:top w:val="nil"/>
          <w:left w:val="nil"/>
          <w:bottom w:val="nil"/>
          <w:right w:val="nil"/>
          <w:between w:val="nil"/>
        </w:pBdr>
        <w:ind w:left="720"/>
        <w:rPr>
          <w:color w:val="000000"/>
        </w:rPr>
      </w:pPr>
      <w:r>
        <w:rPr>
          <w:color w:val="000000"/>
        </w:rPr>
        <w:t xml:space="preserve">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 xml:space="preserve">Økonomi- og finansministeren</w:t>
      </w:r>
    </w:p>
    <w:p w14:paraId="0000005E" w14:textId="52901521" w:rsidR="00EF7252" w:rsidRDefault="007C6B33" w:rsidP="00081B50">
      <w:pPr>
        <w:pBdr>
          <w:top w:val="nil"/>
          <w:left w:val="nil"/>
          <w:bottom w:val="nil"/>
          <w:right w:val="nil"/>
          <w:between w:val="nil"/>
        </w:pBdr>
        <w:ind w:left="720"/>
        <w:rPr>
          <w:color w:val="000000"/>
        </w:rPr>
      </w:pPr>
      <w:r>
        <w:rPr>
          <w:color w:val="000000"/>
        </w:rPr>
        <w:t xml:space="preserve">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dirty"/>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52"/>
    <w:rsid w:val="00081B50"/>
    <w:rsid w:val="00106E77"/>
    <w:rsid w:val="00115349"/>
    <w:rsid w:val="00276444"/>
    <w:rsid w:val="003B1438"/>
    <w:rsid w:val="00535D26"/>
    <w:rsid w:val="0066778A"/>
    <w:rsid w:val="007C6B33"/>
    <w:rsid w:val="00817DDD"/>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a-DK"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lang w:val="da-DK"/>
    </w:rPr>
  </w:style>
  <w:style w:type="paragraph" w:styleId="Heading2">
    <w:name w:val="heading 2"/>
    <w:basedOn w:val="Normal"/>
    <w:next w:val="Normal"/>
    <w:qFormat/>
    <w:pPr>
      <w:keepNext/>
      <w:numPr>
        <w:ilvl w:val="1"/>
        <w:numId w:val="1"/>
      </w:numPr>
      <w:spacing w:before="360"/>
      <w:jc w:val="center"/>
      <w:outlineLvl w:val="1"/>
    </w:pPr>
    <w:rPr>
      <w:b/>
      <w:bCs/>
      <w:iCs/>
      <w:smallCaps/>
      <w:lang w:val="da-DK"/>
    </w:rPr>
  </w:style>
  <w:style w:type="paragraph" w:styleId="Heading3">
    <w:name w:val="heading 3"/>
    <w:basedOn w:val="Normal"/>
    <w:next w:val="Normal"/>
    <w:qFormat/>
    <w:pPr>
      <w:keepNext/>
      <w:numPr>
        <w:ilvl w:val="2"/>
        <w:numId w:val="1"/>
      </w:numPr>
      <w:spacing w:before="360"/>
      <w:jc w:val="center"/>
      <w:outlineLvl w:val="2"/>
    </w:pPr>
    <w:rPr>
      <w:b/>
      <w:szCs w:val="26"/>
      <w:lang w:val="da-DK"/>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da-DK" w:bidi="ar-SA"/>
    </w:rPr>
  </w:style>
  <w:style w:type="character" w:customStyle="1" w:styleId="SNDateCar">
    <w:name w:val="SNDate Car"/>
    <w:qFormat/>
    <w:rPr>
      <w:sz w:val="24"/>
      <w:szCs w:val="24"/>
      <w:lang w:val="da-DK" w:bidi="ar-SA"/>
    </w:rPr>
  </w:style>
  <w:style w:type="character" w:customStyle="1" w:styleId="SNArticleCar">
    <w:name w:val="SNArticle Car"/>
    <w:qFormat/>
    <w:rPr>
      <w:b/>
      <w:bCs/>
      <w:sz w:val="24"/>
      <w:szCs w:val="24"/>
      <w:lang w:val="da-DK"/>
    </w:rPr>
  </w:style>
  <w:style w:type="character" w:customStyle="1" w:styleId="SNenProjet">
    <w:name w:val="SNenProjet"/>
    <w:basedOn w:val="Policepardfaut1"/>
    <w:qFormat/>
  </w:style>
  <w:style w:type="character" w:customStyle="1" w:styleId="CarCar5">
    <w:name w:val="Car Car5"/>
    <w:qFormat/>
    <w:rPr>
      <w:b/>
      <w:sz w:val="24"/>
      <w:szCs w:val="26"/>
      <w:lang w:val="da-DK"/>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da-DK"/>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da-DK" w:eastAsia="en-US"/>
    </w:rPr>
  </w:style>
  <w:style w:type="character" w:customStyle="1" w:styleId="TablebodyChar">
    <w:name w:val="Table body Char"/>
    <w:link w:val="Tablebody"/>
    <w:qFormat/>
    <w:rsid w:val="00C16C8D"/>
    <w:rPr>
      <w:rFonts w:ascii="Arial" w:eastAsia="Calibri" w:hAnsi="Arial"/>
      <w:szCs w:val="22"/>
      <w:lang w:val="da-DK" w:eastAsia="en-US"/>
    </w:rPr>
  </w:style>
  <w:style w:type="character" w:customStyle="1" w:styleId="TableheaderChar">
    <w:name w:val="Table header Char"/>
    <w:link w:val="Tableheader"/>
    <w:qFormat/>
    <w:rsid w:val="00C16C8D"/>
    <w:rPr>
      <w:rFonts w:ascii="Arial" w:eastAsia="Calibri" w:hAnsi="Arial"/>
      <w:szCs w:val="22"/>
      <w:lang w:val="da-DK"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da-DK"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rPr>
      <w:lang w:val="da-DK"/>
    </w:r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lang w:val="da-DK"/>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lang w:val="da-DK"/>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rPr>
      <w:lang w:val="da-DK"/>
    </w:rPr>
  </w:style>
  <w:style w:type="paragraph" w:styleId="Footer">
    <w:name w:val="footer"/>
    <w:basedOn w:val="Normal"/>
    <w:pPr>
      <w:tabs>
        <w:tab w:val="center" w:pos="4536"/>
        <w:tab w:val="right" w:pos="9072"/>
      </w:tabs>
    </w:pPr>
    <w:rPr>
      <w:lang w:val="da-DK"/>
    </w:r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val="da-DK"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val="da-DK"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1548</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Ke, Tingting</cp:lastModifiedBy>
  <cp:revision>2</cp:revision>
  <dcterms:created xsi:type="dcterms:W3CDTF">2020-07-08T10:11:00Z</dcterms:created>
  <dcterms:modified xsi:type="dcterms:W3CDTF">2020-07-22T04:01:00Z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