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9AE84A7" w14:textId="75EF08F9" w:rsidR="00817DDD" w:rsidRPr="00817DDD" w:rsidRDefault="00817DDD" w:rsidP="00817DDD">
      <w:pPr>
        <w:spacing w:after="120"/>
        <w:ind w:right="14"/>
        <w:jc w:val="center"/>
        <w:rPr>
          <w:sz w:val="20"/>
          <w:szCs w:val="20"/>
          <w:rFonts w:ascii="Courier New" w:hAnsi="Courier New" w:cs="Courier New"/>
        </w:rPr>
      </w:pPr>
      <w:r>
        <w:rPr>
          <w:sz w:val="20"/>
          <w:szCs w:val="20"/>
          <w:rFonts w:ascii="Courier New" w:hAnsi="Courier New"/>
        </w:rPr>
        <w:t xml:space="preserve">1.</w:t>
      </w:r>
      <w:r>
        <w:rPr>
          <w:sz w:val="20"/>
          <w:szCs w:val="20"/>
          <w:rFonts w:ascii="Courier New" w:hAnsi="Courier New"/>
        </w:rPr>
        <w:t xml:space="preserve"> </w:t>
      </w:r>
      <w:r>
        <w:rPr>
          <w:sz w:val="20"/>
          <w:szCs w:val="20"/>
          <w:rFonts w:ascii="Courier New" w:hAnsi="Courier New"/>
        </w:rPr>
        <w:t xml:space="preserve">------IND- 2020 0468 F-- HU- ------ 20200729 --- --- PROJET</w:t>
      </w:r>
    </w:p>
    <w:tbl>
      <w:tblPr>
        <w:tblStyle w:val="1"/>
        <w:tblW w:w="398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27"/>
        <w:gridCol w:w="967"/>
        <w:gridCol w:w="1488"/>
      </w:tblGrid>
      <w:tr w:rsidR="00EF7252" w14:paraId="000CF195" w14:textId="77777777" w:rsidTr="00817DDD">
        <w:tc>
          <w:tcPr>
            <w:tcW w:w="3982" w:type="dxa"/>
            <w:gridSpan w:val="3"/>
            <w:shd w:val="clear" w:color="auto" w:fill="auto"/>
          </w:tcPr>
          <w:p w14:paraId="00000004" w14:textId="77777777" w:rsidR="00EF7252" w:rsidRDefault="007C6B33" w:rsidP="0008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FRANCIA KÖZTÁRSASÁG</w:t>
            </w:r>
          </w:p>
        </w:tc>
      </w:tr>
      <w:tr w:rsidR="00EF7252" w14:paraId="0B9C9F19" w14:textId="77777777" w:rsidTr="00817DDD">
        <w:tc>
          <w:tcPr>
            <w:tcW w:w="1527" w:type="dxa"/>
            <w:shd w:val="clear" w:color="auto" w:fill="auto"/>
          </w:tcPr>
          <w:p w14:paraId="00000007" w14:textId="77777777" w:rsidR="00EF7252" w:rsidRDefault="00EF7252" w:rsidP="00081B50"/>
        </w:tc>
        <w:tc>
          <w:tcPr>
            <w:tcW w:w="967" w:type="dxa"/>
            <w:shd w:val="clear" w:color="auto" w:fill="auto"/>
          </w:tcPr>
          <w:p w14:paraId="00000008" w14:textId="77777777" w:rsidR="00EF7252" w:rsidRDefault="00EF7252" w:rsidP="00081B50"/>
        </w:tc>
        <w:tc>
          <w:tcPr>
            <w:tcW w:w="1488" w:type="dxa"/>
            <w:shd w:val="clear" w:color="auto" w:fill="auto"/>
          </w:tcPr>
          <w:p w14:paraId="00000009" w14:textId="77777777" w:rsidR="00EF7252" w:rsidRDefault="00EF7252" w:rsidP="00081B50"/>
        </w:tc>
      </w:tr>
      <w:tr w:rsidR="00EF7252" w14:paraId="12903DE1" w14:textId="77777777" w:rsidTr="00817DDD">
        <w:tc>
          <w:tcPr>
            <w:tcW w:w="3982" w:type="dxa"/>
            <w:gridSpan w:val="3"/>
            <w:shd w:val="clear" w:color="auto" w:fill="auto"/>
          </w:tcPr>
          <w:p w14:paraId="0000000B" w14:textId="7F1B9FCF" w:rsidR="00EF7252" w:rsidRDefault="007C6B33" w:rsidP="0008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Az Ökológiai Átmenetért Felelős Minisztérium, és a Gazdasági és Pénzügyminisztérium</w:t>
            </w:r>
          </w:p>
        </w:tc>
      </w:tr>
      <w:tr w:rsidR="00EF7252" w14:paraId="42A29FEC" w14:textId="77777777" w:rsidTr="00817DDD">
        <w:tc>
          <w:tcPr>
            <w:tcW w:w="1527" w:type="dxa"/>
            <w:shd w:val="clear" w:color="auto" w:fill="auto"/>
          </w:tcPr>
          <w:p w14:paraId="0000000E" w14:textId="77777777" w:rsidR="00EF7252" w:rsidRDefault="00EF7252" w:rsidP="00081B50"/>
        </w:tc>
        <w:tc>
          <w:tcPr>
            <w:tcW w:w="967" w:type="dxa"/>
            <w:shd w:val="clear" w:color="auto" w:fill="auto"/>
          </w:tcPr>
          <w:p w14:paraId="0000000F" w14:textId="77777777" w:rsidR="00EF7252" w:rsidRDefault="00EF7252" w:rsidP="00081B50"/>
        </w:tc>
        <w:tc>
          <w:tcPr>
            <w:tcW w:w="1488" w:type="dxa"/>
            <w:shd w:val="clear" w:color="auto" w:fill="auto"/>
          </w:tcPr>
          <w:p w14:paraId="00000010" w14:textId="77777777" w:rsidR="00EF7252" w:rsidRDefault="00EF7252" w:rsidP="00081B50"/>
        </w:tc>
      </w:tr>
      <w:tr w:rsidR="00EF7252" w14:paraId="73DDF771" w14:textId="77777777" w:rsidTr="00817DDD">
        <w:tc>
          <w:tcPr>
            <w:tcW w:w="1527" w:type="dxa"/>
            <w:shd w:val="clear" w:color="auto" w:fill="auto"/>
          </w:tcPr>
          <w:p w14:paraId="00000011" w14:textId="77777777" w:rsidR="00EF7252" w:rsidRDefault="00EF7252" w:rsidP="00081B50"/>
        </w:tc>
        <w:tc>
          <w:tcPr>
            <w:tcW w:w="967" w:type="dxa"/>
            <w:shd w:val="clear" w:color="auto" w:fill="auto"/>
          </w:tcPr>
          <w:p w14:paraId="00000012" w14:textId="77777777" w:rsidR="00EF7252" w:rsidRDefault="00EF7252" w:rsidP="00081B50"/>
        </w:tc>
        <w:tc>
          <w:tcPr>
            <w:tcW w:w="1488" w:type="dxa"/>
            <w:shd w:val="clear" w:color="auto" w:fill="auto"/>
          </w:tcPr>
          <w:p w14:paraId="00000013" w14:textId="77777777" w:rsidR="00EF7252" w:rsidRDefault="00EF7252" w:rsidP="00081B50"/>
        </w:tc>
      </w:tr>
    </w:tbl>
    <w:p w14:paraId="00000014" w14:textId="655CC705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720" w:after="120"/>
        <w:jc w:val="center"/>
        <w:rPr>
          <w:b/>
          <w:color w:val="000000"/>
        </w:rPr>
      </w:pPr>
      <w:r>
        <w:rPr>
          <w:b/>
          <w:color w:val="000000"/>
        </w:rPr>
        <w:t xml:space="preserve">2020. xx. xx-i 2020-xxx. sz. kormányrendelet az elektromos és elektronikus berendezések javíthatósági indexéről</w:t>
      </w:r>
    </w:p>
    <w:p w14:paraId="00000015" w14:textId="3A2425A6" w:rsidR="00EF7252" w:rsidRDefault="00817DDD" w:rsidP="00081B50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color w:val="000000"/>
        </w:rPr>
        <w:t xml:space="preserve">NOR-azonosító:</w:t>
      </w:r>
    </w:p>
    <w:p w14:paraId="00000016" w14:textId="334BF5BD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720" w:after="240"/>
        <w:ind w:firstLine="720"/>
        <w:jc w:val="both"/>
        <w:rPr>
          <w:b/>
          <w:i/>
          <w:color w:val="000000"/>
        </w:rPr>
      </w:pPr>
      <w:r>
        <w:rPr>
          <w:i/>
          <w:color w:val="000000"/>
          <w:b/>
        </w:rPr>
        <w:t xml:space="preserve">Érintett csoportok: </w:t>
      </w:r>
      <w:r>
        <w:rPr>
          <w:i/>
          <w:color w:val="000000"/>
        </w:rPr>
        <w:t xml:space="preserve">az elektromos és elektronikus berendezések gyártói, importőrei, forgalmazói vagy értékesítői, valamint kereskedelmi tevékenységüket Franciaországban folytató, ezeket a berendezéseket valamely internetes honlapon, platformon vagy egyéb online terjesztői úton értékesítő személyek.</w:t>
      </w:r>
      <w:r>
        <w:rPr>
          <w:i/>
          <w:color w:val="000000"/>
        </w:rPr>
        <w:t xml:space="preserve"> </w:t>
      </w:r>
    </w:p>
    <w:p w14:paraId="00000017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240"/>
        <w:ind w:firstLine="720"/>
        <w:jc w:val="both"/>
        <w:rPr>
          <w:b/>
          <w:i/>
          <w:color w:val="000000"/>
        </w:rPr>
      </w:pPr>
      <w:r>
        <w:rPr>
          <w:i/>
          <w:color w:val="000000"/>
          <w:b/>
        </w:rPr>
        <w:t xml:space="preserve">Tárgy: </w:t>
      </w:r>
      <w:r>
        <w:rPr>
          <w:i/>
          <w:color w:val="000000"/>
        </w:rPr>
        <w:t xml:space="preserve">a Környezetvédelmi Törvénykönyv L. 541-9-2. cikkében meghatározott javíthatósági index alkalmazási szabályai</w:t>
      </w:r>
    </w:p>
    <w:p w14:paraId="00000018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240"/>
        <w:ind w:firstLine="720"/>
        <w:rPr>
          <w:b/>
          <w:i/>
          <w:color w:val="000000"/>
        </w:rPr>
      </w:pPr>
      <w:r>
        <w:rPr>
          <w:i/>
          <w:color w:val="000000"/>
          <w:b/>
        </w:rPr>
        <w:t xml:space="preserve">Hatálybalépés:</w:t>
      </w:r>
      <w:r>
        <w:rPr>
          <w:i/>
          <w:color w:val="000000"/>
        </w:rPr>
        <w:t xml:space="preserve"> a jogszabály 2021. január 1-jén lép hatályba.</w:t>
      </w:r>
    </w:p>
    <w:p w14:paraId="00000019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240"/>
        <w:ind w:firstLine="720"/>
        <w:jc w:val="both"/>
        <w:rPr>
          <w:i/>
          <w:color w:val="000000"/>
        </w:rPr>
      </w:pPr>
      <w:r>
        <w:rPr>
          <w:i/>
          <w:color w:val="000000"/>
          <w:b/>
        </w:rPr>
        <w:t xml:space="preserve">Tájékoztatás: </w:t>
      </w:r>
      <w:r>
        <w:rPr>
          <w:i/>
          <w:color w:val="000000"/>
        </w:rPr>
        <w:t xml:space="preserve">a jelen kormányrendelet a Környezetvédelmi Törvénykönyv L. 541-9-2. cikkének alkalmazási szabályait határozza meg, amely az elektromos és elektronikus berendezések bizonyos kategóriái esetében javíthatósági index bevezetését írja elő.</w:t>
      </w:r>
      <w:r>
        <w:rPr>
          <w:i/>
          <w:color w:val="000000"/>
        </w:rPr>
        <w:t xml:space="preserve"> </w:t>
      </w:r>
      <w:r>
        <w:rPr>
          <w:i/>
          <w:color w:val="000000"/>
        </w:rPr>
        <w:t xml:space="preserve">A kormányrendelet többek között meghatározza az index megállapításához szolgáló szempontokat és számítási módszert.</w:t>
      </w:r>
      <w:r>
        <w:rPr>
          <w:i/>
          <w:color w:val="000000"/>
        </w:rPr>
        <w:t xml:space="preserve"> </w:t>
      </w:r>
      <w:r>
        <w:rPr>
          <w:i/>
          <w:color w:val="000000"/>
        </w:rPr>
        <w:t xml:space="preserve">Az érintett berendezések gyártói és importőrei díjmentesen tájékoztatják a forgalmazókat és minden érdekelt személyt a javíthatósági indexről és annak számítási paramétereiről.</w:t>
      </w:r>
      <w:r>
        <w:rPr>
          <w:i/>
          <w:color w:val="000000"/>
        </w:rPr>
        <w:t xml:space="preserve"> </w:t>
      </w:r>
      <w:r>
        <w:rPr>
          <w:i/>
          <w:color w:val="000000"/>
        </w:rPr>
        <w:t xml:space="preserve">A forgalmazók, köztük a távértékesítést végző forgalmazók jelöléssel, címkézéssel, hirdetmény útján, vagy bármilyen egyéb, a célnak megfelelő módon, a vásárláskor díjmentesen tájékoztatják a fogyasztót az érintett berendezések javíthatósági indexéről.</w:t>
      </w:r>
    </w:p>
    <w:p w14:paraId="0000001A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240"/>
        <w:ind w:firstLine="720"/>
        <w:jc w:val="both"/>
        <w:rPr>
          <w:b/>
          <w:color w:val="000000"/>
        </w:rPr>
      </w:pPr>
      <w:r>
        <w:rPr>
          <w:i/>
          <w:color w:val="000000"/>
          <w:b/>
        </w:rPr>
        <w:t xml:space="preserve">Hivatkozások: </w:t>
      </w:r>
      <w:r>
        <w:rPr>
          <w:i/>
          <w:color w:val="000000"/>
        </w:rPr>
        <w:t xml:space="preserve">e kormányrendelet a Légifrance honlapon olvasható: (</w:t>
      </w:r>
      <w:hyperlink r:id="rId8">
        <w:r>
          <w:rPr>
            <w:i/>
            <w:color w:val="000000"/>
            <w:u w:val="single"/>
          </w:rPr>
          <w:t xml:space="preserve">http://www.legifrance.gouv.fr</w:t>
        </w:r>
      </w:hyperlink>
      <w:r>
        <w:rPr>
          <w:i/>
          <w:color w:val="000000"/>
        </w:rPr>
        <w:t xml:space="preserve">).]</w:t>
      </w:r>
    </w:p>
    <w:p w14:paraId="0000001C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720" w:after="240"/>
        <w:ind w:firstLine="720"/>
        <w:rPr>
          <w:b/>
          <w:color w:val="000000"/>
        </w:rPr>
      </w:pPr>
      <w:r>
        <w:rPr>
          <w:b/>
          <w:color w:val="000000"/>
        </w:rPr>
        <w:t xml:space="preserve">A miniszterelnök,</w:t>
      </w:r>
    </w:p>
    <w:p w14:paraId="0000001D" w14:textId="1AE9E289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t xml:space="preserve">a ökológiai átmenetért felelős miniszter, és a gazdasági és pénzügyminiszter jelentése alapján,</w:t>
      </w:r>
    </w:p>
    <w:p w14:paraId="0000001E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t xml:space="preserve">tekintettel a hulladékokról és egyes irányelvek hatályon kívül helyezéséről szóló, 2008. november 19-i módosított 2008/98/EK európai parlamenti és tanácsi irányelvre,</w:t>
      </w:r>
    </w:p>
    <w:p w14:paraId="0000001F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t xml:space="preserve">tekintettel a műszaki szabályokkal és az információs társadalom szolgáltatásaira vonatkozó szabályokkal kapcsolatos információszolgáltatási eljárás megállapításáról szóló, 2015. szeptember 9-i (EU) 2015/1535 európai parlamenti és tanácsi irányelvre,</w:t>
      </w:r>
    </w:p>
    <w:p w14:paraId="00000020" w14:textId="7BD1B620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t xml:space="preserve">tekintettel a Fogyasztóvédelmi Törvénykönyvre, különösen annak a 2016. március 14-i 2016-301. sz. és a 2016. március 25-i 2016-351. sz. rendelkezések jóváhagyásáról szóló, 2017. február 21-i 2017-203. sz. törvényéből következő bevezető cikkére,</w:t>
      </w:r>
      <w:r>
        <w:rPr>
          <w:color w:val="000000"/>
        </w:rPr>
        <w:t xml:space="preserve"> </w:t>
      </w:r>
    </w:p>
    <w:p w14:paraId="00000021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t xml:space="preserve">tekintettel a Fogyasztóvédelmi Törvénykönyvre, különösen annak a pazarlás elleni küzdelemről és a körforgásos gazdaságról szóló, 2020. február 10-i 2020-105. sz. törvény 16. cikkéből következő L. 541-9-2. cikkére,</w:t>
      </w:r>
    </w:p>
    <w:p w14:paraId="00000022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t xml:space="preserve">tekintettel a 2015/1535/EU irányelv értelmében az Európai Bizottságnak megküldött XXXX/XXXX/X számú értesítésre,</w:t>
      </w:r>
    </w:p>
    <w:p w14:paraId="00000023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t xml:space="preserve">az Államtanács (állami beruházási szekció) meghallgatását követően,</w:t>
      </w:r>
    </w:p>
    <w:p w14:paraId="00000024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480" w:after="360"/>
        <w:jc w:val="center"/>
        <w:rPr>
          <w:b/>
          <w:color w:val="000000"/>
        </w:rPr>
      </w:pPr>
      <w:r>
        <w:rPr>
          <w:b/>
          <w:color w:val="000000"/>
        </w:rPr>
        <w:t xml:space="preserve">a következőket rendeli el:</w:t>
      </w:r>
    </w:p>
    <w:p w14:paraId="00000025" w14:textId="77777777" w:rsidR="00EF7252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</w:rPr>
      </w:pPr>
      <w:r>
        <w:rPr>
          <w:b/>
          <w:color w:val="000000"/>
        </w:rPr>
        <w:t xml:space="preserve">1. cikk</w:t>
      </w:r>
    </w:p>
    <w:p w14:paraId="00000026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A Környezetvédelmi Törvénykönyv rendeleti részében az V. könyv IV. címe az alábbi IV. fejezettel és 1. szakasszal egészül ki:</w:t>
      </w:r>
    </w:p>
    <w:p w14:paraId="00000027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„IV. fejezet</w:t>
      </w:r>
    </w:p>
    <w:p w14:paraId="00000028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Tájékoztató a lakosság számára a hulladéktermelő termékekről</w:t>
      </w:r>
    </w:p>
    <w:p w14:paraId="00000029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1. szakasz</w:t>
      </w:r>
    </w:p>
    <w:p w14:paraId="0000002A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A javíthatósági index feltüntetése</w:t>
      </w:r>
    </w:p>
    <w:p w14:paraId="0000002B" w14:textId="77777777" w:rsidR="00EF7252" w:rsidRDefault="00EF7252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14:paraId="0000002C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bookmarkStart w:id="1" w:name="_heading=h.gjdgxs"/>
      <w:bookmarkEnd w:id="1"/>
      <w:r>
        <w:rPr>
          <w:color w:val="000000"/>
        </w:rPr>
        <w:t xml:space="preserve">R. 544-1. cikk − A Környezetvédelmi Törvénykönyv L. 541-9-2. cikkében az elektromos és elektronikus berendezések esetén meghatározott javíthatósági index egy tízes skálán megadott szám, amelyről a fogyasztókat új berendezés vásárlásának pillanatában tájékoztatni kell.</w:t>
      </w:r>
    </w:p>
    <w:p w14:paraId="0000002D" w14:textId="277E27B0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Ez az index az adott berendezés minden egyes modelljére vonatkozik.</w:t>
      </w:r>
      <w:r>
        <w:rPr>
          <w:color w:val="000000"/>
        </w:rPr>
        <w:t xml:space="preserve"> </w:t>
      </w:r>
    </w:p>
    <w:p w14:paraId="0000002E" w14:textId="77777777" w:rsidR="00EF7252" w:rsidRDefault="00EF7252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14:paraId="0000002F" w14:textId="77777777" w:rsidR="00EF7252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R. 544-2. cikk − E kormányrendelet alkalmazásában:</w:t>
      </w:r>
    </w:p>
    <w:p w14:paraId="00000030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1. „Forgalmazás”: valamely elektromos vagy elektronikus berendezés kereskedelmi tevékenység keretei között, terjesztés vagy használat céljából történő beszállítása a belföldi piacra, akár díjfizetés ellenében, akár díjmentesen;</w:t>
      </w:r>
    </w:p>
    <w:p w14:paraId="00000031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2. „Forgalomba hozatal”: valamely elektromos vagy elektronikus berendezés első alkalommal történő forgalmazása a belföldi piacon;</w:t>
      </w:r>
    </w:p>
    <w:p w14:paraId="00000032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3. „Gyártó”: minden olyan természetes vagy jogi személy, aki elektromos vagy elektronikus berendezést gyárt vagy terveztet, és saját neve vagy kereskedelmi védjegye alatt forgalomba hozza;</w:t>
      </w:r>
    </w:p>
    <w:p w14:paraId="00000033" w14:textId="19CACFEF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4. „Importőr”: minden olyan természetes vagy jogi személy, aki az Európai Unió tagállamaiból vagy valamely harmadik országból származó elektromos vagy elektronikus berendezést a belföldi piacon forgalmaz;</w:t>
      </w:r>
    </w:p>
    <w:p w14:paraId="00000034" w14:textId="08141F5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5. „Forgalmazó”: a szállítási láncon belül bármely olyan, elektromos vagy elektronikus berendezést piacra juttató természetes vagy jogi személy, aki nem azonos a beszállítóval vagy az importőrrel;</w:t>
      </w:r>
    </w:p>
    <w:p w14:paraId="00000035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6. „Eladó”: minden olyan természetes vagy jogi személy, aki kereskedelmi tevékenysége keretében elektromos vagy elektronikus berendezéseket forgalmaz, és azokat a fogyasztók számára eladja, akár távértékesítés formájában;</w:t>
      </w:r>
      <w:r>
        <w:rPr>
          <w:color w:val="000000"/>
        </w:rPr>
        <w:t xml:space="preserve"> </w:t>
      </w:r>
    </w:p>
    <w:p w14:paraId="00000036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</w:rPr>
      </w:pPr>
      <w:r>
        <w:rPr>
          <w:color w:val="000000"/>
        </w:rPr>
        <w:t xml:space="preserve">7. „Távértékesítés”: az eladó és a fogyasztó közötti bármely olyan, szervezett értékesítési rendszer alapján létrejött szerződés, amely az eladó és a fogyasztó egyidejű fizikai jelenléte nélkül jött létre egy vagy több távközlési eszköznek a szerződés megkötésének időpontjáig bezárólag történő kizárólagos használatával;</w:t>
      </w:r>
    </w:p>
    <w:p w14:paraId="00000037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8. „Modell”: valamely berendezés egy változata, amely esetén a javíthatósági index számítása szempontjából fontos műszaki jellemzők mindegyik egységnél megegyeznek.</w:t>
      </w:r>
    </w:p>
    <w:p w14:paraId="00000038" w14:textId="77777777" w:rsidR="00EF7252" w:rsidRDefault="00EF7252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14:paraId="00000039" w14:textId="77777777" w:rsidR="00EF7252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544-3. cikk</w:t>
      </w:r>
    </w:p>
    <w:p w14:paraId="23CD9B35" w14:textId="77777777" w:rsidR="00081B50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I. − A gyártók vagy importőrök az általuk forgalmazott elektromos vagy elektronikus berendezésekre vonatkozóan megállapítják a javíthatósági indexet, továbbá azokat a paramétereket, amelyek a rendeletben megadott szabályok szerint az index meghatározására szolgáltak.</w:t>
      </w:r>
    </w:p>
    <w:p w14:paraId="0000003C" w14:textId="02B801ED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II. − A gyártók és importőrök az elektromos és elektronikus berendezések belistázásakor és kiszállításakor díjmentesen és dematerializált formában tájékoztatják a forgalmazókat és az eladókat a forgalmazott berendezések minden egyes modelljére vonatkozóan a következőkről:</w:t>
      </w:r>
    </w:p>
    <w:p w14:paraId="0000003D" w14:textId="2E1C1C4A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a) a rendelet szabályai szerinti javíthatósági indexről és a rendeletben meghatározott jelzésekről,</w:t>
      </w:r>
    </w:p>
    <w:p w14:paraId="0000003E" w14:textId="433562A7" w:rsidR="00EF7252" w:rsidRDefault="00535D26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b) a rendeletben előírt formában a javíthatósági index megállapításához használt paraméterekről.</w:t>
      </w:r>
      <w:r>
        <w:rPr>
          <w:color w:val="000000"/>
        </w:rPr>
        <w:t xml:space="preserve"> </w:t>
      </w:r>
    </w:p>
    <w:p w14:paraId="0000003F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III. − Amennyiben személye nem egyezik meg az eladóval, a forgalmazó az elektromos vagy elektronikus berendezések belistázásakor és kiszállításakor az a) és b) pontban megadott feltételek szerint díjmentesen tájékoztatja az eladót az indexről és annak számítási paramétereiről.</w:t>
      </w:r>
    </w:p>
    <w:p w14:paraId="00000040" w14:textId="5D5D04B5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IV. − Az index ezen kívül feltüntethető közvetlenül az egyes modellek egységein vagy csomagolásán címkézés vagy jelölés formájában, a rendeletben előírt jelölési előírásoknak megfelelően.</w:t>
      </w:r>
    </w:p>
    <w:p w14:paraId="00000041" w14:textId="7B50DCAD" w:rsidR="00EF7252" w:rsidRDefault="00535D26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V. − A gyártók és az importőrök az adott termékmodell utolsó egységének forgalomba hozatalától számított legalább két éven keresztül, 15 napon belül, díjmentesen megadják minden információkérő személynek a 2. pontban említett információkat.</w:t>
      </w:r>
    </w:p>
    <w:p w14:paraId="00000042" w14:textId="77777777" w:rsidR="00EF7252" w:rsidRDefault="00EF7252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trike/>
          <w:color w:val="000000"/>
        </w:rPr>
      </w:pPr>
    </w:p>
    <w:p w14:paraId="00000043" w14:textId="77777777" w:rsidR="00EF7252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544-4. cikk</w:t>
      </w:r>
    </w:p>
    <w:p w14:paraId="00000044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I. − Valamely elektromos vagy elektronikus berendezés üzletben történő értékesítése esetén az eladó a rendeletben előírt szabályok és jelölések szerint jól látható módon feltünteti a berendezésen vagy annak közvetlen közelében a gyártó vagy az importőr által megadott javíthatósági indexet.</w:t>
      </w:r>
      <w:r>
        <w:rPr>
          <w:color w:val="000000"/>
        </w:rPr>
        <w:t xml:space="preserve"> </w:t>
      </w:r>
    </w:p>
    <w:p w14:paraId="00000045" w14:textId="5D2DF6CE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II. − Amennyiben az elektromos vagy elektronikus berendezés távértékesítés keretei között kerül forgalmazásra, az eladó a berendezések ismertetőjében jól látható módon, </w:t>
      </w:r>
      <w:r>
        <w:rPr>
          <w:color w:val="000000"/>
        </w:rPr>
        <w:t xml:space="preserve">a rendeletben előírt szabályok és jelölések szerint, az ár közelében elhelyezve tünteti fel a javíthatósági indexet.</w:t>
      </w:r>
    </w:p>
    <w:p w14:paraId="00000046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III. − Az eladó továbbá a rendeletben előírt formában, a célnak megfelelő módon elérhetővé teszi a fogyasztók számára a berendezések javíthatósági indexének megállapításához használt paramétereket.</w:t>
      </w:r>
    </w:p>
    <w:p w14:paraId="773EA3DE" w14:textId="77777777" w:rsidR="00081B50" w:rsidRDefault="00081B50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14:paraId="00000047" w14:textId="197437DE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trike/>
          <w:color w:val="000000"/>
        </w:rPr>
      </w:pPr>
      <w:r>
        <w:rPr>
          <w:color w:val="000000"/>
        </w:rPr>
        <w:t xml:space="preserve">544-5. cikk − A gyártók vagy importőrök az érintett termékmodell utolsó egységének forgalomba hozatalától számított legalább két éven keresztül a fogyasztók számára elérhetővé teszik a javíthatósági indexet és az annak megállapításához használt paramétereket.</w:t>
      </w:r>
      <w:r>
        <w:rPr>
          <w:color w:val="000000"/>
        </w:rPr>
        <w:t xml:space="preserve"> </w:t>
      </w:r>
    </w:p>
    <w:p w14:paraId="00000048" w14:textId="77777777" w:rsidR="00EF7252" w:rsidRDefault="00EF7252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trike/>
          <w:color w:val="000000"/>
        </w:rPr>
      </w:pPr>
    </w:p>
    <w:p w14:paraId="00000049" w14:textId="77777777" w:rsidR="00EF7252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544-6. cikk</w:t>
      </w:r>
      <w:r>
        <w:rPr>
          <w:color w:val="000000"/>
        </w:rPr>
        <w:t xml:space="preserve"> </w:t>
      </w:r>
    </w:p>
    <w:p w14:paraId="0000004A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I. − A javíthatósági index kiszámításához használt paraméterek:</w:t>
      </w:r>
      <w:r>
        <w:rPr>
          <w:color w:val="000000"/>
        </w:rPr>
        <w:t xml:space="preserve"> </w:t>
      </w:r>
    </w:p>
    <w:p w14:paraId="0000004B" w14:textId="548716C4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a) húszas skálán megadott pontszám arra vonatkozóan, hogy a műszaki dokumentáció, valamint a használati és karbantartási útmutató mennyi ideig áll a gyártók, szervizek és fogyasztók rendelkezésére;</w:t>
      </w:r>
      <w:r>
        <w:rPr>
          <w:color w:val="000000"/>
        </w:rPr>
        <w:t xml:space="preserve"> </w:t>
      </w:r>
    </w:p>
    <w:p w14:paraId="0000004C" w14:textId="4296823E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b) húszas skálán megadott pontszám a berendezés szétszerelhetőségének jellemzésére: az adott alkatrészhez való hozzáféréshez szükséges szétszerelési lépések száma, a szükséges szerszámok és az alkatrészek közötti rögzítések jellemzői;</w:t>
      </w:r>
    </w:p>
    <w:p w14:paraId="0000004D" w14:textId="74B0C666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c) húszas skálán megadott pontszám arra vonatkozóan, hogy a gyártók, a cserealkatrész-forgalmazók, a szervizek és a fogyasztók mennyi ideig és milyen szállítási határidővel érhetik el a piacon a cserealkatrészeket;</w:t>
      </w:r>
    </w:p>
    <w:p w14:paraId="0000004E" w14:textId="20211C48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d) húszas skálán megadott pontszám az alkatrészek gyártói vagy importőri értékesítési árának és a berendezések gyártói vagy importőri értékesítési árának viszonyára vonatkozóan, a rendeletben előírt szabályok szerint számítva;</w:t>
      </w:r>
    </w:p>
    <w:p w14:paraId="0000004F" w14:textId="695D1F8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e) húszas skálán megadott pontszám az érintett berendezések kategóriáját érintő speciális szempontokra vonatkozóan.</w:t>
      </w:r>
    </w:p>
    <w:p w14:paraId="00000051" w14:textId="1A917FCE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II. −</w:t>
      </w:r>
      <w:r>
        <w:rPr>
          <w:color w:val="000000"/>
        </w:rPr>
        <w:t xml:space="preserve"> </w:t>
      </w:r>
      <w:r>
        <w:rPr>
          <w:color w:val="000000"/>
        </w:rPr>
        <w:t xml:space="preserve">A javíthatósági index megállapításához a fenti öt pontszám összegét tízzel el kell osztani, így kapjuk meg az 1-től 10-ig terjedő összpontszámot.</w:t>
      </w:r>
      <w:r>
        <w:rPr>
          <w:color w:val="000000"/>
        </w:rPr>
        <w:t xml:space="preserve"> </w:t>
      </w:r>
    </w:p>
    <w:p w14:paraId="00000053" w14:textId="64E269B9" w:rsidR="00EF7252" w:rsidRDefault="00276444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 xml:space="preserve">III. −</w:t>
      </w:r>
      <w:r>
        <w:rPr>
          <w:color w:val="000000"/>
        </w:rPr>
        <w:t xml:space="preserve"> </w:t>
      </w:r>
      <w:r>
        <w:rPr>
          <w:color w:val="000000"/>
        </w:rPr>
        <w:t xml:space="preserve">Az elektromos és elektronikus berendezések minden egyes kategóriájára vonatkozóan a környezetvédelmi miniszter, valamint a gazdasági és pénzügyminiszter által kiadott rendeletben kell meghatározni az adott kategóriákra vonatkozó szempontokat és alszempontokat, illetve speciális szempontokat, továbbá az index számítási módját.</w:t>
      </w:r>
      <w:r>
        <w:rPr>
          <w:color w:val="000000"/>
        </w:rPr>
        <w:t xml:space="preserve"> </w:t>
      </w:r>
    </w:p>
    <w:p w14:paraId="00000054" w14:textId="77777777" w:rsidR="00EF7252" w:rsidRDefault="00EF7252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</w:rPr>
      </w:pPr>
    </w:p>
    <w:p w14:paraId="00000055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544-7. cikk − 2024. január 1-étől a fenntarthatósági index kiegészíti vagy – bizonyos berendezési kategóriák esetén – felváltja a javíthatósági indexet, magába foglalva újabb, többek között a berendezés megbízhatóságára és ellenállóságára vonatkozó szempontokat.</w:t>
      </w:r>
      <w:r>
        <w:rPr>
          <w:color w:val="000000"/>
        </w:rPr>
        <w:t xml:space="preserve"> </w:t>
      </w:r>
    </w:p>
    <w:p w14:paraId="00000057" w14:textId="77777777" w:rsidR="00EF7252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b/>
          <w:color w:val="000000"/>
        </w:rPr>
      </w:pPr>
      <w:r>
        <w:rPr>
          <w:b/>
          <w:color w:val="000000"/>
        </w:rPr>
        <w:t xml:space="preserve">2. cikk</w:t>
      </w:r>
    </w:p>
    <w:p w14:paraId="00000058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E kormányrendelet rendelkezései 2021. január 1-jén lépnek hatályba.</w:t>
      </w:r>
    </w:p>
    <w:p w14:paraId="0000005A" w14:textId="77777777" w:rsidR="00EF7252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b/>
          <w:color w:val="000000"/>
        </w:rPr>
      </w:pPr>
      <w:r>
        <w:rPr>
          <w:b/>
          <w:color w:val="000000"/>
        </w:rPr>
        <w:t xml:space="preserve">3. cikk</w:t>
      </w:r>
    </w:p>
    <w:p w14:paraId="0000005B" w14:textId="35995E0E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color w:val="000000"/>
        </w:rPr>
      </w:pPr>
      <w:r>
        <w:rPr>
          <w:color w:val="000000"/>
        </w:rPr>
        <w:t xml:space="preserve">E kormányrendeletet a Francia Köztársaság </w:t>
      </w:r>
      <w:r>
        <w:rPr>
          <w:color w:val="000000"/>
          <w:i/>
          <w:iCs/>
        </w:rPr>
        <w:t xml:space="preserve">Hivatalos Lapjá</w:t>
      </w:r>
      <w:r>
        <w:rPr>
          <w:color w:val="000000"/>
        </w:rPr>
        <w:t xml:space="preserve">ban teszik közzé, végrehajtásáért – a hatáskörüket érintő területen – az ökológiai átmenetért felelős miniszter, és a gazdasági és pénzügyminiszter felel.</w:t>
      </w:r>
      <w:r>
        <w:rPr>
          <w:color w:val="000000"/>
        </w:rPr>
        <w:t xml:space="preserve"> </w:t>
      </w:r>
    </w:p>
    <w:p w14:paraId="0000005D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20"/>
        <w:jc w:val="both"/>
        <w:rPr>
          <w:color w:val="000000"/>
        </w:rPr>
      </w:pPr>
      <w:r>
        <w:rPr>
          <w:color w:val="000000"/>
        </w:rPr>
        <w:t xml:space="preserve">Kelt 2020. xx. xx -án/-én.</w:t>
      </w:r>
    </w:p>
    <w:p w14:paraId="6DD4078F" w14:textId="77777777" w:rsidR="00081B50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/>
        <w:ind w:left="720"/>
        <w:rPr>
          <w:color w:val="000000"/>
        </w:rPr>
      </w:pPr>
      <w:bookmarkStart w:id="2" w:name="_heading=h.30j0zll"/>
      <w:bookmarkEnd w:id="2"/>
      <w:r>
        <w:rPr>
          <w:color w:val="000000"/>
        </w:rPr>
        <w:t xml:space="preserve">A miniszterelnök:</w:t>
      </w:r>
    </w:p>
    <w:p w14:paraId="039D5CE4" w14:textId="0EC6F35A" w:rsidR="00081B50" w:rsidRDefault="007C6B33" w:rsidP="00081B5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Jean CASTEX</w:t>
      </w:r>
    </w:p>
    <w:p w14:paraId="01727CB8" w14:textId="77777777" w:rsidR="00081B50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/>
        <w:ind w:left="720"/>
        <w:rPr>
          <w:color w:val="000000"/>
        </w:rPr>
      </w:pPr>
      <w:r>
        <w:rPr>
          <w:color w:val="000000"/>
        </w:rPr>
        <w:t xml:space="preserve">Az ökológiai átmenetért felelős miniszter:</w:t>
      </w:r>
    </w:p>
    <w:p w14:paraId="60ACC114" w14:textId="20DE3655" w:rsidR="00081B50" w:rsidRDefault="007C6B33" w:rsidP="00081B5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Barbara POMPILI</w:t>
      </w:r>
    </w:p>
    <w:p w14:paraId="679F4E3A" w14:textId="77777777" w:rsidR="00081B50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/>
        <w:ind w:left="720"/>
        <w:rPr>
          <w:color w:val="000000"/>
        </w:rPr>
      </w:pPr>
      <w:r>
        <w:rPr>
          <w:color w:val="000000"/>
        </w:rPr>
        <w:t xml:space="preserve">A gazdasági és pénzügyminiszter:</w:t>
      </w:r>
    </w:p>
    <w:p w14:paraId="0000005E" w14:textId="52901521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Bruno LE MAIRE</w:t>
      </w:r>
    </w:p>
    <w:sectPr w:rsidR="00EF7252">
      <w:headerReference w:type="default" r:id="rId9"/>
      <w:footerReference w:type="default" r:id="rId10"/>
      <w:pgSz w:w="11906" w:h="16838"/>
      <w:pgMar w:top="1134" w:right="1418" w:bottom="1418" w:left="1134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CE4F1" w14:textId="77777777" w:rsidR="00115349" w:rsidRDefault="00115349">
      <w:r>
        <w:separator/>
      </w:r>
    </w:p>
  </w:endnote>
  <w:endnote w:type="continuationSeparator" w:id="0">
    <w:p w14:paraId="15040677" w14:textId="77777777" w:rsidR="00115349" w:rsidRDefault="0011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ingFang SC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65" w14:textId="452CF919" w:rsidR="00EF7252" w:rsidRDefault="00EF72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A9C49" w14:textId="77777777" w:rsidR="00115349" w:rsidRDefault="00115349">
      <w:r>
        <w:separator/>
      </w:r>
    </w:p>
  </w:footnote>
  <w:footnote w:type="continuationSeparator" w:id="0">
    <w:p w14:paraId="1505A8CD" w14:textId="77777777" w:rsidR="00115349" w:rsidRDefault="00115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64" w14:textId="77777777" w:rsidR="00EF7252" w:rsidRDefault="00EF72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46FB"/>
    <w:multiLevelType w:val="multilevel"/>
    <w:tmpl w:val="87AAF71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dirty"/>
  <w:defaultTabStop w:val="720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52"/>
    <w:rsid w:val="00081B50"/>
    <w:rsid w:val="00106E77"/>
    <w:rsid w:val="00115349"/>
    <w:rsid w:val="00276444"/>
    <w:rsid w:val="003B1438"/>
    <w:rsid w:val="00535D26"/>
    <w:rsid w:val="0066778A"/>
    <w:rsid w:val="007C6B33"/>
    <w:rsid w:val="00817DDD"/>
    <w:rsid w:val="00956AEB"/>
    <w:rsid w:val="00A751E7"/>
    <w:rsid w:val="00E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A7B22"/>
  <w15:docId w15:val="{08CA6458-BF09-46FF-9804-11B34299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hu-HU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/>
      <w:jc w:val="center"/>
      <w:outlineLvl w:val="0"/>
    </w:pPr>
    <w:rPr>
      <w:b/>
      <w:bCs/>
      <w:caps/>
      <w:lang w:val="hu-HU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360"/>
      <w:jc w:val="center"/>
      <w:outlineLvl w:val="1"/>
    </w:pPr>
    <w:rPr>
      <w:b/>
      <w:bCs/>
      <w:iCs/>
      <w:smallCaps/>
      <w:lang w:val="hu-HU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360"/>
      <w:jc w:val="center"/>
      <w:outlineLvl w:val="2"/>
    </w:pPr>
    <w:rPr>
      <w:b/>
      <w:szCs w:val="26"/>
      <w:lang w:val="hu-HU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Liberation Sans" w:hAnsi="Liberation Sans" w:cs="Liberation Sans"/>
    </w:rPr>
  </w:style>
  <w:style w:type="character" w:customStyle="1" w:styleId="WW8Num3z0">
    <w:name w:val="WW8Num3z0"/>
    <w:qFormat/>
    <w:rPr>
      <w:rFonts w:ascii="Liberation Sans" w:hAnsi="Liberation Sans" w:cs="Liberation Sans"/>
    </w:rPr>
  </w:style>
  <w:style w:type="character" w:customStyle="1" w:styleId="Policepardfaut5">
    <w:name w:val="Police par défaut5"/>
    <w:qFormat/>
  </w:style>
  <w:style w:type="character" w:customStyle="1" w:styleId="Policepardfaut4">
    <w:name w:val="Police par défaut4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  <w:sz w:val="20"/>
    </w:rPr>
  </w:style>
  <w:style w:type="character" w:customStyle="1" w:styleId="WW8Num5z1">
    <w:name w:val="WW8Num5z1"/>
    <w:qFormat/>
    <w:rPr>
      <w:rFonts w:ascii="Courier New" w:hAnsi="Courier New" w:cs="Courier New"/>
      <w:sz w:val="20"/>
    </w:rPr>
  </w:style>
  <w:style w:type="character" w:customStyle="1" w:styleId="WW8Num5z2">
    <w:name w:val="WW8Num5z2"/>
    <w:qFormat/>
    <w:rPr>
      <w:rFonts w:ascii="Wingdings" w:hAnsi="Wingdings" w:cs="Wingdings"/>
      <w:sz w:val="20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Policepardfaut3">
    <w:name w:val="Police par défaut3"/>
    <w:qFormat/>
  </w:style>
  <w:style w:type="character" w:customStyle="1" w:styleId="Policepardfaut2">
    <w:name w:val="Police par défaut2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Times New Roman" w:eastAsia="Arial Unicode MS" w:hAnsi="Times New Roman" w:cs="Times New Roman"/>
      <w:color w:val="FF0000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  <w:rPr>
      <w:rFonts w:ascii="Courier New" w:hAnsi="Courier New" w:cs="Courier New"/>
      <w:sz w:val="20"/>
    </w:rPr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  <w:sz w:val="20"/>
    </w:rPr>
  </w:style>
  <w:style w:type="character" w:customStyle="1" w:styleId="WW8Num24z1">
    <w:name w:val="WW8Num24z1"/>
    <w:qFormat/>
    <w:rPr>
      <w:rFonts w:ascii="Courier New" w:hAnsi="Courier New" w:cs="Courier New"/>
      <w:sz w:val="20"/>
    </w:rPr>
  </w:style>
  <w:style w:type="character" w:customStyle="1" w:styleId="WW8Num24z2">
    <w:name w:val="WW8Num24z2"/>
    <w:qFormat/>
    <w:rPr>
      <w:rFonts w:ascii="Wingdings" w:hAnsi="Wingdings" w:cs="Wingdings"/>
      <w:sz w:val="20"/>
    </w:rPr>
  </w:style>
  <w:style w:type="character" w:customStyle="1" w:styleId="WW8Num25z0">
    <w:name w:val="WW8Num25z0"/>
    <w:qFormat/>
    <w:rPr>
      <w:rFonts w:ascii="Symbol" w:hAnsi="Symbol" w:cs="Symbol"/>
      <w:sz w:val="20"/>
    </w:rPr>
  </w:style>
  <w:style w:type="character" w:customStyle="1" w:styleId="WW8Num25z1">
    <w:name w:val="WW8Num25z1"/>
    <w:qFormat/>
    <w:rPr>
      <w:rFonts w:ascii="Courier New" w:hAnsi="Courier New" w:cs="Times New Roman"/>
      <w:sz w:val="20"/>
    </w:rPr>
  </w:style>
  <w:style w:type="character" w:customStyle="1" w:styleId="WW8Num25z2">
    <w:name w:val="WW8Num25z2"/>
    <w:qFormat/>
    <w:rPr>
      <w:rFonts w:ascii="Wingdings" w:hAnsi="Wingdings" w:cs="Wingdings"/>
      <w:sz w:val="20"/>
    </w:rPr>
  </w:style>
  <w:style w:type="character" w:customStyle="1" w:styleId="WW8Num26z0">
    <w:name w:val="WW8Num26z0"/>
    <w:qFormat/>
    <w:rPr>
      <w:rFonts w:ascii="Times New Roman" w:eastAsia="Times New Roman" w:hAnsi="Times New Roman" w:cs="Times New Roman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Times New Roman" w:eastAsia="Times New Roman" w:hAnsi="Times New Roman" w:cs="Times New Roman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Symbol" w:hAnsi="Symbol" w:cs="Symbol"/>
      <w:sz w:val="20"/>
    </w:rPr>
  </w:style>
  <w:style w:type="character" w:customStyle="1" w:styleId="WW8Num29z1">
    <w:name w:val="WW8Num29z1"/>
    <w:qFormat/>
    <w:rPr>
      <w:rFonts w:ascii="Courier New" w:hAnsi="Courier New" w:cs="Courier New"/>
      <w:sz w:val="20"/>
    </w:rPr>
  </w:style>
  <w:style w:type="character" w:customStyle="1" w:styleId="WW8Num29z2">
    <w:name w:val="WW8Num29z2"/>
    <w:qFormat/>
    <w:rPr>
      <w:rFonts w:ascii="Wingdings" w:hAnsi="Wingdings" w:cs="Wingdings"/>
      <w:sz w:val="20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Policepardfaut1">
    <w:name w:val="Police par défaut1"/>
    <w:qFormat/>
  </w:style>
  <w:style w:type="character" w:customStyle="1" w:styleId="SNTimbreCar">
    <w:name w:val="SNTimbre Car"/>
    <w:qFormat/>
    <w:rPr>
      <w:rFonts w:eastAsia="Lucida Sans Unicode"/>
      <w:sz w:val="24"/>
      <w:szCs w:val="24"/>
      <w:lang w:val="hu-HU" w:bidi="ar-SA"/>
    </w:rPr>
  </w:style>
  <w:style w:type="character" w:customStyle="1" w:styleId="SNDateCar">
    <w:name w:val="SNDate Car"/>
    <w:qFormat/>
    <w:rPr>
      <w:sz w:val="24"/>
      <w:szCs w:val="24"/>
      <w:lang w:val="hu-HU" w:bidi="ar-SA"/>
    </w:rPr>
  </w:style>
  <w:style w:type="character" w:customStyle="1" w:styleId="SNArticleCar">
    <w:name w:val="SNArticle Car"/>
    <w:qFormat/>
    <w:rPr>
      <w:b/>
      <w:bCs/>
      <w:sz w:val="24"/>
      <w:szCs w:val="24"/>
      <w:lang w:val="hu-HU"/>
    </w:rPr>
  </w:style>
  <w:style w:type="character" w:customStyle="1" w:styleId="SNenProjet">
    <w:name w:val="SNenProjet"/>
    <w:basedOn w:val="Policepardfaut1"/>
    <w:qFormat/>
  </w:style>
  <w:style w:type="character" w:customStyle="1" w:styleId="CarCar5">
    <w:name w:val="Car Car5"/>
    <w:qFormat/>
    <w:rPr>
      <w:b/>
      <w:sz w:val="24"/>
      <w:szCs w:val="26"/>
      <w:lang w:val="hu-HU"/>
    </w:rPr>
  </w:style>
  <w:style w:type="character" w:customStyle="1" w:styleId="Marquedecommentaire1">
    <w:name w:val="Marque de commentaire1"/>
    <w:qFormat/>
    <w:rPr>
      <w:sz w:val="16"/>
      <w:szCs w:val="16"/>
    </w:rPr>
  </w:style>
  <w:style w:type="character" w:customStyle="1" w:styleId="CarCar3">
    <w:name w:val="Car Car3"/>
    <w:basedOn w:val="Policepardfaut1"/>
    <w:qFormat/>
  </w:style>
  <w:style w:type="character" w:customStyle="1" w:styleId="CarCar2">
    <w:name w:val="Car Car2"/>
    <w:qFormat/>
    <w:rPr>
      <w:b/>
      <w:bCs/>
    </w:rPr>
  </w:style>
  <w:style w:type="character" w:customStyle="1" w:styleId="CarCar4">
    <w:name w:val="Car Car4"/>
    <w:qFormat/>
    <w:rPr>
      <w:sz w:val="24"/>
      <w:szCs w:val="24"/>
    </w:rPr>
  </w:style>
  <w:style w:type="character" w:customStyle="1" w:styleId="CarCar7">
    <w:name w:val="Car Car7"/>
    <w:qFormat/>
    <w:rPr>
      <w:rFonts w:cs="Arial"/>
      <w:b/>
      <w:bCs/>
      <w:caps/>
      <w:sz w:val="24"/>
      <w:szCs w:val="24"/>
    </w:rPr>
  </w:style>
  <w:style w:type="character" w:customStyle="1" w:styleId="CarCar6">
    <w:name w:val="Car Car6"/>
    <w:qFormat/>
    <w:rPr>
      <w:b/>
      <w:bCs/>
      <w:iCs/>
      <w:smallCaps/>
      <w:sz w:val="24"/>
      <w:szCs w:val="24"/>
      <w:lang w:val="hu-HU"/>
    </w:rPr>
  </w:style>
  <w:style w:type="character" w:customStyle="1" w:styleId="CarCar1">
    <w:name w:val="Car Car1"/>
    <w:qFormat/>
    <w:rPr>
      <w:sz w:val="24"/>
      <w:szCs w:val="24"/>
    </w:rPr>
  </w:style>
  <w:style w:type="character" w:customStyle="1" w:styleId="CarCar">
    <w:name w:val="Car Car"/>
    <w:qFormat/>
    <w:rPr>
      <w:sz w:val="24"/>
      <w:szCs w:val="24"/>
    </w:rPr>
  </w:style>
  <w:style w:type="character" w:customStyle="1" w:styleId="LienInternet">
    <w:name w:val="Lien Internet"/>
    <w:qFormat/>
    <w:rPr>
      <w:color w:val="0000FF"/>
      <w:u w:val="single"/>
    </w:rPr>
  </w:style>
  <w:style w:type="character" w:customStyle="1" w:styleId="surlignage">
    <w:name w:val="surlignage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customStyle="1" w:styleId="tm2code">
    <w:name w:val="tm2code"/>
    <w:basedOn w:val="Policepardfaut1"/>
    <w:qFormat/>
  </w:style>
  <w:style w:type="character" w:customStyle="1" w:styleId="tm3code">
    <w:name w:val="tm3code"/>
    <w:basedOn w:val="Policepardfaut1"/>
    <w:qFormat/>
  </w:style>
  <w:style w:type="character" w:customStyle="1" w:styleId="tm4code">
    <w:name w:val="tm4code"/>
    <w:basedOn w:val="Policepardfaut1"/>
    <w:qFormat/>
  </w:style>
  <w:style w:type="character" w:customStyle="1" w:styleId="citation">
    <w:name w:val="citation"/>
    <w:basedOn w:val="Policepardfaut1"/>
    <w:qFormat/>
  </w:style>
  <w:style w:type="character" w:customStyle="1" w:styleId="WW8Num11z5">
    <w:name w:val="WW8Num11z5"/>
    <w:qFormat/>
  </w:style>
  <w:style w:type="character" w:customStyle="1" w:styleId="Caractresdenotedebasdepage">
    <w:name w:val="Caractères de note de bas de page"/>
    <w:qFormat/>
    <w:rPr>
      <w:vertAlign w:val="superscript"/>
    </w:rPr>
  </w:style>
  <w:style w:type="character" w:styleId="Emphasis">
    <w:name w:val="Emphasis"/>
    <w:qFormat/>
    <w:rPr>
      <w:i/>
      <w:iCs/>
    </w:rPr>
  </w:style>
  <w:style w:type="character" w:customStyle="1" w:styleId="Marquedecommentaire2">
    <w:name w:val="Marque de commentaire2"/>
    <w:qFormat/>
    <w:rPr>
      <w:sz w:val="16"/>
      <w:szCs w:val="16"/>
    </w:rPr>
  </w:style>
  <w:style w:type="character" w:customStyle="1" w:styleId="CommentaireCar">
    <w:name w:val="Commentaire Car"/>
    <w:qFormat/>
    <w:rPr>
      <w:lang w:eastAsia="zh-CN"/>
    </w:rPr>
  </w:style>
  <w:style w:type="character" w:customStyle="1" w:styleId="tm5code">
    <w:name w:val="tm5code"/>
    <w:qFormat/>
  </w:style>
  <w:style w:type="character" w:customStyle="1" w:styleId="Marquedecommentaire3">
    <w:name w:val="Marque de commentaire3"/>
    <w:qFormat/>
    <w:rPr>
      <w:sz w:val="16"/>
      <w:szCs w:val="16"/>
    </w:rPr>
  </w:style>
  <w:style w:type="character" w:customStyle="1" w:styleId="stddocNumber">
    <w:name w:val="std_docNumber"/>
    <w:qFormat/>
    <w:rsid w:val="00C16C8D"/>
    <w:rPr>
      <w:rFonts w:ascii="Arial" w:hAnsi="Arial"/>
      <w:shd w:val="clear" w:color="auto" w:fill="F2DBDB"/>
    </w:rPr>
  </w:style>
  <w:style w:type="character" w:customStyle="1" w:styleId="stdpublisher">
    <w:name w:val="std_publisher"/>
    <w:qFormat/>
    <w:rsid w:val="00C16C8D"/>
    <w:rPr>
      <w:rFonts w:ascii="Arial" w:hAnsi="Arial"/>
      <w:shd w:val="clear" w:color="auto" w:fill="C6D9F1"/>
    </w:rPr>
  </w:style>
  <w:style w:type="character" w:customStyle="1" w:styleId="TabletitleChar">
    <w:name w:val="Table title Char"/>
    <w:link w:val="Tabletitle"/>
    <w:qFormat/>
    <w:rsid w:val="00C16C8D"/>
    <w:rPr>
      <w:rFonts w:ascii="Arial" w:eastAsia="Calibri" w:hAnsi="Arial"/>
      <w:b/>
      <w:szCs w:val="24"/>
      <w:lang w:val="hu-HU" w:eastAsia="en-US"/>
    </w:rPr>
  </w:style>
  <w:style w:type="character" w:customStyle="1" w:styleId="TablebodyChar">
    <w:name w:val="Table body Char"/>
    <w:link w:val="Tablebody"/>
    <w:qFormat/>
    <w:rsid w:val="00C16C8D"/>
    <w:rPr>
      <w:rFonts w:ascii="Arial" w:eastAsia="Calibri" w:hAnsi="Arial"/>
      <w:szCs w:val="22"/>
      <w:lang w:val="hu-HU" w:eastAsia="en-US"/>
    </w:rPr>
  </w:style>
  <w:style w:type="character" w:customStyle="1" w:styleId="TableheaderChar">
    <w:name w:val="Table header Char"/>
    <w:link w:val="Tableheader"/>
    <w:qFormat/>
    <w:rsid w:val="00C16C8D"/>
    <w:rPr>
      <w:rFonts w:ascii="Arial" w:eastAsia="Calibri" w:hAnsi="Arial"/>
      <w:szCs w:val="22"/>
      <w:lang w:val="hu-HU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A80B0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A80B02"/>
    <w:rPr>
      <w:lang w:eastAsia="zh-CN"/>
    </w:rPr>
  </w:style>
  <w:style w:type="character" w:customStyle="1" w:styleId="highlight">
    <w:name w:val="highlight"/>
    <w:basedOn w:val="DefaultParagraphFont"/>
    <w:qFormat/>
    <w:rsid w:val="00EB71C2"/>
  </w:style>
  <w:style w:type="character" w:customStyle="1" w:styleId="En-tteCar">
    <w:name w:val="En-tête Car"/>
    <w:basedOn w:val="DefaultParagraphFont"/>
    <w:qFormat/>
    <w:rsid w:val="002D37A3"/>
    <w:rPr>
      <w:sz w:val="24"/>
      <w:szCs w:val="24"/>
      <w:lang w:val="hu-HU" w:eastAsia="zh-CN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F71B4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20"/>
      <w:jc w:val="both"/>
    </w:pPr>
    <w:rPr>
      <w:lang w:val="hu-HU"/>
    </w:rPr>
  </w:style>
  <w:style w:type="paragraph" w:styleId="List">
    <w:name w:val="List"/>
    <w:basedOn w:val="BodyText"/>
    <w:rPr>
      <w:rFonts w:ascii="Liberation Sans" w:hAnsi="Liberation Sans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 w:cs="Mangal"/>
    </w:rPr>
  </w:style>
  <w:style w:type="paragraph" w:customStyle="1" w:styleId="Titre5">
    <w:name w:val="Titre5"/>
    <w:basedOn w:val="Normal"/>
    <w:qFormat/>
    <w:pPr>
      <w:keepNext/>
      <w:spacing w:before="240" w:after="120"/>
    </w:pPr>
    <w:rPr>
      <w:rFonts w:ascii="Garamond" w:eastAsia="Microsoft YaHei" w:hAnsi="Garamond" w:cs="Mangal"/>
      <w:sz w:val="28"/>
      <w:szCs w:val="28"/>
    </w:rPr>
  </w:style>
  <w:style w:type="paragraph" w:customStyle="1" w:styleId="Titre4">
    <w:name w:val="Titre4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re3">
    <w:name w:val="Titre3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re2">
    <w:name w:val="Titre2"/>
    <w:basedOn w:val="Normal"/>
    <w:qFormat/>
    <w:pPr>
      <w:keepNext/>
      <w:spacing w:before="240" w:after="120"/>
    </w:pPr>
    <w:rPr>
      <w:rFonts w:ascii="Garamond" w:eastAsia="Microsoft YaHei" w:hAnsi="Garamond" w:cs="Mangal"/>
      <w:sz w:val="28"/>
      <w:szCs w:val="28"/>
    </w:rPr>
  </w:style>
  <w:style w:type="paragraph" w:customStyle="1" w:styleId="Titre1">
    <w:name w:val="Titre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NREPUBLIQUE">
    <w:name w:val="SNREPUBLIQUE"/>
    <w:basedOn w:val="Normal"/>
    <w:qFormat/>
    <w:pPr>
      <w:jc w:val="center"/>
    </w:pPr>
    <w:rPr>
      <w:b/>
      <w:bCs/>
      <w:szCs w:val="20"/>
    </w:rPr>
  </w:style>
  <w:style w:type="paragraph" w:customStyle="1" w:styleId="puce1">
    <w:name w:val="puce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qFormat/>
    <w:pPr>
      <w:widowControl w:val="0"/>
      <w:tabs>
        <w:tab w:val="left" w:pos="2869"/>
      </w:tabs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qFormat/>
    <w:pPr>
      <w:widowControl w:val="0"/>
      <w:tabs>
        <w:tab w:val="left" w:pos="2869"/>
      </w:tabs>
      <w:spacing w:before="240"/>
      <w:ind w:left="2869" w:hanging="180"/>
    </w:pPr>
    <w:rPr>
      <w:rFonts w:eastAsia="Lucida Sans Unicode"/>
    </w:rPr>
  </w:style>
  <w:style w:type="paragraph" w:customStyle="1" w:styleId="SNConsultation">
    <w:name w:val="SNConsultation"/>
    <w:basedOn w:val="Normal"/>
    <w:qFormat/>
    <w:pPr>
      <w:widowControl w:val="0"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qFormat/>
    <w:pPr>
      <w:widowControl w:val="0"/>
      <w:suppressLineNumber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qFormat/>
    <w:pPr>
      <w:widowControl w:val="0"/>
      <w:suppressLineNumber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qFormat/>
    <w:pPr>
      <w:jc w:val="center"/>
    </w:pPr>
    <w:rPr>
      <w:bCs/>
      <w:lang w:eastAsia="zh-CN"/>
    </w:rPr>
  </w:style>
  <w:style w:type="paragraph" w:customStyle="1" w:styleId="SNAutorit">
    <w:name w:val="SNAutorité"/>
    <w:basedOn w:val="Normal"/>
    <w:qFormat/>
    <w:pPr>
      <w:spacing w:before="720" w:after="240"/>
      <w:ind w:firstLine="720"/>
    </w:pPr>
    <w:rPr>
      <w:b/>
    </w:rPr>
  </w:style>
  <w:style w:type="paragraph" w:customStyle="1" w:styleId="SNSignatureDroite">
    <w:name w:val="SNSignatureDroite"/>
    <w:basedOn w:val="Normal"/>
    <w:qFormat/>
    <w:pPr>
      <w:spacing w:before="120" w:after="1680"/>
      <w:ind w:left="5040"/>
      <w:jc w:val="right"/>
    </w:pPr>
    <w:rPr>
      <w:color w:val="000000"/>
    </w:rPr>
  </w:style>
  <w:style w:type="paragraph" w:customStyle="1" w:styleId="SNSignatureprnomnomDroite">
    <w:name w:val="SNSignature prénom+nom Droite"/>
    <w:basedOn w:val="SNSignatureDroite"/>
    <w:qFormat/>
    <w:pPr>
      <w:spacing w:after="120"/>
      <w:ind w:left="5041"/>
    </w:pPr>
  </w:style>
  <w:style w:type="paragraph" w:customStyle="1" w:styleId="SNSignatureGauche">
    <w:name w:val="SNSignatureGauche"/>
    <w:basedOn w:val="Normal"/>
    <w:qFormat/>
    <w:pPr>
      <w:spacing w:before="120" w:after="1680"/>
      <w:ind w:left="720" w:right="-6" w:firstLine="1080"/>
      <w:jc w:val="right"/>
    </w:pPr>
  </w:style>
  <w:style w:type="paragraph" w:customStyle="1" w:styleId="SNSignatureprnomnomGauche">
    <w:name w:val="SNSignature prénom+nom Gauche"/>
    <w:basedOn w:val="SNSignatureGauche"/>
    <w:next w:val="SNSignatureDroite"/>
    <w:qFormat/>
    <w:pPr>
      <w:spacing w:after="120"/>
    </w:pPr>
    <w:rPr>
      <w:color w:val="000000"/>
    </w:rPr>
  </w:style>
  <w:style w:type="paragraph" w:customStyle="1" w:styleId="SNTimbre">
    <w:name w:val="SNTimbre"/>
    <w:basedOn w:val="Normal"/>
    <w:qFormat/>
    <w:pPr>
      <w:widowControl w:val="0"/>
      <w:snapToGrid w:val="0"/>
      <w:spacing w:before="120"/>
      <w:jc w:val="center"/>
    </w:pPr>
    <w:rPr>
      <w:rFonts w:eastAsia="Lucida Sans Unicode"/>
    </w:rPr>
  </w:style>
  <w:style w:type="paragraph" w:customStyle="1" w:styleId="SNRapport">
    <w:name w:val="SNRapport"/>
    <w:basedOn w:val="Normal"/>
    <w:qFormat/>
    <w:pPr>
      <w:spacing w:before="240" w:after="120"/>
      <w:ind w:firstLine="720"/>
    </w:pPr>
  </w:style>
  <w:style w:type="paragraph" w:customStyle="1" w:styleId="SNVisa">
    <w:name w:val="SNVisa"/>
    <w:basedOn w:val="Normal"/>
    <w:qFormat/>
    <w:pPr>
      <w:spacing w:before="120" w:after="120"/>
      <w:ind w:firstLine="720"/>
    </w:pPr>
  </w:style>
  <w:style w:type="paragraph" w:customStyle="1" w:styleId="SNDate">
    <w:name w:val="SNDate"/>
    <w:basedOn w:val="Normal"/>
    <w:qFormat/>
    <w:pPr>
      <w:spacing w:before="280" w:after="280"/>
      <w:ind w:firstLine="720"/>
      <w:jc w:val="both"/>
    </w:pPr>
  </w:style>
  <w:style w:type="paragraph" w:customStyle="1" w:styleId="SNContreseing">
    <w:name w:val="SNContreseing"/>
    <w:basedOn w:val="Normal"/>
    <w:next w:val="SNSignatureGauche"/>
    <w:qFormat/>
    <w:pPr>
      <w:spacing w:before="480"/>
      <w:ind w:firstLine="720"/>
    </w:pPr>
  </w:style>
  <w:style w:type="paragraph" w:customStyle="1" w:styleId="SNActe">
    <w:name w:val="SNActe"/>
    <w:basedOn w:val="Normal"/>
    <w:qFormat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qFormat/>
    <w:pPr>
      <w:spacing w:before="360" w:after="240"/>
      <w:jc w:val="center"/>
    </w:pPr>
    <w:rPr>
      <w:b/>
      <w:bCs/>
      <w:lang w:val="hu-HU"/>
    </w:rPr>
  </w:style>
  <w:style w:type="paragraph" w:customStyle="1" w:styleId="SNConsidrant">
    <w:name w:val="SNConsidérant"/>
    <w:basedOn w:val="Normal"/>
    <w:qFormat/>
    <w:pPr>
      <w:ind w:firstLine="720"/>
    </w:pPr>
  </w:style>
  <w:style w:type="paragraph" w:customStyle="1" w:styleId="SNConsultationCE">
    <w:name w:val="SNConsultationCE"/>
    <w:basedOn w:val="SNConsultation"/>
    <w:qFormat/>
  </w:style>
  <w:style w:type="paragraph" w:customStyle="1" w:styleId="SNConsultationCM">
    <w:name w:val="SNConsultationCM"/>
    <w:basedOn w:val="SNConsultation"/>
    <w:qFormat/>
  </w:style>
  <w:style w:type="paragraph" w:customStyle="1" w:styleId="SNDirection">
    <w:name w:val="SNDirection"/>
    <w:basedOn w:val="Normal"/>
    <w:qFormat/>
    <w:pPr>
      <w:spacing w:before="720"/>
      <w:jc w:val="center"/>
    </w:pPr>
    <w:rPr>
      <w:b/>
    </w:rPr>
  </w:style>
  <w:style w:type="paragraph" w:customStyle="1" w:styleId="SNListePrincipale">
    <w:name w:val="SNListePrincipale"/>
    <w:basedOn w:val="Normal"/>
    <w:qFormat/>
  </w:style>
  <w:style w:type="paragraph" w:customStyle="1" w:styleId="SNIntitul">
    <w:name w:val="SNIntitulé"/>
    <w:basedOn w:val="Normal"/>
    <w:qFormat/>
    <w:pPr>
      <w:jc w:val="center"/>
    </w:pPr>
  </w:style>
  <w:style w:type="paragraph" w:customStyle="1" w:styleId="SNTitreRapport">
    <w:name w:val="SNTitreRapport"/>
    <w:basedOn w:val="SNActe"/>
    <w:qFormat/>
  </w:style>
  <w:style w:type="paragraph" w:customStyle="1" w:styleId="SNExcution">
    <w:name w:val="SNExécution"/>
    <w:basedOn w:val="Normal"/>
    <w:qFormat/>
  </w:style>
  <w:style w:type="paragraph" w:customStyle="1" w:styleId="SNAdoption">
    <w:name w:val="SNAdoption"/>
    <w:basedOn w:val="Normal"/>
    <w:qFormat/>
  </w:style>
  <w:style w:type="paragraph" w:customStyle="1" w:styleId="SNLibell">
    <w:name w:val="SNLibellé"/>
    <w:basedOn w:val="Normal"/>
    <w:qFormat/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itre1objet">
    <w:name w:val="Titre 1 objet"/>
    <w:basedOn w:val="Heading1"/>
    <w:qFormat/>
    <w:pPr>
      <w:numPr>
        <w:numId w:val="0"/>
      </w:numPr>
      <w:spacing w:before="0" w:after="120"/>
    </w:pPr>
    <w:rPr>
      <w:b w:val="0"/>
    </w:rPr>
  </w:style>
  <w:style w:type="paragraph" w:customStyle="1" w:styleId="Titre2objet">
    <w:name w:val="Titre 2 objet"/>
    <w:basedOn w:val="Heading2"/>
    <w:next w:val="Normal"/>
    <w:qFormat/>
    <w:pPr>
      <w:numPr>
        <w:ilvl w:val="0"/>
        <w:numId w:val="0"/>
      </w:numPr>
      <w:spacing w:before="0" w:after="120"/>
    </w:pPr>
    <w:rPr>
      <w:b w:val="0"/>
    </w:rPr>
  </w:style>
  <w:style w:type="paragraph" w:customStyle="1" w:styleId="titre3objet">
    <w:name w:val="titre 3 objet"/>
    <w:basedOn w:val="Heading3"/>
    <w:next w:val="Normal"/>
    <w:qFormat/>
    <w:pPr>
      <w:numPr>
        <w:ilvl w:val="0"/>
        <w:numId w:val="0"/>
      </w:numPr>
      <w:spacing w:before="0" w:after="120"/>
    </w:pPr>
    <w:rPr>
      <w:b w:val="0"/>
    </w:rPr>
  </w:style>
  <w:style w:type="paragraph" w:styleId="NormalWeb">
    <w:name w:val="Normal (Web)"/>
    <w:basedOn w:val="Normal"/>
    <w:uiPriority w:val="99"/>
    <w:qFormat/>
    <w:pPr>
      <w:spacing w:before="280" w:after="280"/>
    </w:pPr>
  </w:style>
  <w:style w:type="paragraph" w:customStyle="1" w:styleId="Commentaire1">
    <w:name w:val="Commentaire1"/>
    <w:basedOn w:val="Normal"/>
    <w:qFormat/>
    <w:rPr>
      <w:sz w:val="20"/>
      <w:szCs w:val="20"/>
    </w:rPr>
  </w:style>
  <w:style w:type="paragraph" w:styleId="CommentSubject">
    <w:name w:val="annotation subject"/>
    <w:basedOn w:val="Commentaire1"/>
    <w:next w:val="Commentaire1"/>
    <w:qFormat/>
    <w:rPr>
      <w:b/>
      <w:bCs/>
      <w:lang w:val="hu-HU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hu-HU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lang w:val="hu-HU"/>
    </w:rPr>
  </w:style>
  <w:style w:type="paragraph" w:customStyle="1" w:styleId="PointDouble2">
    <w:name w:val="PointDouble 2"/>
    <w:basedOn w:val="Normal"/>
    <w:qFormat/>
    <w:pPr>
      <w:tabs>
        <w:tab w:val="left" w:pos="1984"/>
      </w:tabs>
      <w:spacing w:before="120" w:after="120" w:line="360" w:lineRule="auto"/>
      <w:ind w:left="2551" w:hanging="1134"/>
    </w:pPr>
  </w:style>
  <w:style w:type="paragraph" w:customStyle="1" w:styleId="Tiret0">
    <w:name w:val="Tiret 0"/>
    <w:basedOn w:val="Normal"/>
    <w:qFormat/>
    <w:pPr>
      <w:spacing w:before="120" w:after="120" w:line="360" w:lineRule="auto"/>
    </w:pPr>
  </w:style>
  <w:style w:type="paragraph" w:customStyle="1" w:styleId="Tiret1">
    <w:name w:val="Tiret 1"/>
    <w:basedOn w:val="Normal"/>
    <w:qFormat/>
    <w:pPr>
      <w:spacing w:before="120" w:after="120" w:line="360" w:lineRule="auto"/>
    </w:pPr>
  </w:style>
  <w:style w:type="paragraph" w:customStyle="1" w:styleId="Text1">
    <w:name w:val="Text 1"/>
    <w:basedOn w:val="Normal"/>
    <w:qFormat/>
    <w:pPr>
      <w:spacing w:before="120" w:after="120" w:line="360" w:lineRule="auto"/>
      <w:ind w:left="850"/>
    </w:pPr>
  </w:style>
  <w:style w:type="paragraph" w:customStyle="1" w:styleId="Point0">
    <w:name w:val="Point 0"/>
    <w:basedOn w:val="Normal"/>
    <w:qFormat/>
    <w:pPr>
      <w:spacing w:before="120" w:after="120" w:line="360" w:lineRule="auto"/>
      <w:ind w:left="850" w:hanging="850"/>
    </w:pPr>
  </w:style>
  <w:style w:type="paragraph" w:customStyle="1" w:styleId="Point1">
    <w:name w:val="Point 1"/>
    <w:basedOn w:val="Normal"/>
    <w:qFormat/>
    <w:pPr>
      <w:spacing w:before="120" w:after="120" w:line="360" w:lineRule="auto"/>
      <w:ind w:left="1417" w:hanging="567"/>
    </w:pPr>
  </w:style>
  <w:style w:type="paragraph" w:customStyle="1" w:styleId="ManualNumPar1">
    <w:name w:val="Manual NumPar 1"/>
    <w:basedOn w:val="Normal"/>
    <w:qFormat/>
    <w:pPr>
      <w:spacing w:before="120" w:after="120" w:line="360" w:lineRule="auto"/>
      <w:ind w:left="850" w:hanging="850"/>
    </w:pPr>
  </w:style>
  <w:style w:type="paragraph" w:styleId="Revision">
    <w:name w:val="Revision"/>
    <w:qFormat/>
    <w:rPr>
      <w:lang w:eastAsia="zh-CN"/>
    </w:rPr>
  </w:style>
  <w:style w:type="paragraph" w:customStyle="1" w:styleId="Default">
    <w:name w:val="Default"/>
    <w:qFormat/>
    <w:rPr>
      <w:color w:val="000000"/>
      <w:lang w:eastAsia="zh-CN"/>
    </w:rPr>
  </w:style>
  <w:style w:type="paragraph" w:styleId="FootnoteText">
    <w:name w:val="footnote text"/>
    <w:basedOn w:val="Normal"/>
    <w:qFormat/>
    <w:rPr>
      <w:sz w:val="20"/>
      <w:szCs w:val="20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ommentaire2">
    <w:name w:val="Commentaire2"/>
    <w:basedOn w:val="Normal"/>
    <w:qFormat/>
    <w:rPr>
      <w:sz w:val="20"/>
      <w:szCs w:val="20"/>
    </w:rPr>
  </w:style>
  <w:style w:type="paragraph" w:customStyle="1" w:styleId="western">
    <w:name w:val="western"/>
    <w:basedOn w:val="Normal"/>
    <w:qFormat/>
    <w:pPr>
      <w:spacing w:before="280" w:after="119"/>
      <w:jc w:val="both"/>
    </w:pPr>
    <w:rPr>
      <w:color w:val="000000"/>
    </w:rPr>
  </w:style>
  <w:style w:type="paragraph" w:customStyle="1" w:styleId="Commentaire3">
    <w:name w:val="Commentaire3"/>
    <w:basedOn w:val="Normal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1775C"/>
    <w:pPr>
      <w:ind w:left="720"/>
      <w:contextualSpacing/>
    </w:pPr>
  </w:style>
  <w:style w:type="paragraph" w:customStyle="1" w:styleId="Tabletitle">
    <w:name w:val="Table title"/>
    <w:basedOn w:val="Normal"/>
    <w:link w:val="TabletitleChar"/>
    <w:qFormat/>
    <w:rsid w:val="00C16C8D"/>
    <w:pPr>
      <w:keepNext/>
      <w:spacing w:before="120" w:after="120" w:line="240" w:lineRule="atLeast"/>
      <w:jc w:val="center"/>
      <w:outlineLvl w:val="0"/>
    </w:pPr>
    <w:rPr>
      <w:rFonts w:ascii="Arial" w:eastAsia="Calibri" w:hAnsi="Arial"/>
      <w:b/>
      <w:sz w:val="20"/>
      <w:lang w:val="hu-HU" w:eastAsia="en-US"/>
    </w:rPr>
  </w:style>
  <w:style w:type="paragraph" w:customStyle="1" w:styleId="Tablebody">
    <w:name w:val="Table body"/>
    <w:basedOn w:val="Normal"/>
    <w:link w:val="TablebodyChar"/>
    <w:qFormat/>
    <w:rsid w:val="00C16C8D"/>
    <w:pPr>
      <w:spacing w:before="60" w:after="60" w:line="210" w:lineRule="atLeast"/>
    </w:pPr>
    <w:rPr>
      <w:rFonts w:ascii="Arial" w:eastAsia="Calibri" w:hAnsi="Arial"/>
      <w:sz w:val="20"/>
      <w:szCs w:val="22"/>
      <w:lang w:val="hu-HU" w:eastAsia="en-US"/>
    </w:rPr>
  </w:style>
  <w:style w:type="paragraph" w:customStyle="1" w:styleId="Tableheader">
    <w:name w:val="Table header"/>
    <w:basedOn w:val="Tablebody"/>
    <w:link w:val="TableheaderChar"/>
    <w:qFormat/>
    <w:rsid w:val="00C16C8D"/>
  </w:style>
  <w:style w:type="paragraph" w:customStyle="1" w:styleId="CM1">
    <w:name w:val="CM1"/>
    <w:basedOn w:val="Default"/>
    <w:next w:val="Default"/>
    <w:uiPriority w:val="99"/>
    <w:qFormat/>
    <w:rsid w:val="009A03FA"/>
    <w:rPr>
      <w:rFonts w:ascii="EUAlbertina" w:hAnsi="EUAlbertina"/>
      <w:color w:val="00000A"/>
      <w:lang w:eastAsia="fr-FR"/>
    </w:rPr>
  </w:style>
  <w:style w:type="paragraph" w:customStyle="1" w:styleId="CM3">
    <w:name w:val="CM3"/>
    <w:basedOn w:val="Default"/>
    <w:next w:val="Default"/>
    <w:uiPriority w:val="99"/>
    <w:qFormat/>
    <w:rsid w:val="009A03FA"/>
    <w:rPr>
      <w:rFonts w:ascii="EUAlbertina" w:hAnsi="EUAlbertina"/>
      <w:color w:val="00000A"/>
      <w:lang w:eastAsia="fr-FR"/>
    </w:rPr>
  </w:style>
  <w:style w:type="paragraph" w:customStyle="1" w:styleId="CM4">
    <w:name w:val="CM4"/>
    <w:basedOn w:val="Default"/>
    <w:next w:val="Default"/>
    <w:uiPriority w:val="99"/>
    <w:qFormat/>
    <w:rsid w:val="009A03FA"/>
    <w:rPr>
      <w:rFonts w:ascii="EUAlbertina" w:hAnsi="EUAlbertina"/>
      <w:color w:val="00000A"/>
      <w:lang w:eastAsia="fr-FR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A80B02"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qFormat/>
    <w:rsid w:val="000F71B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ListLabel8">
    <w:name w:val="ListLabel 8"/>
    <w:qFormat/>
    <w:rsid w:val="00382738"/>
    <w:rPr>
      <w:sz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1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9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://www.legifrance.gouv.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DRlpeGrJh6cXEqXDWDreKoc8vQ==">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</dc:creator>
  <cp:lastModifiedBy>Ke, Tingting</cp:lastModifiedBy>
  <cp:revision>2</cp:revision>
  <dcterms:created xsi:type="dcterms:W3CDTF">2020-07-08T10:11:00Z</dcterms:created>
  <dcterms:modified xsi:type="dcterms:W3CDTF">2020-07-22T04:01:00Z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