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55707" w:rsidRDefault="00D55707" w:rsidP="00D55707">
      <w:pPr>
        <w:pStyle w:val="PlainText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 xml:space="preserve">1. ------IND- 2019 0600 D PT- ------ 20191209 --- --- PROJET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Decreto regional que altera o Decreto regional relativo à prevenção de doenças transmissíveis (decreto relativo à higiene)</w:t>
      </w:r>
      <w:r>
        <w:rPr>
          <w:rStyle w:val="FootnoteReference"/>
          <w:rFonts w:ascii="Arial" w:hAnsi="Arial"/>
          <w:color w:val="000000"/>
        </w:rPr>
        <w:footnoteReference w:id="1"/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Com base no artigo 17.º, n.º 4, da Lei relativa à proteção contra infeções, de 20 de julho de 2000 (DO Federal I, p. 1045), com a última redação que lhe foi dada pelo artigo 18.º-A do Decreto de 9 de agosto de 2019 (DO Federal I, p. 1202), em conjugação com o artigo 1.º, n.º 1, do Decreto relativo à transferência de autorizações segundo a lei relativa à proteção contra infeções, de 22 de fevereiro de 2001 (Diário Oficial do Estado Federado de Schleswig-Holstein, p. 35), com as designações de áreas de responsabilidade substituídas pela última vez pelo artigo 21.º do Decreto de 16 de janeiro de 2019 (Diário Oficial do Estado Federado de Schleswig-Holstein, p. 30), o Ministério dos Assuntos Sociais, da Saúde, da Juventude, da Família e da Terceira Idade decreta o seguinte: </w:t>
      </w:r>
      <w:bookmarkStart w:id="0" w:name="_GoBack"/>
      <w:bookmarkEnd w:id="0"/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 1)</w:t>
      </w:r>
      <w:r>
        <w:tab/>
      </w:r>
      <w:r>
        <w:rPr>
          <w:rFonts w:ascii="Arial" w:hAnsi="Arial"/>
          <w:color w:val="000000"/>
        </w:rPr>
        <w:t xml:space="preserve">O artigo 3.º, n.º 1, passa a ter a seguinte redação: </w:t>
      </w:r>
    </w:p>
    <w:p w:rsidR="000A4C53" w:rsidRDefault="0016494F" w:rsidP="00502122">
      <w:pPr>
        <w:spacing w:before="100" w:beforeAutospacing="1" w:after="100" w:afterAutospacing="1"/>
        <w:ind w:left="56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«1. O inventário em todas as salas destinadas a diagnóstico e terapia nas quais seja espectável uma contaminação desencadeada por fluidos corporais e outros materiais contendo agentes patogénicos deve ser passível de limpeza a húmido e desinfeção. Todos os desinfetantes utilizados devem ser adequados e comprovadamente eficazes para a prevenção de infeções em estabelecimentos médicos. A eficácia para o âmbito de ação respetivamente necessário deve ser, pelo menos, bactericida, fungicida e parcialmente virucida, eventualmente também tuberculocida, micobactericida e eficaz contra esporos bacterianos. Deve ser comprovada por, pelo menos, dois pareceres independentes entre si com os respetivos relatórios de ensaio. A eficácia é considerada certificada, se os ensaios tiverem sido realizados por laboratórios de ensaio independentes do fabricante e os relatórios de ensaio forem certificados por peritos independentes numa avaliação com fundamentação científica. Os laboratórios de ensaio devem dispor da competência necessária, que pode ser comprovada, por exemplo, mediante a acreditação conforme a norma DIN ISO EN 17025:2018-03 de março de 2018. O respetivo método de ensaio deve ser validado, por exemplo, por ensaios interlaboratoriais, a fim de poder ter em conta a variabilidade estatística, que inclui um número mínimo de duas repetições obrigatórias do ensaio. Os ensaios que tenham sido realizados em conformidade com especificações técnicas de outro Estado-Membro da União Europeia ou da Turquia, ou de outro Estado signatário do Acordo sobre o Espaço Económico Europeu, são reconhecidos como equivalentes se as </w:t>
      </w:r>
      <w:r>
        <w:rPr>
          <w:rFonts w:ascii="Arial" w:hAnsi="Arial"/>
          <w:color w:val="000000"/>
        </w:rPr>
        <w:lastRenderedPageBreak/>
        <w:t>especificações técnicas assegurarem permanentemente e em igual medida o nível de proteção exigido nos termos do segundo período.»;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2)</w:t>
      </w:r>
      <w:r>
        <w:tab/>
      </w:r>
      <w:r>
        <w:rPr>
          <w:rFonts w:ascii="Arial" w:hAnsi="Arial"/>
          <w:color w:val="000000"/>
        </w:rPr>
        <w:t>O artigo 5.º deve ler-se da seguinte forma: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bookmarkStart w:id="1" w:name="6"/>
      <w:r>
        <w:rPr>
          <w:rFonts w:ascii="Arial" w:hAnsi="Arial"/>
          <w:color w:val="000000"/>
        </w:rPr>
        <w:t>« </w:t>
      </w:r>
      <w:bookmarkStart w:id="2" w:name="7"/>
      <w:bookmarkEnd w:id="1"/>
      <w:r>
        <w:rPr>
          <w:rFonts w:ascii="Arial" w:hAnsi="Arial"/>
          <w:color w:val="000000"/>
        </w:rPr>
        <w:t xml:space="preserve">Artigo 5.º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Contraordenações </w:t>
      </w:r>
    </w:p>
    <w:p w:rsidR="000A4C53" w:rsidRPr="009B287C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1. Incorre em contraordenação na aceção do artigo 73.º, n.º 1-A, ponto 6, da lei relativa à proteção contra infeções quem, por dolo ou negligência: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em violação do artigo 3.º, não realizar, ou não realizar de forma adequada, a limpeza, desinfeção ou esterilização com um processo adequado, ou não conservar os aparelhos protegidos de contaminações;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utilizar desinfetantes e processos de desinfeção diferentes dos mencionados no artigo 3.º;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em violação do artigo 4.º, não descartar em recipientes adequados os aparelhos aí referidos, bem como outros objetos;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violar um dever de tolerância ou prestação de informações nos termos do artigo 73.º, n.º 1-A, pontos 3 e 4, da lei relativa à proteção contra infeções, ou o dever de apresentação de documentos, nomeadamente de planos de higiene, nos termos do artigo 73, n.º 1-A, ponto 5, da lei relativa à proteção contra infeções,</w:t>
      </w:r>
    </w:p>
    <w:p w:rsidR="00E02ECA" w:rsidRPr="00A327F3" w:rsidRDefault="00E02ECA" w:rsidP="00E02E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ou, por dolo ou negligência, violar uma ordem executória correspondente nos termos do artigo 17.º, n.º 1, da lei relativa à proteção contra infeções.»;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3)</w:t>
      </w:r>
      <w:r>
        <w:tab/>
      </w:r>
      <w:r>
        <w:rPr>
          <w:rFonts w:ascii="Arial" w:hAnsi="Arial"/>
          <w:color w:val="000000"/>
        </w:rPr>
        <w:t>O presente decreto entra em vigor no dia seguinte ao da sua promulgação.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O decreto acima mencionado é, pelo presente, emitido e deve ser promulgado.</w:t>
      </w:r>
    </w:p>
    <w:p w:rsidR="00053A17" w:rsidRPr="00E02ECA" w:rsidRDefault="0072626E" w:rsidP="00053A1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Kiel,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Ministro dos Assuntos Sociais, da Saúde, da Juventude,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>da Família e da Terceira Idade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Notificado em conformidade com a Diretiva (UE) 2015/1535 do Parlamento Europeu e do Conselho, de 9 de setembro de 2015, relativa a um procedimento de informação no domínio das regulamentações técnicas e das regras relativas aos serviços da sociedade da informação (JO L 241,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>Versão: 7.11.2019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C2F39"/>
    <w:multiLevelType w:val="multilevel"/>
    <w:tmpl w:val="34865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20D22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D97A2D-9B2A-4D59-95E8-7740BD1B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Parracho, Tania</cp:lastModifiedBy>
  <cp:revision>3</cp:revision>
  <cp:lastPrinted>2007-07-05T12:39:00Z</cp:lastPrinted>
  <dcterms:created xsi:type="dcterms:W3CDTF">2019-12-02T12:02:00Z</dcterms:created>
  <dcterms:modified xsi:type="dcterms:W3CDTF">2019-12-09T08:50:00Z</dcterms:modified>
</cp:coreProperties>
</file>