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C06C" w14:textId="7944446A" w:rsidR="00E16AF7" w:rsidRPr="006E4EB6" w:rsidRDefault="00E16AF7" w:rsidP="00E16AF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------IND- 2021 0018 F-- ET- ------ 20210121 --- --- PROJET</w:t>
      </w:r>
    </w:p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  <w:bCs/>
                <w:szCs w:val="20"/>
              </w:rPr>
              <w:t>PRANTSUSE VABARIIK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Ökoloogilise ülemineku ministeerium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>Dekreedi eelnõu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>peamiselt suure kasvuhoonegaaside heitkogustega kütuseid kasutavate kütte- ja sooja tarbevee süsteemide elamu- või majandustegevuseks kasutatavatesse hoonetesse paigaldamise keelu kohta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>NOR: 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Sidusrühmad: elamu- või majandustegevuseks kasutatavate hoonete omanikud, kes soovivad paigaldada uue kütte- või sooja tarbevee süsteemi.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Eesmärk: määratleda elamu- või majandustegevuseks kasutatavatesse hoonetesse paigaldada lubatud kütte- või sooja tarbevee süsteemide kasvuhoonegaaside heitkoguste maksimaalne künnis.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>Jõustumine: sätted jõustuvad 1. juulil 2021 uute hoonete puhul ja 1. jaanuaril 2022 olemasolevate hoonete puhul.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Märkus: ehitus- ja eluasemeseadustiku artiklid L. 111-9 ja L. 111-10 võimaldavad riiginõukogu määrusega määratleda riikliku energiapoliitika eesmärkidega kooskõlas olevaid energiatõhususe ja keskkonnatoime tasemeid (vastavalt uute ja olemasolevate hoonete jaoks).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>Käesoleva dekreediga täpsustatakse kütte- ja sooja tarbevee süsteemide elamu- või majandustegevuseks kasutatavatesse hoonetes väljavahetamise kriteeriumid, eelkõige seoses kasvuhoonegaaside heitkogustega.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</w:rPr>
        <w:t>Viited: käesoleva dekreedi tekstiga saab tutvuda Prantsuse õigusaktide andmebaasis Légifrance (</w:t>
      </w:r>
      <w:hyperlink r:id="rId8">
        <w:r>
          <w:rPr>
            <w:rStyle w:val="LienInternet"/>
            <w:i/>
          </w:rPr>
          <w:t>http://www.legifrance.gouv.fr</w:t>
        </w:r>
      </w:hyperlink>
      <w:r>
        <w:rPr>
          <w:i/>
        </w:rPr>
        <w:t>).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>Peaminister,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>olles tutvunud ökoloogilise ülemineku ministri aruandega,</w:t>
      </w:r>
    </w:p>
    <w:p w14:paraId="5E7C9C57" w14:textId="77777777" w:rsidR="00FF5321" w:rsidRPr="003277B4" w:rsidRDefault="00FF5321">
      <w:pPr>
        <w:pStyle w:val="Normaallaadveeb"/>
        <w:spacing w:before="0" w:after="0"/>
      </w:pPr>
    </w:p>
    <w:p w14:paraId="6D86A03A" w14:textId="77777777" w:rsidR="00A64ECF" w:rsidRPr="003277B4" w:rsidRDefault="00A64ECF">
      <w:pPr>
        <w:pStyle w:val="Normaallaadveeb"/>
        <w:spacing w:before="0" w:after="0"/>
        <w:ind w:firstLine="709"/>
      </w:pPr>
      <w:r>
        <w:t>võttes arvesse Euroopa Parlamendi ja nõukogu 9. septembri 2015. aasta direktiivi (EL) 2015/1535, millega nähakse ette tehnilistest eeskirjadest ning infoühiskonna teenuste eeskirjadest teatamise kord, eelkõige teatist nr 2016/677/F,</w:t>
      </w:r>
    </w:p>
    <w:p w14:paraId="60BDBD1E" w14:textId="77777777" w:rsidR="00A64ECF" w:rsidRPr="003277B4" w:rsidRDefault="00A64ECF">
      <w:pPr>
        <w:pStyle w:val="Normaallaadveeb"/>
        <w:spacing w:before="0" w:after="0"/>
        <w:ind w:firstLine="709"/>
      </w:pPr>
    </w:p>
    <w:p w14:paraId="6A0CFF0A" w14:textId="77777777" w:rsidR="00A64ECF" w:rsidRPr="003277B4" w:rsidRDefault="00A64ECF">
      <w:pPr>
        <w:pStyle w:val="Normaallaadveeb"/>
        <w:spacing w:before="0" w:after="0"/>
        <w:ind w:firstLine="709"/>
      </w:pPr>
      <w:r>
        <w:t xml:space="preserve">võttes arvesse Euroopa Parlamendi ja nõukogu 9. märtsi 2011. aasta määrust (EL) nr 305/2011, millega sätestatakse ehitustoodete ühtlustatud turustustingimused ning tunnistatakse kehtetuks nõukogu direktiiv 89/106/EMÜ, </w:t>
      </w:r>
    </w:p>
    <w:p w14:paraId="0FA105FE" w14:textId="77777777" w:rsidR="00A64ECF" w:rsidRPr="003277B4" w:rsidRDefault="00A64ECF">
      <w:pPr>
        <w:pStyle w:val="Normaallaadveeb"/>
        <w:spacing w:before="0" w:after="0"/>
        <w:ind w:firstLine="709"/>
      </w:pPr>
    </w:p>
    <w:p w14:paraId="2F6F8F35" w14:textId="7A7422A7" w:rsidR="00FF5321" w:rsidRPr="003277B4" w:rsidRDefault="0078133A">
      <w:pPr>
        <w:pStyle w:val="Normaallaadveeb"/>
        <w:spacing w:before="0" w:after="0"/>
        <w:ind w:firstLine="709"/>
      </w:pPr>
      <w:r>
        <w:t>võttes arvesse ehitus- ja eluasemeseadustikku, eelkõige selle artikleid L. 111-9 ja R. 111-10,</w:t>
      </w:r>
    </w:p>
    <w:p w14:paraId="65D5A4FD" w14:textId="77777777" w:rsidR="00FF5321" w:rsidRPr="003277B4" w:rsidRDefault="00FF5321">
      <w:pPr>
        <w:pStyle w:val="Normaallaadve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allaadveeb"/>
        <w:spacing w:before="0" w:after="0"/>
        <w:ind w:firstLine="709"/>
      </w:pPr>
      <w:r>
        <w:t>võttes arvesse ehituse ja energiatõhususe kõrgema nõukogu [kuupäev] arvamust,</w:t>
      </w:r>
    </w:p>
    <w:p w14:paraId="15C1F459" w14:textId="77777777" w:rsidR="00FF5321" w:rsidRPr="003277B4" w:rsidRDefault="00FF5321">
      <w:pPr>
        <w:pStyle w:val="Normaallaadveeb"/>
        <w:spacing w:before="0" w:after="0"/>
        <w:ind w:firstLine="709"/>
      </w:pPr>
    </w:p>
    <w:p w14:paraId="4CC7BE24" w14:textId="50F9A447" w:rsidR="00FF5321" w:rsidRPr="003277B4" w:rsidRDefault="0078133A">
      <w:pPr>
        <w:pStyle w:val="Normaallaadveeb"/>
        <w:spacing w:before="0" w:after="0"/>
        <w:ind w:firstLine="709"/>
      </w:pPr>
      <w:r>
        <w:t>võttes arvesse riikliku energianõukogu [kuupäev] arvamust,</w:t>
      </w:r>
    </w:p>
    <w:p w14:paraId="25D653AE" w14:textId="77777777" w:rsidR="00FF5321" w:rsidRPr="003277B4" w:rsidRDefault="00FF5321">
      <w:pPr>
        <w:pStyle w:val="Normaallaadveeb"/>
        <w:spacing w:before="0" w:after="0"/>
      </w:pPr>
    </w:p>
    <w:p w14:paraId="2A550391" w14:textId="14200E30" w:rsidR="00FF5321" w:rsidRPr="003277B4" w:rsidRDefault="0078133A">
      <w:pPr>
        <w:pStyle w:val="Normaallaadveeb"/>
        <w:spacing w:before="0" w:after="0"/>
        <w:ind w:firstLine="709"/>
      </w:pPr>
      <w:r>
        <w:t>võttes arvesse standardite hindamise riiginõukogu [kuupäev] arvamust;</w:t>
      </w:r>
    </w:p>
    <w:p w14:paraId="1A76A4D9" w14:textId="77777777" w:rsidR="00FF5321" w:rsidRPr="003277B4" w:rsidRDefault="00FF5321">
      <w:pPr>
        <w:pStyle w:val="Normaallaadveeb"/>
        <w:spacing w:before="0" w:after="0"/>
        <w:ind w:firstLine="709"/>
      </w:pPr>
    </w:p>
    <w:p w14:paraId="549EE422" w14:textId="513DF819" w:rsidR="00FF5321" w:rsidRPr="003277B4" w:rsidRDefault="0078133A">
      <w:pPr>
        <w:pStyle w:val="Normaallaadveeb"/>
        <w:spacing w:before="0" w:after="0"/>
        <w:ind w:firstLine="709"/>
      </w:pPr>
      <w:r>
        <w:t>võttes arvesse tähelepanekuid, mis tehti [kuupäev] kuni [kuupäev] kestnud avaliku konsulteerimise käigus, mis toimus keskkonnaseadustiku artikli L. 123-19-1 kohaselt,</w:t>
      </w:r>
    </w:p>
    <w:p w14:paraId="6EA2DB3E" w14:textId="77777777" w:rsidR="00FF5321" w:rsidRPr="003277B4" w:rsidRDefault="00FF5321">
      <w:pPr>
        <w:pStyle w:val="Normaallaadveeb"/>
        <w:spacing w:before="0" w:after="0"/>
        <w:ind w:firstLine="709"/>
      </w:pPr>
    </w:p>
    <w:p w14:paraId="78C1D321" w14:textId="77777777" w:rsidR="00FF5321" w:rsidRPr="003277B4" w:rsidRDefault="0078133A">
      <w:pPr>
        <w:pStyle w:val="Normaallaadveeb"/>
        <w:spacing w:before="0" w:after="0"/>
        <w:ind w:firstLine="709"/>
      </w:pPr>
      <w:r>
        <w:t>olles kuulanud ära riiginõukogu (ehitustööde osakonna),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>võtab vastu järgmise dekreedi: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>Artikkel 1</w:t>
      </w:r>
    </w:p>
    <w:p w14:paraId="1ACAC003" w14:textId="77777777" w:rsidR="00FF5321" w:rsidRPr="003277B4" w:rsidRDefault="00FF5321" w:rsidP="000E5B68">
      <w:pPr>
        <w:pStyle w:val="Kehateks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Kehatekst"/>
        <w:keepNext/>
        <w:spacing w:after="0"/>
        <w:ind w:firstLine="709"/>
      </w:pPr>
      <w:r>
        <w:t>Ehitus- ja eluasemeseadustiku I raamatu III jaotise algusesse lisatakse järgmise sõnastusega sissejuhatav peatükk:</w:t>
      </w:r>
    </w:p>
    <w:p w14:paraId="5AFCC02A" w14:textId="77777777" w:rsidR="00FF5321" w:rsidRPr="003277B4" w:rsidRDefault="0078133A">
      <w:pPr>
        <w:pStyle w:val="western"/>
      </w:pPr>
      <w:r>
        <w:t>„Sissejuhatav peatükk: Kütte- ja sooja tarbevee süsteemide keskkonnatoime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>Artikkel R. 130-1:</w:t>
      </w:r>
    </w:p>
    <w:p w14:paraId="1772CB2E" w14:textId="36BB6966" w:rsidR="00FF5321" w:rsidRPr="003277B4" w:rsidRDefault="00DF19CD">
      <w:pPr>
        <w:pStyle w:val="western"/>
      </w:pPr>
      <w:r>
        <w:t>I. – Elamu- või majandustegevuseks kasutatavatesse hoonetesse on keelatud paigaldada peamiselt kütuseid kasutavaid kütte- ja sooja tarbevee süsteeme, mille kasvuhoonegaaside heitkogus on 250 g CO</w:t>
      </w:r>
      <w:r>
        <w:rPr>
          <w:vertAlign w:val="subscript"/>
        </w:rPr>
        <w:t>2</w:t>
      </w:r>
      <w:r>
        <w:t xml:space="preserve"> ekvivalenti kWh kohta (alumine kütteväärtus) või suurem, see hõlmab ka olemasolevate seadmete väljavahetamist.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>II. – Seda sätet ei kohaldata olemasolevate hoonete suhtes, mille puhul on tõendatud järgmine:</w:t>
      </w:r>
    </w:p>
    <w:p w14:paraId="42FC266F" w14:textId="314ED723" w:rsidR="0060561A" w:rsidRPr="003277B4" w:rsidRDefault="0060561A">
      <w:pPr>
        <w:pStyle w:val="western"/>
      </w:pPr>
      <w:r>
        <w:t>1) ilmne tehniline võimatus asendada olemasolevaid seadmeid kütte- või sooja tarbevee süsteemiga, mis vastab I lõikes määratletud kasvuhoonegaaside heitkoguste künnisele, eelkõige ruumilistel põhjustel või maa- või omandiõigusi käsitlevate servituutide või õigus- või haldusnormide eiramise korral;</w:t>
      </w:r>
    </w:p>
    <w:p w14:paraId="29E9705D" w14:textId="1001564D" w:rsidR="00DF19CD" w:rsidRPr="003277B4" w:rsidRDefault="0060561A">
      <w:pPr>
        <w:pStyle w:val="western"/>
      </w:pPr>
      <w:r>
        <w:t xml:space="preserve">2) ühenduse puudumine kütte- või maagaasivõrkudega ja asjaolu, et I lõikele vastavate uute seadmete paigaldamine nõuab üldkasutatava elektrivõrgu tugevdamistöid.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>III. – Klient põhjendab, et hoone kuulub ühe II lõikes osutatud juhtumi alla, esitades märkuse, mille on tema vastutusel teinud asjatundja.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>IV. – Käesoleva artikli sätteid kohaldatakse uute hoonete ehituse suhtes, mille ehitusloa taotlus esitati pärast 1. juulit 2021, ja olemasolevate hoonete suhtes, mille I lõikes nimetatud töödega alustati pärast 1. jaanuari 2022.“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  <w:bCs/>
        </w:rPr>
        <w:t>Artikkel 2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>Ökoloogilise ülemineku minister ning ökoloogilise ülemineku ministri volitatud elamumajanduse eest vastutav minister vastutavad igaüks oma pädevusalas käesoleva dekreedi rakendamise eest, mis avaldatakse Prantsuse Vabariigi ametlikus väljaandes.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[Koostamise koht ja kuupäev]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>Peaminister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>ökoloogilise ülemineku minister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>ökoloogilise ülemineku ministri volitatud elamumajanduse eest vastutav minister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5211" w14:textId="77777777" w:rsidR="00F2407A" w:rsidRDefault="00F2407A" w:rsidP="004C2249">
      <w:r>
        <w:separator/>
      </w:r>
    </w:p>
  </w:endnote>
  <w:endnote w:type="continuationSeparator" w:id="0">
    <w:p w14:paraId="0F9DB1D2" w14:textId="77777777" w:rsidR="00F2407A" w:rsidRDefault="00F2407A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92893" w14:textId="77777777" w:rsidR="00F2407A" w:rsidRDefault="00F2407A" w:rsidP="004C2249">
      <w:r>
        <w:separator/>
      </w:r>
    </w:p>
  </w:footnote>
  <w:footnote w:type="continuationSeparator" w:id="0">
    <w:p w14:paraId="36FCDA8B" w14:textId="77777777" w:rsidR="00F2407A" w:rsidRDefault="00F2407A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518DC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2407A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 Unicode MS" w:hAnsi="Calibri" w:cs="Calibri"/>
        <w:sz w:val="22"/>
        <w:szCs w:val="22"/>
        <w:lang w:val="et-EE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Liguvaike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Kehatekst">
    <w:name w:val="Body Text"/>
    <w:basedOn w:val="Normaallaad"/>
    <w:pPr>
      <w:spacing w:after="120"/>
      <w:jc w:val="both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qFormat/>
    <w:pPr>
      <w:suppressLineNumbers/>
    </w:pPr>
  </w:style>
  <w:style w:type="paragraph" w:customStyle="1" w:styleId="SNAutorit">
    <w:name w:val="SNAutorité"/>
    <w:basedOn w:val="Normaallaad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allaad"/>
    <w:qFormat/>
    <w:pPr>
      <w:spacing w:before="240" w:after="120"/>
      <w:ind w:firstLine="720"/>
    </w:pPr>
  </w:style>
  <w:style w:type="paragraph" w:customStyle="1" w:styleId="SNVisa">
    <w:name w:val="SNVisa"/>
    <w:basedOn w:val="Normaallaad"/>
    <w:qFormat/>
    <w:pPr>
      <w:spacing w:before="120" w:after="120"/>
      <w:ind w:firstLine="720"/>
    </w:pPr>
  </w:style>
  <w:style w:type="paragraph" w:customStyle="1" w:styleId="SNActe">
    <w:name w:val="SNActe"/>
    <w:basedOn w:val="Normaallaad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allaad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allaadveeb">
    <w:name w:val="Normal (Web)"/>
    <w:basedOn w:val="Normaallaad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allaad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allaad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Jutumullitekst">
    <w:name w:val="Balloon Text"/>
    <w:basedOn w:val="Normaallaad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allaad"/>
    <w:qFormat/>
    <w:pPr>
      <w:suppressLineNumbers/>
    </w:pPr>
  </w:style>
  <w:style w:type="paragraph" w:styleId="Kommentaaritekst">
    <w:name w:val="annotation text"/>
    <w:basedOn w:val="Normaallaad"/>
    <w:link w:val="KommentaaritekstMrk"/>
    <w:uiPriority w:val="99"/>
    <w:unhideWhenUsed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64E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perlink">
    <w:name w:val="Hyperlink"/>
    <w:basedOn w:val="Liguvaikefont"/>
    <w:uiPriority w:val="99"/>
    <w:semiHidden/>
    <w:unhideWhenUsed/>
    <w:rsid w:val="00CD4C4F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4AE2-E9F1-44C5-9FBF-BBE43FA1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RR</cp:lastModifiedBy>
  <cp:revision>8</cp:revision>
  <dcterms:created xsi:type="dcterms:W3CDTF">2020-12-30T13:00:00Z</dcterms:created>
  <dcterms:modified xsi:type="dcterms:W3CDTF">2021-01-21T14:49:00Z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