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36392E">
      <w:pPr>
        <w:pStyle w:val="Heading10"/>
        <w:keepNext/>
        <w:keepLines/>
      </w:pPr>
      <w:bookmarkStart w:id="0" w:name="bookmark0"/>
      <w:r>
        <w:rPr>
          <w:rStyle w:val="Heading1"/>
        </w:rPr>
        <w:t>Osnutki zakonodajnih predlogov</w:t>
      </w:r>
      <w:bookmarkEnd w:id="0"/>
    </w:p>
    <w:p w14:paraId="08A98031" w14:textId="77777777" w:rsidR="00AA0AC6" w:rsidRDefault="0036392E">
      <w:pPr>
        <w:pStyle w:val="Heading20"/>
        <w:keepNext/>
        <w:keepLines/>
      </w:pPr>
      <w:bookmarkStart w:id="1" w:name="bookmark2"/>
      <w:r>
        <w:rPr>
          <w:rStyle w:val="Heading2"/>
        </w:rPr>
        <w:t>Dopolnitve in spremembe so označene s poševnim tiskom.</w:t>
      </w:r>
      <w:bookmarkEnd w:id="1"/>
    </w:p>
    <w:p w14:paraId="69A787FA" w14:textId="77777777" w:rsidR="00AA0AC6" w:rsidRDefault="0036392E">
      <w:pPr>
        <w:pStyle w:val="Heading30"/>
        <w:keepNext/>
        <w:keepLines/>
        <w:spacing w:after="200" w:line="264" w:lineRule="auto"/>
      </w:pPr>
      <w:bookmarkStart w:id="2" w:name="bookmark4"/>
      <w:r>
        <w:rPr>
          <w:rStyle w:val="Heading3"/>
          <w:b/>
        </w:rPr>
        <w:t>Osnutek spremembe Zakona št. 14 z dne 9. marca 1973 o preprečevanju škodljivih učinkov tobaka</w:t>
      </w:r>
      <w:bookmarkEnd w:id="2"/>
    </w:p>
    <w:p w14:paraId="5B187A27" w14:textId="7E3EBB20" w:rsidR="00AA0AC6" w:rsidRDefault="001F37DB" w:rsidP="001F37DB">
      <w:pPr>
        <w:pStyle w:val="BodyText"/>
        <w:tabs>
          <w:tab w:val="left" w:pos="243"/>
        </w:tabs>
        <w:spacing w:after="120"/>
        <w:ind w:firstLine="0"/>
      </w:pPr>
      <w:r>
        <w:rPr>
          <w:rStyle w:val="BodyTextChar"/>
        </w:rPr>
        <w:t>Oddelek 30. Standardizirana oblika in oznake embalaže in izdelkov</w:t>
      </w:r>
    </w:p>
    <w:p w14:paraId="55131F6E" w14:textId="77777777" w:rsidR="00AA0AC6" w:rsidRDefault="0036392E">
      <w:pPr>
        <w:pStyle w:val="BodyText"/>
        <w:ind w:firstLine="580"/>
      </w:pPr>
      <w:r>
        <w:rPr>
          <w:rStyle w:val="BodyTextChar"/>
        </w:rPr>
        <w:t xml:space="preserve">Na Norveško je prepovedano uvažati oziroma na Norveškem prodajati embalažo tobačnih izdelkov in </w:t>
      </w:r>
      <w:r>
        <w:rPr>
          <w:rStyle w:val="BodyTextChar"/>
        </w:rPr>
        <w:t xml:space="preserve">tobačne izdelke, ki nimajo standardizirane oblike v skladu s podrobnimi določbami predpisov, ki jih je določilo Ministrstvo. </w:t>
      </w:r>
      <w:r>
        <w:rPr>
          <w:rStyle w:val="BodyTextChar"/>
          <w:i/>
        </w:rPr>
        <w:t>Enako velja za elektronske cigarete in posodice za ponovno polnjenje, ne glede na vsebnost nikotina.</w:t>
      </w:r>
      <w:r>
        <w:rPr>
          <w:rStyle w:val="BodyTextChar"/>
        </w:rPr>
        <w:t xml:space="preserve"> Standardizacija se lahko med d</w:t>
      </w:r>
      <w:r>
        <w:rPr>
          <w:rStyle w:val="BodyTextChar"/>
        </w:rPr>
        <w:t>rugim nanaša na barvo, obliko, videz, material in oznake, vključno z uporabo imen blagovnih znamk, logotipov in drugih elementov, povezanih z znamčenjem.</w:t>
      </w:r>
    </w:p>
    <w:p w14:paraId="59A9A310" w14:textId="77777777" w:rsidR="00AA0AC6" w:rsidRDefault="0036392E">
      <w:pPr>
        <w:pStyle w:val="BodyText"/>
        <w:spacing w:after="540"/>
        <w:ind w:firstLine="580"/>
      </w:pPr>
      <w:r>
        <w:rPr>
          <w:rStyle w:val="BodyTextChar"/>
        </w:rPr>
        <w:t>Ministrstvo lahko izda predpise o podobni standardizaciji oznak in oblike embalaže dodatkov za kajenje</w:t>
      </w:r>
      <w:r>
        <w:rPr>
          <w:rStyle w:val="BodyTextChar"/>
        </w:rPr>
        <w:t xml:space="preserve"> in tobačnih nadomestkov ter izvzame določene kategorije izdelkov. Ministrstvo lahko s predpisi omeji vrste maloprodajnih mest, na katerih se lahko prodajajo izdelki, ki so izvzeti iz zahteve glede standardizacije.</w:t>
      </w:r>
    </w:p>
    <w:p w14:paraId="5BE1906D" w14:textId="060A2BBD" w:rsidR="00AA0AC6" w:rsidRDefault="001F37DB" w:rsidP="001F37DB">
      <w:pPr>
        <w:pStyle w:val="BodyText"/>
        <w:tabs>
          <w:tab w:val="left" w:pos="243"/>
        </w:tabs>
        <w:spacing w:after="200"/>
        <w:ind w:firstLine="0"/>
      </w:pPr>
      <w:r>
        <w:rPr>
          <w:rStyle w:val="BodyTextChar"/>
        </w:rPr>
        <w:t>Oddelek 30a. Zdravstveno opozorilo in predstavitev izdelka</w:t>
      </w:r>
    </w:p>
    <w:p w14:paraId="776E89D9" w14:textId="652A9ACA" w:rsidR="00AA0AC6" w:rsidRDefault="0036392E">
      <w:pPr>
        <w:pStyle w:val="BodyText"/>
        <w:spacing w:after="200" w:line="240" w:lineRule="auto"/>
        <w:ind w:firstLine="500"/>
      </w:pPr>
      <w:r>
        <w:rPr>
          <w:rStyle w:val="BodyTextChar"/>
        </w:rPr>
        <w:t>Na Norveško je prepovedano uvažati oziroma na Norveškem prodajati tobačne izdelke, elektronske cigarete, posodice za ponovno polnjenje in zeliščne izdelke za kajenje, ki niso označeni z zdravstvenimi opozorili.</w:t>
      </w:r>
    </w:p>
    <w:p w14:paraId="66AB4B62" w14:textId="77777777" w:rsidR="00AA0AC6" w:rsidRDefault="0036392E">
      <w:pPr>
        <w:pStyle w:val="BodyText"/>
        <w:spacing w:line="240" w:lineRule="auto"/>
        <w:ind w:firstLine="500"/>
      </w:pPr>
      <w:r>
        <w:rPr>
          <w:rStyle w:val="BodyTextChar"/>
        </w:rPr>
        <w:t>[Na Norveško je prepovedano</w:t>
      </w:r>
      <w:r>
        <w:rPr>
          <w:rStyle w:val="BodyTextChar"/>
        </w:rPr>
        <w:t xml:space="preserve"> uvažati oziroma na Norveškem prodajati tobačne izdelke, zeliščne izdelke za kajenje, elektronske cigarete in posodice za ponovno polnjenje, označene s kakršnim koli elementom ali dodatkom, vključno z besedili, imeni, blagovnimi znamkami, simboli ter sliko</w:t>
      </w:r>
      <w:r>
        <w:rPr>
          <w:rStyle w:val="BodyTextChar"/>
        </w:rPr>
        <w:t>vnimi ali drugimi znaki, ki:</w:t>
      </w:r>
    </w:p>
    <w:p w14:paraId="5477CAB0" w14:textId="77777777" w:rsidR="00AA0AC6" w:rsidRDefault="0036392E">
      <w:pPr>
        <w:pStyle w:val="BodyText"/>
        <w:numPr>
          <w:ilvl w:val="0"/>
          <w:numId w:val="2"/>
        </w:numPr>
        <w:tabs>
          <w:tab w:val="left" w:pos="735"/>
        </w:tabs>
        <w:ind w:left="740" w:hanging="360"/>
      </w:pPr>
      <w:r>
        <w:rPr>
          <w:rStyle w:val="BodyTextChar"/>
        </w:rPr>
        <w:t>promovirajo tobačni izdelek ali spodbujajo njegovo uživanje z ustvarjanjem napačnega vtisa o njegovih značilnostih, učinkih na zdravje, tveganjih ali emisijah;</w:t>
      </w:r>
    </w:p>
    <w:p w14:paraId="12A7A4D9" w14:textId="77777777" w:rsidR="00AA0AC6" w:rsidRDefault="0036392E">
      <w:pPr>
        <w:pStyle w:val="BodyText"/>
        <w:numPr>
          <w:ilvl w:val="0"/>
          <w:numId w:val="2"/>
        </w:numPr>
        <w:tabs>
          <w:tab w:val="left" w:pos="735"/>
        </w:tabs>
        <w:ind w:left="740" w:hanging="360"/>
      </w:pPr>
      <w:r>
        <w:rPr>
          <w:rStyle w:val="BodyTextChar"/>
        </w:rPr>
        <w:t xml:space="preserve">vključujejo kakršne koli informacije o vsebnosti nikotina, katrana </w:t>
      </w:r>
      <w:r>
        <w:rPr>
          <w:rStyle w:val="BodyTextChar"/>
        </w:rPr>
        <w:t>ali ogljikovega monoksida v tobačnem izdelku;</w:t>
      </w:r>
    </w:p>
    <w:p w14:paraId="446BC351" w14:textId="77777777" w:rsidR="00AA0AC6" w:rsidRDefault="0036392E">
      <w:pPr>
        <w:pStyle w:val="BodyText"/>
        <w:numPr>
          <w:ilvl w:val="0"/>
          <w:numId w:val="2"/>
        </w:numPr>
        <w:tabs>
          <w:tab w:val="left" w:pos="735"/>
        </w:tabs>
        <w:ind w:left="740" w:hanging="360"/>
      </w:pPr>
      <w:r>
        <w:rPr>
          <w:rStyle w:val="BodyTextChar"/>
        </w:rPr>
        <w:t>namigujejo, da je določen izdelek manj škodljiv od drugih ali da zagotavlja večjo vitalnost ali več energije ali da ima zdravilne, pomlajevalne, naravne ali organske lastnosti ali da drugače koristi zdravju ali</w:t>
      </w:r>
      <w:r>
        <w:rPr>
          <w:rStyle w:val="BodyTextChar"/>
        </w:rPr>
        <w:t xml:space="preserve"> življenjskemu slogu;</w:t>
      </w:r>
    </w:p>
    <w:p w14:paraId="7530D3E3" w14:textId="77777777" w:rsidR="00AA0AC6" w:rsidRDefault="0036392E" w:rsidP="0036392E">
      <w:pPr>
        <w:pStyle w:val="BodyText"/>
        <w:numPr>
          <w:ilvl w:val="0"/>
          <w:numId w:val="2"/>
        </w:numPr>
        <w:tabs>
          <w:tab w:val="left" w:pos="732"/>
        </w:tabs>
        <w:ind w:left="740" w:hanging="360"/>
      </w:pPr>
      <w:r>
        <w:rPr>
          <w:rStyle w:val="BodyTextChar"/>
        </w:rPr>
        <w:t>se sklicujejo na okus, vonj, kakršne koli arome ali druge dodatke ali na njihovo odsotnost;</w:t>
      </w:r>
    </w:p>
    <w:p w14:paraId="6D3DA705" w14:textId="77777777" w:rsidR="00AA0AC6" w:rsidRDefault="0036392E">
      <w:pPr>
        <w:pStyle w:val="BodyText"/>
        <w:numPr>
          <w:ilvl w:val="0"/>
          <w:numId w:val="2"/>
        </w:numPr>
        <w:tabs>
          <w:tab w:val="left" w:pos="732"/>
        </w:tabs>
        <w:ind w:firstLine="380"/>
      </w:pPr>
      <w:r>
        <w:rPr>
          <w:rStyle w:val="BodyTextChar"/>
        </w:rPr>
        <w:t>spominjajo na živilo ali kozmetični izdelek;</w:t>
      </w:r>
    </w:p>
    <w:p w14:paraId="713D58E2" w14:textId="77777777" w:rsidR="00AA0AC6" w:rsidRDefault="0036392E">
      <w:pPr>
        <w:pStyle w:val="BodyText"/>
        <w:numPr>
          <w:ilvl w:val="0"/>
          <w:numId w:val="2"/>
        </w:numPr>
        <w:tabs>
          <w:tab w:val="left" w:pos="732"/>
          <w:tab w:val="left" w:pos="735"/>
        </w:tabs>
        <w:spacing w:after="200"/>
        <w:ind w:firstLine="380"/>
      </w:pPr>
      <w:r>
        <w:rPr>
          <w:rStyle w:val="BodyTextChar"/>
        </w:rPr>
        <w:t>namigujejo, da ima določen tobačni izdelek okoljske ali finančne prednosti.</w:t>
      </w:r>
    </w:p>
    <w:p w14:paraId="5987CFDC" w14:textId="77777777" w:rsidR="00AA0AC6" w:rsidRDefault="0036392E">
      <w:pPr>
        <w:pStyle w:val="BodyText"/>
        <w:spacing w:after="200" w:line="240" w:lineRule="auto"/>
        <w:ind w:firstLine="500"/>
      </w:pPr>
      <w:r>
        <w:rPr>
          <w:rStyle w:val="BodyTextChar"/>
        </w:rPr>
        <w:t xml:space="preserve">Določbe prvega </w:t>
      </w:r>
      <w:r>
        <w:rPr>
          <w:rStyle w:val="BodyTextChar"/>
          <w:strike/>
        </w:rPr>
        <w:t>in drugega</w:t>
      </w:r>
      <w:r>
        <w:rPr>
          <w:rStyle w:val="BodyTextChar"/>
        </w:rPr>
        <w:t xml:space="preserve"> odstavka se ne uporabljajo za elektronske cigarete za enkratno uporabo brez nikotina in posodice za ponovno polnjenje brez nikotina. Prepoved prikazovanja</w:t>
      </w:r>
      <w:r>
        <w:rPr>
          <w:rStyle w:val="BodyTextChar"/>
        </w:rPr>
        <w:t xml:space="preserve"> informacij o vsebnosti nikotina iz drugega odstavka točke b </w:t>
      </w:r>
      <w:r>
        <w:rPr>
          <w:rStyle w:val="BodyTextChar"/>
          <w:strike/>
        </w:rPr>
        <w:t>in sklicevanja na arome iz točke (d)</w:t>
      </w:r>
      <w:r>
        <w:rPr>
          <w:rStyle w:val="BodyTextChar"/>
        </w:rPr>
        <w:t xml:space="preserve"> se ne uporablja za elektronske cigarete in posodice za ponovno polnjenje. Drugi odstavek točke (d) in točka (f) se ne uporabljata za zeliščne izdelke za kajen</w:t>
      </w:r>
      <w:r>
        <w:rPr>
          <w:rStyle w:val="BodyTextChar"/>
        </w:rPr>
        <w:t>je, sicer pa ni dovoljeno navesti, da je izdelek brez dodatkov ali arom.</w:t>
      </w:r>
    </w:p>
    <w:p w14:paraId="4A3E0B34" w14:textId="77777777" w:rsidR="00AA0AC6" w:rsidRDefault="0036392E">
      <w:pPr>
        <w:pStyle w:val="BodyText"/>
        <w:spacing w:after="200" w:line="240" w:lineRule="auto"/>
        <w:ind w:firstLine="500"/>
      </w:pPr>
      <w:r>
        <w:rPr>
          <w:rStyle w:val="BodyTextChar"/>
        </w:rPr>
        <w:lastRenderedPageBreak/>
        <w:t>Ministrstvo lahko v predpisih določi dopolnilne določbe za izvajanje zahtev iz prvega in drugega odstavka in izvzetja iz navedenih zahtev.</w:t>
      </w:r>
    </w:p>
    <w:p w14:paraId="4940B364" w14:textId="77777777" w:rsidR="00AA0AC6" w:rsidRDefault="0036392E" w:rsidP="001F37DB">
      <w:pPr>
        <w:pStyle w:val="BodyText"/>
        <w:keepNext/>
        <w:spacing w:after="140"/>
        <w:ind w:firstLine="0"/>
      </w:pPr>
      <w:r>
        <w:rPr>
          <w:rStyle w:val="BodyTextChar"/>
        </w:rPr>
        <w:t xml:space="preserve">Novi oddelek 32a. Prepoved značilnih arom v </w:t>
      </w:r>
      <w:r>
        <w:rPr>
          <w:rStyle w:val="BodyTextChar"/>
        </w:rPr>
        <w:t>elektronskih cigaretah itd.</w:t>
      </w:r>
    </w:p>
    <w:p w14:paraId="522ED393" w14:textId="77777777" w:rsidR="00AA0AC6" w:rsidRDefault="0036392E">
      <w:pPr>
        <w:pStyle w:val="BodyText"/>
        <w:ind w:firstLine="580"/>
      </w:pPr>
      <w:r>
        <w:rPr>
          <w:rStyle w:val="BodyTextChar"/>
          <w:i/>
        </w:rPr>
        <w:t>Na Norveško je prepovedano uvažati oziroma na Norveškem prodajati elektronske cigarete in posodice za ponovno polnjenje, ne glede na vsebnost nikotina, z značilnimi aromami. Enako velja za ločene posodice z aromatičnimi dodatki,</w:t>
      </w:r>
      <w:r>
        <w:rPr>
          <w:rStyle w:val="BodyTextChar"/>
          <w:i/>
        </w:rPr>
        <w:t xml:space="preserve"> namenjenimi uporabi v elektronskih cigaretah.</w:t>
      </w:r>
    </w:p>
    <w:p w14:paraId="69779CD8" w14:textId="77777777" w:rsidR="00AA0AC6" w:rsidRDefault="0036392E">
      <w:pPr>
        <w:pStyle w:val="BodyText"/>
        <w:ind w:firstLine="580"/>
      </w:pPr>
      <w:r>
        <w:rPr>
          <w:rStyle w:val="BodyTextChar"/>
          <w:i/>
        </w:rPr>
        <w:t>Prepoved iz prvega odstavka se uporablja tudi za opremo in sestavne dele, ki se uporabljajo v zvezi z elektronskimi cigaretami in omogočajo spreminjanje okusa ali vonja izdelkov.</w:t>
      </w:r>
    </w:p>
    <w:p w14:paraId="2CC900A2" w14:textId="77777777" w:rsidR="00AA0AC6" w:rsidRDefault="0036392E">
      <w:pPr>
        <w:pStyle w:val="BodyText"/>
        <w:spacing w:after="420"/>
        <w:ind w:firstLine="580"/>
      </w:pPr>
      <w:r>
        <w:rPr>
          <w:rStyle w:val="BodyTextChar"/>
          <w:i/>
        </w:rPr>
        <w:t>Ministrstvo lahko sprejme dopo</w:t>
      </w:r>
      <w:r>
        <w:rPr>
          <w:rStyle w:val="BodyTextChar"/>
          <w:i/>
        </w:rPr>
        <w:t>lnilne predpise v zvezi s prepovedmi iz prvega in drugega odstavka ter določi izvzetja, mejne vrednosti dodatkov ali kombinacij dodatkov, ki zagotavljajo značilno aromo, ter pristojbine za kritje stroškov, ki jih imajo vladni organi zaradi upravljanja in n</w:t>
      </w:r>
      <w:r>
        <w:rPr>
          <w:rStyle w:val="BodyTextChar"/>
          <w:i/>
        </w:rPr>
        <w:t>adzora prepovedi. Ministrstvo lahko v predpisih sprejme tudi seznam aromatičnih dodatkov, ki se lahko uporabljajo kot sestavine v elektronskih cigaretah in posodicah za ponovno polnjenje.</w:t>
      </w:r>
    </w:p>
    <w:p w14:paraId="362A0B7D" w14:textId="77777777" w:rsidR="00AA0AC6" w:rsidRDefault="0036392E">
      <w:pPr>
        <w:pStyle w:val="Heading30"/>
        <w:keepNext/>
        <w:keepLines/>
        <w:spacing w:after="140" w:line="259" w:lineRule="auto"/>
      </w:pPr>
      <w:bookmarkStart w:id="3" w:name="bookmark6"/>
      <w:r>
        <w:rPr>
          <w:rStyle w:val="Heading3"/>
          <w:b/>
        </w:rPr>
        <w:t>Osnutek sprememb Pravilnika št. 141 z dne 6. februarja 2003 o vsebin</w:t>
      </w:r>
      <w:r>
        <w:rPr>
          <w:rStyle w:val="Heading3"/>
          <w:b/>
        </w:rPr>
        <w:t>i, označevanju in obliki tobačnih izdelkov itd.</w:t>
      </w:r>
      <w:bookmarkEnd w:id="3"/>
    </w:p>
    <w:p w14:paraId="06077C93" w14:textId="2B6CC7A0" w:rsidR="00AA0AC6" w:rsidRDefault="001F37DB" w:rsidP="001F37DB">
      <w:pPr>
        <w:pStyle w:val="BodyText"/>
        <w:tabs>
          <w:tab w:val="left" w:pos="278"/>
        </w:tabs>
        <w:spacing w:after="140"/>
        <w:ind w:firstLine="0"/>
      </w:pPr>
      <w:r>
        <w:rPr>
          <w:rStyle w:val="BodyTextChar"/>
        </w:rPr>
        <w:t>Oddelek 31. Najmanjša velikost in teža tobačnih izdelkov</w:t>
      </w:r>
    </w:p>
    <w:p w14:paraId="6842D5C9" w14:textId="77777777" w:rsidR="00AA0AC6" w:rsidRDefault="0036392E">
      <w:pPr>
        <w:pStyle w:val="BodyText"/>
        <w:ind w:firstLine="580"/>
      </w:pPr>
      <w:r>
        <w:rPr>
          <w:rStyle w:val="BodyTextChar"/>
        </w:rPr>
        <w:t>Zavojček za prodajo potrošnikom vsebuje:</w:t>
      </w:r>
    </w:p>
    <w:p w14:paraId="67107DAC" w14:textId="77777777" w:rsidR="00AA0AC6" w:rsidRDefault="0036392E">
      <w:pPr>
        <w:pStyle w:val="BodyText"/>
        <w:numPr>
          <w:ilvl w:val="0"/>
          <w:numId w:val="3"/>
        </w:numPr>
        <w:tabs>
          <w:tab w:val="left" w:pos="1286"/>
        </w:tabs>
        <w:spacing w:line="240" w:lineRule="auto"/>
        <w:ind w:firstLine="940"/>
      </w:pPr>
      <w:r>
        <w:rPr>
          <w:rStyle w:val="BodyTextChar"/>
        </w:rPr>
        <w:t>vsaj 20 cigaret v primeru zavojčka cigaret;</w:t>
      </w:r>
    </w:p>
    <w:p w14:paraId="7EB220C6" w14:textId="77777777" w:rsidR="00AA0AC6" w:rsidRDefault="0036392E">
      <w:pPr>
        <w:pStyle w:val="BodyText"/>
        <w:numPr>
          <w:ilvl w:val="0"/>
          <w:numId w:val="3"/>
        </w:numPr>
        <w:tabs>
          <w:tab w:val="left" w:pos="1286"/>
          <w:tab w:val="left" w:pos="1300"/>
        </w:tabs>
        <w:spacing w:line="240" w:lineRule="auto"/>
        <w:ind w:firstLine="940"/>
      </w:pPr>
      <w:r>
        <w:rPr>
          <w:rStyle w:val="BodyTextChar"/>
        </w:rPr>
        <w:t>vsaj 30 gramov tobaka v primeru zavojčka tobaka za zvijanje;</w:t>
      </w:r>
    </w:p>
    <w:p w14:paraId="12A03E59" w14:textId="77777777" w:rsidR="00AA0AC6" w:rsidRDefault="0036392E" w:rsidP="0036392E">
      <w:pPr>
        <w:pStyle w:val="BodyText"/>
        <w:numPr>
          <w:ilvl w:val="0"/>
          <w:numId w:val="3"/>
        </w:numPr>
        <w:spacing w:line="240" w:lineRule="auto"/>
        <w:ind w:left="1276" w:hanging="335"/>
      </w:pPr>
      <w:r>
        <w:rPr>
          <w:rStyle w:val="BodyTextChar"/>
          <w:i/>
        </w:rPr>
        <w:t xml:space="preserve">vsaj </w:t>
      </w:r>
      <w:r>
        <w:rPr>
          <w:rStyle w:val="BodyTextChar"/>
          <w:i/>
        </w:rPr>
        <w:t>20 enot in 15 gramov tobaka v primeru zavojčka enot tobaka za oralno uporabo;</w:t>
      </w:r>
    </w:p>
    <w:p w14:paraId="28849DE5" w14:textId="77777777" w:rsidR="00AA0AC6" w:rsidRDefault="0036392E">
      <w:pPr>
        <w:pStyle w:val="BodyText"/>
        <w:numPr>
          <w:ilvl w:val="0"/>
          <w:numId w:val="3"/>
        </w:numPr>
        <w:tabs>
          <w:tab w:val="left" w:pos="1286"/>
        </w:tabs>
        <w:spacing w:line="240" w:lineRule="auto"/>
        <w:ind w:firstLine="940"/>
      </w:pPr>
      <w:r>
        <w:rPr>
          <w:rStyle w:val="BodyTextChar"/>
          <w:i/>
        </w:rPr>
        <w:t>30 gramov tobaka v primeru tobaka v razsutem stanju za oralno uporabo (snusa).</w:t>
      </w:r>
    </w:p>
    <w:p w14:paraId="02AA3190" w14:textId="77777777" w:rsidR="00AA0AC6" w:rsidRDefault="0036392E">
      <w:pPr>
        <w:pStyle w:val="BodyText"/>
        <w:ind w:firstLine="580"/>
      </w:pPr>
      <w:r>
        <w:rPr>
          <w:rStyle w:val="BodyTextChar"/>
        </w:rPr>
        <w:t>Ti zavojčki ne smejo vsebovati manjših zavojčkov in ne smejo omogočati razdelitve na manjše zavojčk</w:t>
      </w:r>
      <w:r>
        <w:rPr>
          <w:rStyle w:val="BodyTextChar"/>
        </w:rPr>
        <w:t>e.</w:t>
      </w:r>
    </w:p>
    <w:p w14:paraId="563C0CD8" w14:textId="77777777" w:rsidR="00AA0AC6" w:rsidRDefault="0036392E">
      <w:pPr>
        <w:pStyle w:val="BodyText"/>
        <w:spacing w:after="80"/>
        <w:ind w:firstLine="580"/>
      </w:pPr>
      <w:r>
        <w:rPr>
          <w:rStyle w:val="BodyTextChar"/>
        </w:rPr>
        <w:t>Cigare se lahko prodajajo posamično z zdravstvenimi opozorili na embalaži.</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36392E">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36392E">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4.94999999999999pt;margin-top:787.95000000000005pt;width:2.8999999999999999pt;height:7.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36392E"/>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l-S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2023-02-06T09:18:00Z</dcterms:modified>
</cp:coreProperties>
</file>