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PROJEKT Z DNIA 24 kwietnia 2023 r.</w:t>
      </w:r>
    </w:p>
    <w:p w14:paraId="47AEB7CF" w14:textId="77777777" w:rsidR="00A61365" w:rsidRDefault="00A61365">
      <w:pPr>
        <w:rPr>
          <w:b/>
        </w:rPr>
      </w:pPr>
    </w:p>
    <w:p w14:paraId="6180DDA9" w14:textId="710E2BAE" w:rsidR="00812A71" w:rsidRDefault="00DE2DBE">
      <w:r>
        <w:rPr>
          <w:b/>
        </w:rPr>
        <w:t>Rozporządzenie z dnia... r. zmieniające rozporządzenie w sprawie fajerwerków w związku z wykonaniem decyzji Beneluksu dotyczącej wprowadzenia karty Piro i innych zmian</w:t>
      </w:r>
    </w:p>
    <w:p w14:paraId="72D47658" w14:textId="77777777" w:rsidR="004550E6" w:rsidRDefault="004550E6"/>
    <w:p w14:paraId="27C48DC3" w14:textId="1F17E5B8" w:rsidR="00812A71" w:rsidRDefault="00DE2DBE">
      <w:r>
        <w:t> </w:t>
      </w:r>
    </w:p>
    <w:p w14:paraId="29AE9671" w14:textId="77777777" w:rsidR="001B02F2" w:rsidRDefault="00DE2DBE">
      <w:r>
        <w:t>Na zalecenie sekretarza stanu ds. infrastruktury i gospodarki wodnej, nr Ien/BSK, Centralnego Departamentu Spraw Administracyjnych i Prawnych;</w:t>
      </w:r>
    </w:p>
    <w:p w14:paraId="35B52BA7" w14:textId="77777777" w:rsidR="001B02F2" w:rsidRDefault="00DE2DBE">
      <w:r>
        <w:t>uwzględniając art. 9.2.2.1 ust. 1 i 2 oraz art. 9.5.8 ust. 3, 4 i 6 ustawy o gospodarce środowiskowej,</w:t>
      </w:r>
    </w:p>
    <w:p w14:paraId="0BFE77BB" w14:textId="77777777" w:rsidR="001B02F2" w:rsidRDefault="00DE2DBE">
      <w:r>
        <w:t>po wysłuchaniu opinii Działu Doradztwa Rady Stanu (opinia z dnia, nr );</w:t>
      </w:r>
    </w:p>
    <w:p w14:paraId="6870CA70" w14:textId="3C44008C" w:rsidR="00812A71" w:rsidRDefault="00DE2DBE">
      <w:r>
        <w:t>uwzględniając szczegółowe sprawozdanie sekretarza stanu ds. infrastruktury i gospodarki wodnej, nr IenW/BSK-, Centralnego Departamentu Spraw Administracyjnych i Prawnych,</w:t>
      </w:r>
    </w:p>
    <w:p w14:paraId="4A13238C" w14:textId="77777777" w:rsidR="00812A71" w:rsidRDefault="00DE2DBE">
      <w:r>
        <w:t> </w:t>
      </w:r>
    </w:p>
    <w:p w14:paraId="5B478B2C" w14:textId="77777777" w:rsidR="00812A71" w:rsidRDefault="00DE2DBE">
      <w:r>
        <w:t>niniejszym zatwierdzamy i rozporządzamy, co następuje:</w:t>
      </w:r>
    </w:p>
    <w:p w14:paraId="62B3049A" w14:textId="77777777" w:rsidR="00812A71" w:rsidRDefault="00DE2DBE">
      <w:r>
        <w:t> </w:t>
      </w:r>
    </w:p>
    <w:p w14:paraId="08C47E30" w14:textId="147069F8" w:rsidR="00812A71" w:rsidRDefault="006F7252">
      <w:pPr>
        <w:rPr>
          <w:b/>
          <w:bCs/>
        </w:rPr>
      </w:pPr>
      <w:bookmarkStart w:id="0" w:name="_Hlk124949658"/>
      <w:r>
        <w:rPr>
          <w:b/>
        </w:rPr>
        <w:t>ARTYKUŁ I</w:t>
      </w:r>
    </w:p>
    <w:p w14:paraId="379E0185" w14:textId="43AD2E86" w:rsidR="006F7252" w:rsidRDefault="006F7252">
      <w:pPr>
        <w:rPr>
          <w:b/>
          <w:bCs/>
        </w:rPr>
      </w:pPr>
    </w:p>
    <w:p w14:paraId="65DE9109" w14:textId="514A9AD2" w:rsidR="006F7252" w:rsidRPr="006F7252" w:rsidRDefault="006F7252">
      <w:r>
        <w:t>W rozporządzeniu w sprawie wyrobów pirotechnicznych [Vuurwerkbesluit] wprowadza się następujące zmiany:</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W porządku alfabetycznym art. 1.1.1 ust. 1 dodaje się definicje w brzmieniu:</w:t>
      </w:r>
    </w:p>
    <w:p w14:paraId="0714850A" w14:textId="6A9B9B8B" w:rsidR="00A00841" w:rsidRPr="00DF3AEC" w:rsidRDefault="00A00841" w:rsidP="00864C9A">
      <w:r>
        <w:t>karta Piro oznacza dokument kontroli wydany przez właściwy organ w Belgii, Luksemburgu lub Niderlandach, umożliwiający posiadaczowi wykazanie, że może on zaopatrywać się w wyroby pirotechniczne kategorii F3 i F4, wyroby pirotechniczne do użytku teatralnego kategorii T2 i inne wyroby pirotechniczne kategorii P2;</w:t>
      </w:r>
    </w:p>
    <w:p w14:paraId="02589494" w14:textId="44710ED4" w:rsidR="006722D9" w:rsidRPr="00DF3AEC" w:rsidRDefault="006722D9" w:rsidP="00864C9A">
      <w:r>
        <w:t>rejestr kart Piro oznacza rejestr, o którym mowa w art. 9.5.8 ust. 1 ustawy o gospodarce środowiskowej;</w:t>
      </w:r>
    </w:p>
    <w:p w14:paraId="5F9CB859" w14:textId="063BB3E5" w:rsidR="001D30A8" w:rsidRPr="00DF3AEC" w:rsidRDefault="00031518" w:rsidP="00317EB5">
      <w:r>
        <w:t xml:space="preserve">osoba odpowiedzialna oznacza osobę posiadającą specjalistyczną wiedzę, przetwórcę fajerwerków lub operatora fajerwerków wyznaczoną przez </w:t>
      </w:r>
      <w:bookmarkStart w:id="1" w:name="_Hlk130044621"/>
      <w:r>
        <w:t xml:space="preserve">osobę prawną posiadającą prawo do używania, przechowywania lub udostępniania na rynku wyrobów pirotechnicznych, </w:t>
      </w:r>
      <w:bookmarkEnd w:id="1"/>
      <w:r>
        <w:t>do obsługi lub używania wyrobów pirotechnicznych w imieniu tej osoby prawnej;</w:t>
      </w:r>
    </w:p>
    <w:p w14:paraId="317A0783" w14:textId="73E49B15" w:rsidR="001D30A8" w:rsidRPr="00DF3AEC" w:rsidRDefault="001D30A8" w:rsidP="00317EB5">
      <w:r>
        <w:t xml:space="preserve">przetwórca fajerwerków oznacza osobę </w:t>
      </w:r>
      <w:bookmarkStart w:id="2" w:name="_Hlk124078821"/>
      <w:r>
        <w:t>wpisaną do Rejestru przetwórców fajerwerków, o którym mowa w art. 4.9 ust. 2 rozporządzenia w sprawie warunków pracy</w:t>
      </w:r>
      <w:bookmarkEnd w:id="2"/>
      <w:r>
        <w:t>;</w:t>
      </w:r>
    </w:p>
    <w:p w14:paraId="710EEB49" w14:textId="241E6D0A" w:rsidR="00031518" w:rsidRDefault="001D30A8" w:rsidP="00317EB5">
      <w:r>
        <w:t xml:space="preserve">operator fajerwerków oznacza osobę wpisaną do Rejestru operatorów fajerwerków, o którym mowa w art. 4.9 ust. 1 rozporządzenia w sprawie warunków pracy. </w:t>
      </w:r>
    </w:p>
    <w:p w14:paraId="6785AB54" w14:textId="5BBC2F4A" w:rsidR="00864C9A" w:rsidRDefault="00864C9A" w:rsidP="00864C9A"/>
    <w:p w14:paraId="5D6EFE7A" w14:textId="416A9532" w:rsidR="003F0C01" w:rsidRDefault="003F0C01" w:rsidP="00291E4C">
      <w:pPr>
        <w:keepNext/>
        <w:keepLines/>
      </w:pPr>
      <w:r>
        <w:lastRenderedPageBreak/>
        <w:t>B</w:t>
      </w:r>
    </w:p>
    <w:p w14:paraId="30EA7B1A" w14:textId="2E81696A" w:rsidR="00400AC3" w:rsidRDefault="00400AC3" w:rsidP="00291E4C">
      <w:pPr>
        <w:keepNext/>
        <w:keepLines/>
      </w:pPr>
    </w:p>
    <w:p w14:paraId="67F69213" w14:textId="0D7C0B08" w:rsidR="003F0C01" w:rsidRDefault="00603A66" w:rsidP="00291E4C">
      <w:pPr>
        <w:keepNext/>
        <w:keepLines/>
      </w:pPr>
      <w:r>
        <w:t>W art. 1.1.3 dodaje się ustęp w brzmieniu:</w:t>
      </w:r>
    </w:p>
    <w:p w14:paraId="6207D1B7" w14:textId="2B1CFD2E" w:rsidR="00603A66" w:rsidRDefault="00603A66" w:rsidP="00291E4C">
      <w:pPr>
        <w:keepNext/>
        <w:keepLines/>
      </w:pPr>
      <w:r>
        <w:t>3. Rozdział 4 stosuje się również do wyrobów pirotechnicznych kategorii P2.</w:t>
      </w:r>
    </w:p>
    <w:p w14:paraId="206638C4" w14:textId="77777777" w:rsidR="00603A66" w:rsidRDefault="00603A66" w:rsidP="00291E4C">
      <w:pPr>
        <w:keepNext/>
        <w:keepLines/>
      </w:pPr>
    </w:p>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W art. 1.2.5 ust. 2 słowa „zaświadczenie o wpisie lub list przewozowy, o których mowa w art. 20 i 29 ustawy o transporcie drogowym” zastępuje się słowami „list przewozowy, o którym mowa w art. 2.13 ustawy o transporcie drogowym”.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W art. 3B.1 dodaje się ustęp w brzmieniu:</w:t>
      </w:r>
    </w:p>
    <w:p w14:paraId="649EF529" w14:textId="77777777" w:rsidR="002B6FA7" w:rsidRDefault="002B6FA7" w:rsidP="002B6FA7">
      <w:r>
        <w:t xml:space="preserve">7. Pozwolenie na stosowanie jest ważne przez pięć lat.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W art. 3B.6 dodaje się ustęp w brzmieniu:</w:t>
      </w:r>
    </w:p>
    <w:p w14:paraId="1CDB343A" w14:textId="0F48CA81" w:rsidR="00895E5E" w:rsidRDefault="0054451D" w:rsidP="00864C9A">
      <w:r>
        <w:t>6. O zmianie danych, o których mowa w ust. 1 lit. a) niezwłocznie powiadamia się naszego Ministra.</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Po rozdziale 3B dodaje się rozdział w brzmieniu:</w:t>
      </w:r>
    </w:p>
    <w:p w14:paraId="4CEFE234" w14:textId="29C5BC09" w:rsidR="000F702A" w:rsidRDefault="000F702A" w:rsidP="00864C9A"/>
    <w:p w14:paraId="21CB6243" w14:textId="17276665" w:rsidR="000F702A" w:rsidRPr="002304E9" w:rsidRDefault="004B4934">
      <w:pPr>
        <w:rPr>
          <w:b/>
          <w:bCs/>
        </w:rPr>
      </w:pPr>
      <w:r>
        <w:rPr>
          <w:b/>
        </w:rPr>
        <w:t>Rozdział 4. Karta Piro</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Artykuł 4.1</w:t>
      </w:r>
    </w:p>
    <w:p w14:paraId="57E5750B" w14:textId="28D6C40F" w:rsidR="004B4934" w:rsidRPr="009A55B4" w:rsidRDefault="003F1E3A" w:rsidP="004B4934">
      <w:pPr>
        <w:pStyle w:val="ListParagraph"/>
        <w:numPr>
          <w:ilvl w:val="0"/>
          <w:numId w:val="26"/>
        </w:numPr>
      </w:pPr>
      <w:r>
        <w:t>Operatorzy mogą udostępniać na rynku profesjonalne fajerwerki, wyroby pirotechniczne do użytku teatralnego i wyroby pirotechniczne kategorii P2 wyłącznie osobom posiadającym specjalistyczną wiedzę po okazaniu dokumentu kontroli i dokumentu tożsamości.</w:t>
      </w:r>
    </w:p>
    <w:p w14:paraId="7E9230A5" w14:textId="530D3733" w:rsidR="00AB2AC7" w:rsidRPr="009A55B4" w:rsidRDefault="00AB2AC7" w:rsidP="004B4934">
      <w:pPr>
        <w:pStyle w:val="ListParagraph"/>
        <w:numPr>
          <w:ilvl w:val="0"/>
          <w:numId w:val="26"/>
        </w:numPr>
      </w:pPr>
      <w:r>
        <w:t xml:space="preserve">Ponadto jeżeli osoba fizyczna działa w imieniu osoby prawnej uprawnionej do składania, przechowywania lub udostępniania na rynku wyrobów pirotechnicznych, dane wyroby pirotechniczne mogą być dostarczane wyłącznie po okazaniu dokumentu kontroli i dokumentu tożsamości osoby wyznaczonej przez tę osobę prawną. </w:t>
      </w:r>
    </w:p>
    <w:p w14:paraId="31B600EA" w14:textId="7B16AA02" w:rsidR="00C532E8" w:rsidRDefault="008E1C92" w:rsidP="004B4934">
      <w:pPr>
        <w:pStyle w:val="ListParagraph"/>
        <w:numPr>
          <w:ilvl w:val="0"/>
          <w:numId w:val="26"/>
        </w:numPr>
      </w:pPr>
      <w:r>
        <w:t xml:space="preserve">W przypadku osób posiadających specjalistyczną wiedzę lub osób odpowiedzialnych wyznaczonych na mocy prawa w Belgii, Luksemburgu lub Niderlandach, z wyjątkiem osób posiadających wiedzę specjalistyczną, o których mowa w art. 1.1.2a ust. 1 lit. c)–f), karta Piro stanowi dokument kontroli, o którym mowa w ust. 1. </w:t>
      </w:r>
    </w:p>
    <w:p w14:paraId="6F2C5157" w14:textId="1E4A15D5" w:rsidR="00C532E8" w:rsidRDefault="00C532E8" w:rsidP="004B4934">
      <w:pPr>
        <w:pStyle w:val="ListParagraph"/>
        <w:numPr>
          <w:ilvl w:val="0"/>
          <w:numId w:val="26"/>
        </w:numPr>
      </w:pPr>
      <w:r>
        <w:t xml:space="preserve">Posiadaczy karty Piro uprawnionych do stosowania fajerwerków kategorii F3 lub F4 uznaje się również za uprawnionych do stosowania fajerwerków kategorii F2 nieprzeznaczonych do użytku prywatnego. </w:t>
      </w:r>
    </w:p>
    <w:p w14:paraId="3BA1F50D" w14:textId="3F881A76" w:rsidR="000850FB" w:rsidRPr="009A55B4" w:rsidRDefault="00C532E8" w:rsidP="004B4934">
      <w:pPr>
        <w:pStyle w:val="ListParagraph"/>
        <w:numPr>
          <w:ilvl w:val="0"/>
          <w:numId w:val="26"/>
        </w:numPr>
      </w:pPr>
      <w:r>
        <w:t xml:space="preserve">Posiadaczy karty Piro uprawnionych do stosowania wyrobów pirotechnicznych kategorii T2 uznaje się również za uprawnionych do stosowania wyrobów pirotechnicznych kategorii T1. </w:t>
      </w:r>
    </w:p>
    <w:p w14:paraId="790DA6F6" w14:textId="07CEEADF" w:rsidR="008E1C92" w:rsidRPr="009A55B4" w:rsidRDefault="00C41727" w:rsidP="004B4934">
      <w:pPr>
        <w:pStyle w:val="ListParagraph"/>
        <w:numPr>
          <w:ilvl w:val="0"/>
          <w:numId w:val="26"/>
        </w:numPr>
      </w:pPr>
      <w:r>
        <w:t>Podczas sprawdzania karty Piro podmioty gospodarcze mają również wgląd do rejestru kart Piro w celu sprawdzenia ważności karty.</w:t>
      </w:r>
    </w:p>
    <w:p w14:paraId="5A80755F" w14:textId="37B504C7" w:rsidR="00BB309A" w:rsidRPr="009A55B4" w:rsidRDefault="00BB309A" w:rsidP="004B4934">
      <w:pPr>
        <w:pStyle w:val="ListParagraph"/>
        <w:numPr>
          <w:ilvl w:val="0"/>
          <w:numId w:val="26"/>
        </w:numPr>
      </w:pPr>
      <w:r>
        <w:t xml:space="preserve">W przypadku osób posiadających wiedzę specjalistyczną, które nie zostały wyznaczone w Belgii, Luksemburgu lub Niderlandach, dokument kontroli składa </w:t>
      </w:r>
      <w:r>
        <w:lastRenderedPageBreak/>
        <w:t xml:space="preserve">się z pisemnego dowodu pozwolenia otrzymanego przez osobę w państwie członkowskim Unii Europejskiej niebędącym częścią Beneluksu, o którym mowa w art. 1.1.2a ust. 2. </w:t>
      </w:r>
    </w:p>
    <w:p w14:paraId="401495BD" w14:textId="09A5EDDF" w:rsidR="00F57FFC" w:rsidRDefault="003A36BF" w:rsidP="004B4934">
      <w:pPr>
        <w:pStyle w:val="ListParagraph"/>
        <w:numPr>
          <w:ilvl w:val="0"/>
          <w:numId w:val="26"/>
        </w:numPr>
      </w:pPr>
      <w:r>
        <w:t xml:space="preserve">Operatorzy rynkowi, </w:t>
      </w:r>
      <w:r>
        <w:rPr>
          <w:color w:val="auto"/>
        </w:rPr>
        <w:t>którzy dostarczają fajerwerki, o których mowa w akapicie</w:t>
      </w:r>
      <w:r>
        <w:t xml:space="preserve"> pierwszym, zachowują kopię dokumentu kontroli w ewidencji wraz z odpowiednią fakturą i danym dokumentem przewozowym zgodnie z wymogami załącznika 1 do rozporządzenia w sprawie przewozu substancji niebezpiecznych drogą lądową, który jest tłumaczeniem na język niderlandzki załączników A i B do ADR i załączników towarzyszących, przez okres siedmiu lat. </w:t>
      </w:r>
    </w:p>
    <w:bookmarkEnd w:id="3"/>
    <w:p w14:paraId="77CCAB3D" w14:textId="6C5EE37D" w:rsidR="000D187A" w:rsidRPr="00F57FFC" w:rsidRDefault="000D187A" w:rsidP="000D187A"/>
    <w:p w14:paraId="0F4A2607" w14:textId="6E2FEC3B" w:rsidR="007542A2" w:rsidRDefault="007542A2" w:rsidP="000D187A">
      <w:pPr>
        <w:rPr>
          <w:b/>
          <w:bCs/>
        </w:rPr>
      </w:pPr>
      <w:r>
        <w:rPr>
          <w:b/>
        </w:rPr>
        <w:t>Artykuł 4.2</w:t>
      </w:r>
    </w:p>
    <w:p w14:paraId="6C9263C0" w14:textId="2F392ECE" w:rsidR="00E32087" w:rsidRDefault="002F342A" w:rsidP="00C03B50">
      <w:pPr>
        <w:pStyle w:val="ListParagraph"/>
        <w:numPr>
          <w:ilvl w:val="0"/>
          <w:numId w:val="28"/>
        </w:numPr>
      </w:pPr>
      <w:r>
        <w:t>Do otrzymania karty Piro kwalifikują się następujące osoby fizyczne:</w:t>
      </w:r>
    </w:p>
    <w:p w14:paraId="7E1D1169" w14:textId="0C382BF9" w:rsidR="002E68CD" w:rsidRPr="00DF3AEC" w:rsidRDefault="002E68CD" w:rsidP="00B35E9F">
      <w:pPr>
        <w:pStyle w:val="ListParagraph"/>
        <w:numPr>
          <w:ilvl w:val="1"/>
          <w:numId w:val="28"/>
        </w:numPr>
      </w:pPr>
      <w:r>
        <w:t>osoba posiadająca specjalistyczną wiedzę, o której mowa w art. 1.1.2a ust. 1 lit. a), która jest również przetwórcą fajerwerków;</w:t>
      </w:r>
    </w:p>
    <w:p w14:paraId="6D94DC98" w14:textId="09CB35A6" w:rsidR="002E68CD" w:rsidRPr="00DF3AEC" w:rsidRDefault="002E68CD" w:rsidP="002E68CD">
      <w:pPr>
        <w:pStyle w:val="ListParagraph"/>
        <w:numPr>
          <w:ilvl w:val="1"/>
          <w:numId w:val="28"/>
        </w:numPr>
      </w:pPr>
      <w:r>
        <w:t>osoba posiadająca specjalistyczną wiedzę, o której mowa w art. 1.1.2a ust. 1 lit. b), która jest również operatorem fajerwerków;</w:t>
      </w:r>
    </w:p>
    <w:p w14:paraId="53D5CF3C" w14:textId="24BCD38A" w:rsidR="00BC356D" w:rsidRPr="00DF3AEC" w:rsidRDefault="00B35E9F" w:rsidP="002E68CD">
      <w:pPr>
        <w:pStyle w:val="ListParagraph"/>
        <w:numPr>
          <w:ilvl w:val="1"/>
          <w:numId w:val="28"/>
        </w:numPr>
      </w:pPr>
      <w:r>
        <w:t xml:space="preserve">osoba odpowiedzialna; </w:t>
      </w:r>
    </w:p>
    <w:p w14:paraId="56DE35FC" w14:textId="1FE5C43F" w:rsidR="006A7277" w:rsidRPr="00DF3AEC" w:rsidRDefault="0076622F" w:rsidP="002E68CD">
      <w:pPr>
        <w:pStyle w:val="ListParagraph"/>
        <w:numPr>
          <w:ilvl w:val="1"/>
          <w:numId w:val="28"/>
        </w:numPr>
      </w:pPr>
      <w:r>
        <w:t xml:space="preserve">osoba posiadająca specjalistyczną wiedzę w zakresie wyrobów pirotechnicznych kategorii P2. </w:t>
      </w:r>
    </w:p>
    <w:p w14:paraId="6C382F70" w14:textId="2769EB19" w:rsidR="0007311B" w:rsidRPr="00DF3AEC" w:rsidRDefault="0007311B" w:rsidP="002D1271">
      <w:pPr>
        <w:pStyle w:val="ListParagraph"/>
        <w:numPr>
          <w:ilvl w:val="0"/>
          <w:numId w:val="28"/>
        </w:numPr>
      </w:pPr>
      <w:r>
        <w:t xml:space="preserve">Wniosek o kartę Piro dla osoby odpowiedzialnej składa do naszego Ministra posiadacz pozwolenia na stosowanie wraz z osobą odpowiedzialną. </w:t>
      </w:r>
    </w:p>
    <w:p w14:paraId="4BDACCD8" w14:textId="6400775F" w:rsidR="00BA12A9" w:rsidRPr="00734FD2" w:rsidRDefault="00C57360" w:rsidP="00D73B55">
      <w:pPr>
        <w:pStyle w:val="ListParagraph"/>
        <w:numPr>
          <w:ilvl w:val="0"/>
          <w:numId w:val="28"/>
        </w:numPr>
      </w:pPr>
      <w:r>
        <w:t xml:space="preserve">Wzór karty Piro, wymogi dotyczące wniosku i procedury składania wniosków, określone zarządzeniem ministerialnym, , mają zastosowanie. </w:t>
      </w:r>
    </w:p>
    <w:p w14:paraId="702AC5EF" w14:textId="77777777" w:rsidR="004F1E43" w:rsidRDefault="00C15C66" w:rsidP="00C03B50">
      <w:pPr>
        <w:pStyle w:val="ListParagraph"/>
        <w:numPr>
          <w:ilvl w:val="0"/>
          <w:numId w:val="28"/>
        </w:numPr>
      </w:pPr>
      <w:r>
        <w:t xml:space="preserve">Karta Piro przetwórców i operatorów fajerwerków wygasa wraz z wygaśnięciem ich wpisu do Rejestru przetwórców fajerwerków lub do Rejestru operatorów fajerwerków. </w:t>
      </w:r>
    </w:p>
    <w:p w14:paraId="2A5184CC" w14:textId="0ED72ECA" w:rsidR="0076622F" w:rsidRPr="00734FD2" w:rsidRDefault="009632C8" w:rsidP="00C03B50">
      <w:pPr>
        <w:pStyle w:val="ListParagraph"/>
        <w:numPr>
          <w:ilvl w:val="0"/>
          <w:numId w:val="28"/>
        </w:numPr>
      </w:pPr>
      <w:r>
        <w:t>Okresem ważności karty Piro jest okres ważności rejestracji jako przetwórca fajerwerków, chyba że pozwolenie środowiskowe, o którym mowa w art. 1.1.2a ust. 1 lit. a) lub pozwolenie na stosowanie ma krótszy okres ważności.</w:t>
      </w:r>
    </w:p>
    <w:p w14:paraId="0DE9BD15" w14:textId="7E5A88AF" w:rsidR="00C03B50" w:rsidRDefault="00866364" w:rsidP="008709B6">
      <w:pPr>
        <w:pStyle w:val="ListParagraph"/>
        <w:numPr>
          <w:ilvl w:val="0"/>
          <w:numId w:val="28"/>
        </w:numPr>
      </w:pPr>
      <w:r>
        <w:t xml:space="preserve">Minister wycofuje kartę Piro, jeżeli osoba, której wydano kartę: </w:t>
      </w:r>
    </w:p>
    <w:p w14:paraId="2ED244AD" w14:textId="215639E0" w:rsidR="00C03B50" w:rsidRDefault="00C03B50" w:rsidP="006D6DD1">
      <w:pPr>
        <w:pStyle w:val="ListParagraph"/>
        <w:numPr>
          <w:ilvl w:val="1"/>
          <w:numId w:val="28"/>
        </w:numPr>
      </w:pPr>
      <w:r>
        <w:t xml:space="preserve">nie spełnia już wymogów dotyczących osoby posiadającej specjalistyczną wiedzę, o których mowa w art. 1.1.2a lub nie jest już wyznaczana przez osobę dysponującą specjalistyczną wiedzą do obsługi lub używania fajerwerków w imieniu tej osoby; </w:t>
      </w:r>
    </w:p>
    <w:p w14:paraId="26A5E645" w14:textId="7F810F0C" w:rsidR="00C03B50" w:rsidRDefault="00C03B50" w:rsidP="006D6DD1">
      <w:pPr>
        <w:pStyle w:val="ListParagraph"/>
        <w:numPr>
          <w:ilvl w:val="1"/>
          <w:numId w:val="28"/>
        </w:numPr>
      </w:pPr>
      <w:r>
        <w:t>niewłaściwie użyła kartę Piro.</w:t>
      </w:r>
    </w:p>
    <w:p w14:paraId="7A9A9F1A" w14:textId="622A6EF4" w:rsidR="00C03B50" w:rsidRDefault="00C03B50" w:rsidP="00C03B50">
      <w:pPr>
        <w:pStyle w:val="ListParagraph"/>
        <w:numPr>
          <w:ilvl w:val="0"/>
          <w:numId w:val="28"/>
        </w:numPr>
      </w:pPr>
      <w:r>
        <w:t>Niewłaściwe użycie, o którym mowa w ust. 6 lit. b), obejmuje:</w:t>
      </w:r>
    </w:p>
    <w:p w14:paraId="09E47B8D" w14:textId="1241E2ED" w:rsidR="00C03B50" w:rsidRDefault="00C03B50" w:rsidP="00C03B50">
      <w:pPr>
        <w:pStyle w:val="ListParagraph"/>
        <w:numPr>
          <w:ilvl w:val="1"/>
          <w:numId w:val="28"/>
        </w:numPr>
      </w:pPr>
      <w:r>
        <w:t>udostępnianie na rynku fajerwerków kategorii F3 i F4, wyrobów pirotechnicznych teatralnych kategorii T2 i innych artykułów pirotechnicznych kategorii P2 osobie innej niż osoba posiadająca specjalistyczną wiedzę;</w:t>
      </w:r>
    </w:p>
    <w:p w14:paraId="51CEFB2A" w14:textId="12860C5F" w:rsidR="00C03B50" w:rsidRDefault="00C03B50" w:rsidP="00450E58">
      <w:pPr>
        <w:pStyle w:val="ListParagraph"/>
        <w:numPr>
          <w:ilvl w:val="1"/>
          <w:numId w:val="28"/>
        </w:numPr>
      </w:pPr>
      <w:r>
        <w:t>przechowywanie w nieuprawnionym miejscu.</w:t>
      </w:r>
    </w:p>
    <w:p w14:paraId="3B9564DD" w14:textId="17356908" w:rsidR="00C41727" w:rsidRPr="00C41727" w:rsidRDefault="00C41727" w:rsidP="009A55B4">
      <w:pPr>
        <w:pStyle w:val="ListParagraph"/>
        <w:numPr>
          <w:ilvl w:val="0"/>
          <w:numId w:val="28"/>
        </w:numPr>
      </w:pPr>
      <w:r>
        <w:t>Nasz Minister wskaże w rejestrze, czy karta Piro została cofnięta lub wygasła.</w:t>
      </w:r>
    </w:p>
    <w:p w14:paraId="7E2D75FF" w14:textId="77777777" w:rsidR="00BA12A9" w:rsidRPr="00C41727" w:rsidRDefault="00BA12A9" w:rsidP="000D187A"/>
    <w:p w14:paraId="7D32A34D" w14:textId="71E8F1B3" w:rsidR="00F90681" w:rsidRPr="009A55B4" w:rsidRDefault="00F90681" w:rsidP="000D187A">
      <w:pPr>
        <w:rPr>
          <w:b/>
          <w:bCs/>
        </w:rPr>
      </w:pPr>
      <w:r>
        <w:rPr>
          <w:b/>
        </w:rPr>
        <w:t>Artykuł 4.3</w:t>
      </w:r>
    </w:p>
    <w:p w14:paraId="108D4D5A" w14:textId="5BC28F8A" w:rsidR="00F90681" w:rsidRPr="009A55B4" w:rsidRDefault="00F90681" w:rsidP="000D187A">
      <w:r>
        <w:t>Do rejestru karty Piro wprowadza się następujące dane i dokumenty:</w:t>
      </w:r>
    </w:p>
    <w:p w14:paraId="5209896F" w14:textId="08B555D1" w:rsidR="00A42410" w:rsidRPr="009A55B4" w:rsidRDefault="0096601D" w:rsidP="00A42410">
      <w:pPr>
        <w:pStyle w:val="ListParagraph"/>
        <w:numPr>
          <w:ilvl w:val="0"/>
          <w:numId w:val="51"/>
        </w:numPr>
      </w:pPr>
      <w:r>
        <w:t>kopia karty Piro;</w:t>
      </w:r>
    </w:p>
    <w:p w14:paraId="6DDD51EE" w14:textId="6EAB093F" w:rsidR="00972741" w:rsidRPr="009A55B4" w:rsidRDefault="0083099A" w:rsidP="00A42410">
      <w:pPr>
        <w:pStyle w:val="ListParagraph"/>
        <w:numPr>
          <w:ilvl w:val="0"/>
          <w:numId w:val="51"/>
        </w:numPr>
      </w:pPr>
      <w:r>
        <w:t>dowód, że wnioskodawca został wyznaczony jako osoba posiadająca specjalistyczną wiedzę w zakresie wyrobów pirotechnicznych kategorii P2; lub</w:t>
      </w:r>
    </w:p>
    <w:p w14:paraId="08498957" w14:textId="23B692FD" w:rsidR="00A42410" w:rsidRPr="009A55B4" w:rsidRDefault="0083099A" w:rsidP="00A42410">
      <w:pPr>
        <w:pStyle w:val="ListParagraph"/>
        <w:numPr>
          <w:ilvl w:val="0"/>
          <w:numId w:val="51"/>
        </w:numPr>
      </w:pPr>
      <w:r>
        <w:t>dowód rejestracji wnioskodawcy jako operatora lub użytkownika fajerwerków; oraz</w:t>
      </w:r>
    </w:p>
    <w:p w14:paraId="7052A3C4" w14:textId="43D7FCA7" w:rsidR="00972741" w:rsidRPr="009A55B4" w:rsidRDefault="0083099A" w:rsidP="00972741">
      <w:pPr>
        <w:pStyle w:val="ListParagraph"/>
        <w:numPr>
          <w:ilvl w:val="0"/>
          <w:numId w:val="51"/>
        </w:numPr>
      </w:pPr>
      <w:r>
        <w:t>w stosownych przypadkach kopię pozwolenia na stosowanie lub pozwolenia środowiskowego, o których mowa w art. 1.1.2a ust. 1 lit.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Artykuł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Minister zapewnia, aby dane i dokumenty wprowadzone do rejestru kart Piro były niezwłocznie udostępniane organom, dla których dane i dokumenty są dostępne zgodnie z art. 4.5 ust. 1 i 2.e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Artykuł 4.5 </w:t>
      </w:r>
    </w:p>
    <w:p w14:paraId="0C7D3561" w14:textId="63C5A020" w:rsidR="00A83423" w:rsidRDefault="008A135A" w:rsidP="00B35E9F">
      <w:pPr>
        <w:pStyle w:val="ListParagraph"/>
        <w:numPr>
          <w:ilvl w:val="0"/>
          <w:numId w:val="31"/>
        </w:numPr>
      </w:pPr>
      <w:r>
        <w:t>Dane i dokumenty zawarte w rejestrze kart Piro są dostępne dla właściwych organów w Belgii, Luksemburgu i Niderlandach odpowiedzialnych za monitorowanie zgodności z przepisami mającymi zastosowanie do wyrobów pirotechnicznych oraz za egzekwowanie tych przepisów.</w:t>
      </w:r>
    </w:p>
    <w:p w14:paraId="4CD86864" w14:textId="2603B817" w:rsidR="00A83423" w:rsidRDefault="008A135A" w:rsidP="0024295E">
      <w:pPr>
        <w:pStyle w:val="ListParagraph"/>
        <w:numPr>
          <w:ilvl w:val="0"/>
          <w:numId w:val="31"/>
        </w:numPr>
      </w:pPr>
      <w:r>
        <w:t>Dane szczegółowe i dokumenty wpisane do rejestru kart Piro są dostępne dla podmiotów gospodarczych, o których mowa w art. 4.1 ust. 1 w celu weryfikacji ważności dokumentów kontroli i karty Piro.</w:t>
      </w:r>
    </w:p>
    <w:p w14:paraId="13A7FA7F" w14:textId="1E079461" w:rsidR="00A83423" w:rsidRDefault="008A135A" w:rsidP="00A83423">
      <w:pPr>
        <w:pStyle w:val="ListParagraph"/>
        <w:numPr>
          <w:ilvl w:val="0"/>
          <w:numId w:val="31"/>
        </w:numPr>
      </w:pPr>
      <w:r>
        <w:t xml:space="preserve">W celu uzyskania dostępu do rejestru kart Piro stosuje się system eRecognition lub wszelkie inne elektroniczne środki uwierzytelniania wyznaczone przez zarządzającego rejestrem. </w:t>
      </w:r>
    </w:p>
    <w:p w14:paraId="5548DEA6" w14:textId="77777777" w:rsidR="00B8205D" w:rsidRDefault="008A135A" w:rsidP="00A83423">
      <w:pPr>
        <w:pStyle w:val="ListParagraph"/>
        <w:numPr>
          <w:ilvl w:val="0"/>
          <w:numId w:val="31"/>
        </w:numPr>
      </w:pPr>
      <w:r>
        <w:t xml:space="preserve">Dostęp do rejestru kart Piro jest ograniczony do pracowników organów, o których mowa w ust. 1 i 2, którzy są bezpośrednio zaangażowani w wykonywanie zadań prawnych danego organu lub prac wykonywanych przez dane przedsiębiorstwo w zakresie sprzedaży wyrobów pirotechnicznych i upoważnionych przez organ lub przedsiębiorstwo. </w:t>
      </w:r>
    </w:p>
    <w:p w14:paraId="4CDEBD4E" w14:textId="4DBA1CD8" w:rsidR="00B8205D" w:rsidRDefault="00C72CE5" w:rsidP="00A83423">
      <w:pPr>
        <w:pStyle w:val="ListParagraph"/>
        <w:numPr>
          <w:ilvl w:val="0"/>
          <w:numId w:val="31"/>
        </w:numPr>
      </w:pPr>
      <w:r>
        <w:t>Szczegółowe zasady ustanowione zarządzeniem ministerialnym mają zastosowanie w odniesieniu do wprowadzania i przeglądania danych i zapisów w rejestrze kart Piro przez osoby, które mają dostęp do tego systemu, w tym wymagany poziom wiarygodności w systemie eRecognition.</w:t>
      </w:r>
      <w:r>
        <w:rPr>
          <w:b/>
        </w:rPr>
        <w:t xml:space="preserve"> </w:t>
      </w:r>
      <w:r>
        <w:rPr>
          <w:b/>
        </w:rPr>
        <w:br/>
      </w:r>
    </w:p>
    <w:p w14:paraId="3627E4CF" w14:textId="641AF07A" w:rsidR="00164C4F" w:rsidRDefault="008A135A" w:rsidP="00B8205D">
      <w:r>
        <w:rPr>
          <w:b/>
        </w:rPr>
        <w:t>Artykuł 4.6</w:t>
      </w:r>
      <w:r>
        <w:rPr>
          <w:b/>
        </w:rPr>
        <w:br/>
      </w:r>
      <w:r>
        <w:t xml:space="preserve">Dane i dokumenty wprowadzone do rejestru kart Piro są przechowywane przez 12 lat. </w:t>
      </w:r>
    </w:p>
    <w:p w14:paraId="1C231879" w14:textId="77777777" w:rsidR="007F6D5D" w:rsidRDefault="007F6D5D" w:rsidP="0022132D"/>
    <w:p w14:paraId="55F68ADA" w14:textId="46A2A4D2" w:rsidR="00510B4B" w:rsidRDefault="008A135A" w:rsidP="0022132D">
      <w:pPr>
        <w:rPr>
          <w:b/>
          <w:bCs/>
        </w:rPr>
      </w:pPr>
      <w:r>
        <w:br/>
      </w:r>
      <w:r>
        <w:rPr>
          <w:b/>
        </w:rPr>
        <w:t>Artykuł II Przepis przejściowy</w:t>
      </w:r>
    </w:p>
    <w:p w14:paraId="144AE3D4" w14:textId="1812F051" w:rsidR="001A647B" w:rsidRDefault="001A647B" w:rsidP="0022132D">
      <w:pPr>
        <w:rPr>
          <w:b/>
          <w:bCs/>
        </w:rPr>
      </w:pPr>
    </w:p>
    <w:p w14:paraId="299A2506" w14:textId="30EE6ECC" w:rsidR="001A647B" w:rsidRDefault="001A647B" w:rsidP="0022132D">
      <w:r>
        <w:t>Bez uszczerbku dla przepisów art. 3B.1 ust. 6, pozwolenia na użytkowane już wydane w chwili wejścia w życie niniejszego rozporządzenia tracą ważność z dniem 1 stycznia 2025 r.</w:t>
      </w:r>
    </w:p>
    <w:p w14:paraId="461D4DA5" w14:textId="6D387BFE" w:rsidR="001A647B" w:rsidRDefault="001A647B" w:rsidP="0022132D"/>
    <w:p w14:paraId="01073440" w14:textId="72BC960E" w:rsidR="00510B4B" w:rsidRDefault="001A647B" w:rsidP="0022132D">
      <w:pPr>
        <w:rPr>
          <w:b/>
          <w:bCs/>
        </w:rPr>
      </w:pPr>
      <w:r>
        <w:rPr>
          <w:b/>
        </w:rPr>
        <w:t>Artykuł III</w:t>
      </w:r>
    </w:p>
    <w:p w14:paraId="4126569C" w14:textId="77777777" w:rsidR="001A647B" w:rsidRDefault="001A647B" w:rsidP="0022132D">
      <w:pPr>
        <w:rPr>
          <w:b/>
          <w:bCs/>
        </w:rPr>
      </w:pPr>
    </w:p>
    <w:p w14:paraId="2CA2AEBF" w14:textId="785F24DD" w:rsidR="00510B4B" w:rsidRPr="00510B4B" w:rsidRDefault="00510B4B" w:rsidP="0022132D">
      <w:r>
        <w:t xml:space="preserve">Niniejsze rozporządzenie wchodzi w życie w terminie określonym w dekrecie królewskim, który może być różny w odniesieniu do poszczególnych artykułów lub ich części. </w:t>
      </w:r>
    </w:p>
    <w:p w14:paraId="550DE960" w14:textId="77777777" w:rsidR="00812A71" w:rsidRDefault="00DE2DBE">
      <w:r>
        <w:t> </w:t>
      </w:r>
    </w:p>
    <w:p w14:paraId="11BEDBA6" w14:textId="77777777" w:rsidR="00812A71" w:rsidRDefault="00DE2DBE">
      <w:r>
        <w:t>Niniejszym nakazuję, aby niniejsze rozporządzenie wraz z towarzyszącymi mu uwagami wyjaśniającymi zostało opublikowane w Dzienniku Urzędowym.</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SEKRETARZ STANU DS. INFRASTRUKTURY I GOSPODARKI WODNEJ,</w:t>
      </w:r>
    </w:p>
    <w:p w14:paraId="0FB4110D" w14:textId="77777777" w:rsidR="00812A71" w:rsidRPr="00AE0502" w:rsidRDefault="00DE2DBE">
      <w:pPr>
        <w:rPr>
          <w:sz w:val="16"/>
          <w:szCs w:val="16"/>
        </w:rPr>
      </w:pPr>
      <w:r>
        <w:t> </w:t>
      </w:r>
    </w:p>
    <w:p w14:paraId="272976D2" w14:textId="381A11DA" w:rsidR="00865EEC" w:rsidRDefault="00DE2DBE" w:rsidP="00AE0502">
      <w:r>
        <w:rPr>
          <w:sz w:val="16"/>
        </w:rPr>
        <w:t>  </w:t>
      </w:r>
      <w:r>
        <w:br w:type="page"/>
      </w:r>
    </w:p>
    <w:bookmarkEnd w:id="0"/>
    <w:p w14:paraId="11542E4E" w14:textId="2FAD49F7" w:rsidR="00812A71" w:rsidRDefault="00865EEC">
      <w:pPr>
        <w:rPr>
          <w:b/>
          <w:bCs/>
        </w:rPr>
      </w:pPr>
      <w:r>
        <w:rPr>
          <w:b/>
        </w:rPr>
        <w:lastRenderedPageBreak/>
        <w:t>NOTY WYJAŚNIAJĄCE</w:t>
      </w:r>
    </w:p>
    <w:p w14:paraId="25FB4EDE" w14:textId="350D65BA" w:rsidR="00865EEC" w:rsidRDefault="00865EEC">
      <w:pPr>
        <w:rPr>
          <w:b/>
          <w:bCs/>
        </w:rPr>
      </w:pPr>
    </w:p>
    <w:p w14:paraId="5E046A8F" w14:textId="37E54663" w:rsidR="00865EEC" w:rsidRDefault="00865EEC">
      <w:pPr>
        <w:rPr>
          <w:b/>
          <w:bCs/>
        </w:rPr>
      </w:pPr>
      <w:r>
        <w:rPr>
          <w:b/>
        </w:rPr>
        <w:t>Informacje ogólne</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Wprowadzenie</w:t>
      </w:r>
    </w:p>
    <w:p w14:paraId="2B349D7E" w14:textId="77777777" w:rsidR="00E021AD" w:rsidRDefault="00E021AD" w:rsidP="002701E5"/>
    <w:p w14:paraId="297BEA88" w14:textId="7A565559" w:rsidR="00E021AD" w:rsidRDefault="0022132D">
      <w:r>
        <w:t>Celem niniejszego rozporządzenia jest wykonanie decyzji Beneluksu</w:t>
      </w:r>
      <w:r w:rsidR="002701E5" w:rsidRPr="00183C54">
        <w:rPr>
          <w:rStyle w:val="FootnoteReference"/>
        </w:rPr>
        <w:footnoteReference w:id="2"/>
      </w:r>
      <w:r>
        <w:t xml:space="preserve"> w dziedzinie fajerwerków w rozporządzeniu w sprawie fajerwerków. Rozporządzenie to dodatkowo ustanawia rejestr kart Piro, jak zapowiedziano w uzasadnieniu do projektu ustawy zmieniającej niektóre ustawy Ministerstwa Infrastruktury i Gospodarki Wodnej (ustawa zbiorowa IenW z 2021 r.).</w:t>
      </w:r>
      <w:r>
        <w:rPr>
          <w:rStyle w:val="FootnoteReference"/>
        </w:rPr>
        <w:footnoteReference w:id="3"/>
      </w:r>
      <w:r>
        <w:t xml:space="preserve"> Ustanowienie rejestru kart Piro uregulowane jest w art. 9.5.8 ustawy o gospodarce środowiskowej (zwanej dalej: Wm). Jego rozwinięciem jest niniejsze rozporządzenie. Szczegóły techniczne rejestru i procesu składania wniosków są opracowywane w drodze zarządzenia ministerialnego. Podstawą do wydania tego rozporządzenia jest tekst rozporządzenia w sprawie fajerwerków w brzmieniu po wejściu w życie ustawy o ochronie środowiska oraz nowelizacja rozporządzenia w sprawie fajerwerków, która wejdzie w życie jednocześnie z ustawą o ochronie środowiska (Stb.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Przepisy wykonawcze</w:t>
      </w:r>
    </w:p>
    <w:p w14:paraId="5F25AEAD" w14:textId="77777777" w:rsidR="000734E3" w:rsidRPr="000734E3" w:rsidRDefault="000734E3" w:rsidP="000734E3">
      <w:pPr>
        <w:pStyle w:val="ListParagraph"/>
        <w:rPr>
          <w:b/>
          <w:bCs/>
        </w:rPr>
      </w:pPr>
    </w:p>
    <w:p w14:paraId="3E0499A7" w14:textId="5D131EB0" w:rsidR="007F40A5" w:rsidRDefault="007F40A5" w:rsidP="00E021AD">
      <w:r>
        <w:t>Na podstawie dyrektywy 2013/29/UE</w:t>
      </w:r>
      <w:r>
        <w:rPr>
          <w:rStyle w:val="FootnoteReference"/>
        </w:rPr>
        <w:footnoteReference w:id="4"/>
      </w:r>
      <w:r>
        <w:t xml:space="preserve"> (dalej: dyrektywa Piro), niektóre wyroby pirotechniczne mogą być udostępniane na rynku wyłącznie osobom posiadającym specjalistyczną wiedzę. W dniu 7 grudnia 2020 r. podpisano decyzję Beneluksu o wprowadzeniu jednolitego dokumentu kontroli, aby osoba chcąca nabyć dane wyroby pirotechniczne mogła udowodnić, w kontekście transgranicznym, że posiada wymaganą w tym celu specjalistyczną wiedzę. Wprowadzenie karty Piro, jednolitego dokumentu kontroli w krajach Beneluksu, może ułatwić sprzedawcy takich wyrobów pirotechnicznych w kraju Beneluksu weryfikację dokumentu pod kątem autentyczności i ważności. Eliminuje to przeszkodę w prawidłowym funkcjonowaniu rynku wewnętrznego. Ponadto instrument ten może znacząco przyczynić się do zwalczania nielegalnego handlu oraz zapobiegania obrażeniom i szkodom materialnym. Kraje Beneluksu chcą przejąć wiodącą rolę w UE w celu ustanowienia porozumienia, które ostatecznie będzie miało zastosowanie do osób upoważnionych jako osoby posiadające specjalistyczną wiedzę w innych państwach członkowskich UE. </w:t>
      </w:r>
    </w:p>
    <w:p w14:paraId="39FD9BF4" w14:textId="5154AA32" w:rsidR="00FA2E81" w:rsidRDefault="00FA2E81" w:rsidP="00E021AD"/>
    <w:p w14:paraId="0EC72B35" w14:textId="77BA0E63" w:rsidR="00FA2E81" w:rsidRDefault="00C22BC4" w:rsidP="00E021AD">
      <w:r>
        <w:t>Decyzja Beneluksu ma ograniczony zakres i przedmiot. Celem decyzji Beneluksu nie jest harmonizacja merytorycznych wymogów, które kraje Beneluksu mogą lub nie mogą nałożyć w celu upoważnienia osoby jako osoby posiadającej specjalistyczną wiedzę.</w:t>
      </w:r>
      <w:r w:rsidR="00FA2E81">
        <w:rPr>
          <w:rStyle w:val="FootnoteReference"/>
        </w:rPr>
        <w:footnoteReference w:id="5"/>
      </w:r>
      <w:r>
        <w:t xml:space="preserve"> Decyzja Beneluksu nie zmienia również obecnie obowiązujących – europejskich lub niderlandzkich – zakazów publicznego udostępniania niektórych wyrobów pirotechnicznych. Decyzja Beneluksu nie zawiera również przepisów dotyczących obchodzenia się z wyrobami pirotechnicznymi lub ich stosowania po ich zakupie.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Zasady propozycji</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Niewłaściwe stosowanie wyrobów pirotechnicznych przez osoby do tego nieupoważnione stanowi utrzymujący się problem, który co roku powoduje wiele obrażeń i szkód. Niektóre rodzaje cięższych wyrobów pirotechnicznych mogą być udostępniane na rynku wyłącznie osobom posiadającym specjalistyczną wiedzę. Chociaż osoba, która chce kupić takie produkty w kontekście transgranicznym, może przedstawić dokument pochodzący z innego kraju w celu udowodnienia tego faktu, sprzedawca nie jest w stanie odpowiednio ocenić autentyczności i ważności tego dokumentu. Wprowadzenie karty Piro jako jednolitego dokumentu kontroli może temu zaradzić w odniesieniu do osób upoważnionych jako osoby posiadające specjalistyczną wiedzę w innym kraju Beneluksu. Dzięki temu możliwe jest uwidocznienie legalnych przepływów handlowych, dzięki czemu można skuteczniej ograniczyć nielegalną sprzedaż profesjonalnych fajerwerków. Ponadto przyczyni się to do prawidłowego funkcjonowania rynku wewnętrznego osób profesjonalnie odpalających fajerwerki, które chcą świadczyć swoje usługi w innym kraju.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Niniejsza zmiana rozporządzenia w sprawie fajerwerków określa przypadki, w których weryfikacja wymaganych dokumentów kontroli powinna być przeprowadzana na podstawie karty Piro, obowiązku jej weryfikacji oraz podstaw wycofania. Ponadto doprecyzowano również dostępność rejestru kart Piro.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Niniejsza propozycja zobowiązuje podmioty (producentów, importerów i dystrybutorów) udostępniających na rynku profesjonalne fajerwerki, wyroby pirotechniczne do użytku teatralnego oraz wyroby pirotechniczne kategorii P2 do sprawdzenia, czy osoba ta jest uprawniona do zakupu tych wyrobów pirotechnicznych. W przypadku osób wyznaczonych na mocy prawa krajów Beneluksu jako osoba posiadająca specjalistyczną wiedzę lub osoba odpowiedzialna, weryfikacja ta jest przeprowadzana na podstawie karty Piro. Operator jest następnie w stanie zweryfikować ważność karty Piro w systemie wyposażonym do tego celu. Ponadto podmiot gospodarczy jest zobowiązany do przechowywania w ewidencji kopii karty Piro i faktury. Karta Piro może zostać cofnięta, jeżeli wyznaczenie osoby posiadającej specjalistyczną wiedzę lub osobę odpowiedzialną nie jest już ważne lub w przypadku niewłaściwego użycia.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Ponadto korzysta się z możliwości dołączenia okresu ważności do pozwolenia na stosowanie oraz skorygowania niektórych drobnych przeoczeń. Kwestia ta zostanie omówiona bardziej szczegółowo w uwagach do poszczególnych artykułów.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Związek z prawem wyższym</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Prawo europejskie</w:t>
      </w:r>
    </w:p>
    <w:p w14:paraId="15B82FB7" w14:textId="459F957D" w:rsidR="00AC6B62" w:rsidRDefault="00CF7C1C" w:rsidP="00AC6B62">
      <w:pPr>
        <w:spacing w:line="240" w:lineRule="auto"/>
      </w:pPr>
      <w:r>
        <w:t xml:space="preserve">Wyroby pirotechniczne są w dużej mierze regulowane dyrektywą Piro. Artykuł 5 dyrektywy stanowi, że państwa członkowskie podejmują niezbędne środki w celu zapewnienia, że wyroby pirotechniczne są udostępniane na rynku tylko wtedy, gdy spełniają wymogi niniejszej dyrektywy. Artykuł 6 dyrektywy definiuje fajerwerki kategorii F4, wyroby pirotechniczne do użytku teatralnego kategorii T2 i inne wyroby pirotechniczne kategorii P2 jako przeznaczone wyłącznie do użytku przez osoby posiadające specjalistyczną wiedzę i stanowi, że państwa członkowskie informują Komisję Europejską o procedurach, w ramach których identyfikują i zezwalają osobom posiadającym wiedzę specjalistyczną. Artykuł 7 ust. 3 dyrektywy Piro stanowi, że wyżej wymienione wyroby mogą być udostępniane na rynku wyłącznie przez producentów, importerów lub dystrybutorów osobom posiadającym specjalistyczną wiedzę. Zgodnie z art. 4 ust. 2 dyrektywy Piro państwo członkowskie może podjąć środki w celu zakazania lub ograniczenia niektórych wyrobów pirotechnicznych. Tak więc w Niderlandach na przykład udostępnianie na rynku wyrobów pirotechnicznych kategorii T1, fajerwerków kategorii F3 i niektórych artykułów kategorii F2 osobom nieposiadającym specjalistycznej wiedzy jest całkowicie zakazane. </w:t>
      </w:r>
    </w:p>
    <w:p w14:paraId="10FDAB75" w14:textId="6EA752F6" w:rsidR="00776C70" w:rsidRDefault="00776C70" w:rsidP="00AC6B62">
      <w:pPr>
        <w:spacing w:line="240" w:lineRule="auto"/>
      </w:pPr>
    </w:p>
    <w:p w14:paraId="24268EB2" w14:textId="6DFD3872" w:rsidR="00776C70" w:rsidRDefault="00776C70" w:rsidP="009E53A9">
      <w:pPr>
        <w:keepNext/>
        <w:keepLines/>
        <w:spacing w:line="240" w:lineRule="auto"/>
        <w:rPr>
          <w:u w:val="single"/>
        </w:rPr>
      </w:pPr>
      <w:r>
        <w:rPr>
          <w:u w:val="single"/>
        </w:rPr>
        <w:lastRenderedPageBreak/>
        <w:t>Beneluks</w:t>
      </w:r>
    </w:p>
    <w:p w14:paraId="266B5C3C" w14:textId="71C2CD25" w:rsidR="00776C70" w:rsidRPr="00776C70" w:rsidRDefault="00776C70" w:rsidP="009E53A9">
      <w:pPr>
        <w:keepNext/>
        <w:keepLines/>
        <w:spacing w:line="240" w:lineRule="auto"/>
      </w:pPr>
      <w:r>
        <w:t xml:space="preserve">Podstawą prawną decyzji Beneluksu jest art. 6 ust. 2 lit. a) Traktatu powołującego Unię Ekonomiczną Beneluksu oraz art. 1 lit. b) Protokołu z dnia 29 kwietnia 1969 r. w sprawie zniesienia kontroli i formalności na granicach wewnętrznych Beneluksu oraz usunięcia przeszkód w swobodnym przepływie. Na podstawie tych postanowień Komitet Ministrów może podejmować decyzje w celu koordynacji ustawodawstw trzech krajów Beneluksu w celu usunięcia pewnych przeszkód. Decyzja Beneluksu koncentruje się przede wszystkim na prawidłowym funkcjonowaniu rynku wewnętrznego wyrobów pirotechnicznych. Dzięki temu sprzedaż artykułów pirotechnicznych jest łatwiejsza dla osób posiadających niezbędną wiedzę specjalistyczną. Ponadto decyzja Beneluksu przyczynia się również do zwalczania nielegalnego handlu oraz zapobiegania obrażeniom i szkodom materialnym, w których Unia Beneluksu pragnie odgrywać wiodącą rolę. </w:t>
      </w:r>
    </w:p>
    <w:p w14:paraId="3C5992BB" w14:textId="77777777" w:rsidR="00975E08" w:rsidRDefault="00975E08" w:rsidP="009E53A9">
      <w:pPr>
        <w:keepNext/>
        <w:keepLines/>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Związek z przepisami krajowymi</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Artykuły pirotechniczne są regulowane przede wszystkim w prawie niderlandzkim rozporządzeniem w sprawie fajerwerków. Artykuł 9.2.2.1 ust. 1 i 2 Wm stanowi podstawę rozporządzenia w sprawie fajerwerków. Jednakże do celów wdrożenia rejestru kart Piro wymagana jest konkretna podstawa przetwarzania danych osobowych, która została w tym celu zrealizowana w art. 9.5.8 Wm. Niniejsze rozporządzenie opiera się zatem na art. 9.2.2.1 ust. 1 i 2 oraz art. 9.5.8 ust. 3 i 4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Art. 1.1.2a ust. 1 rozporządzenia w sprawie fajerwerków wyznacza osoby posiadające specjalistyczną wiedzę. Zgodnie z art. 1.1.2a ust. 2 osoba posiadająca specjalistyczną wiedzę jest również wyznaczona w odniesieniu do fajerwerków i wyrobów pirotechnicznych przeznaczonych do użytku teatralnego w innym państwie członkowskim Unii Europejskiej.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W praktyce największą grupę osób posiadających specjalistyczną wiedzę stanowią posiadacze pozwolenia na użytkowanie (art. 1.1.2a ust. 1 lit. b)). Jednakże w świetle art. 3B.1 ust. 6 posiadacz pozwolenia na użytkowanie może być zarówno osobą prawną, jak i osobą fizyczną, podczas gdy karta Piro może być przyznana wyłącznie osobie fizycznej na mocy decyzji Beneluksu. Decyzja Beneluksu wprowadza jednak pojęcie „osoby odpowiedzialnej”. Jest to osoba wyznaczona przez osobę prawną uprawnioną do przechowywania lub udostępniania na rynku wyrobów pirotechnicznych do obsługi lub używania wyrobów pirotechnicznych w imieniu tej osoby prawnej.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Osoba, która faktycznie odpala fajerwerki zazwyczaj nie jest tą samą osobą (prawną lub inną), co posiadacz pozwolenia na stosowanie. Odpalanie profesjonalnych fajerwerków wymaga szkolenia i rejestracji na podstawie przepisów rozporządzenia w sprawie warunków pracy. W celu uzyskania pozwolenia na stosowanie wnioskodawcy muszą między innymi przedłożyć kopię ważnego wpisu do rejestru operatorów fajerwerków, o którym mowa w art. 4.9 ust. 1 rozporządzenia w sprawie warunków pracy, wydanego osobie, przez którą dokonywane są czynności objęte wnioskiem i dotyczące tych czynności. Ponadto istnieją również przetwórcy fajerwerków (art. 4.9 ust. 2 rozporządzenia w sprawie warunków pracy), którzy wykonują prace polegające na sprzedaży, przetwarzaniu lub udostępnianiu konsumenckich fajerwerków, profesjonalnych fajerwerków lub artykułów pirotechnicznych do użytku teatralnego. Osoby te są określane jako „osoba odpowiedzialna”.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Na podstawie rozporządzenia w sprawie warunków pracy i doprecyzowanego w rozporządzeniu w sprawie warunków pracy uregulowano, kto ma dostęp do rejestru przetwórców fajerwerków i operatorów fajerwerków. Zgodnie z art. 1.5o lit. c) rozporządzenia w sprawie warunków pracy, rejestry mogą być przeglądane przez inne osoby bezpośrednio zainteresowane (oprócz m.in. klienta lub upoważnionego przedstawiciela klienta) w odniesieniu do rejestracji lub zawieszenia danej osoby. W uzasadnieniu tej decyzji wskazano, że może to obejmować na przykład organy publiczne podejmujące decyzje na podstawie rozporządzenia w sprawie fajerwerków. Ma to </w:t>
      </w:r>
      <w:r>
        <w:lastRenderedPageBreak/>
        <w:t xml:space="preserve">znaczenie dla sprawdzenia, czy rejestracja pracownika fajerwerków lub fajerwerków jest ważna w kontekście karty Piro.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Wzór karty Piro i bardziej techniczne szczegóły przewidziane w podstawie prawnej zostaną opracowane w rozporządzeniu ministerialnym.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Konsekwencje (z wyłączeniem konsekwencji finansowych)</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Wpływ na obciążenia regulacyjne</w:t>
      </w:r>
    </w:p>
    <w:p w14:paraId="6914D7FF" w14:textId="28F21F0E" w:rsidR="00936355" w:rsidRDefault="00C43025" w:rsidP="00AE0502">
      <w:pPr>
        <w:keepNext/>
        <w:keepLines/>
        <w:spacing w:line="240" w:lineRule="auto"/>
      </w:pPr>
      <w:r>
        <w:t xml:space="preserve">Niniejsza poprawka do rozporządzenia w sprawie fajerwerków ma wpływ na obciążenia regulacyjne dla różnych podmiotów w sektorze fajerwerków. Dotyczy to operatorów i osób zobowiązanych do ubiegania się o kartę Piro. </w:t>
      </w:r>
      <w:r>
        <w:rPr>
          <w:color w:val="auto"/>
          <w:shd w:val="clear" w:color="auto" w:fill="FFFFFF"/>
        </w:rPr>
        <w:t>Przy obliczaniu obciążenia administracyjnego przewiduje się krajową metodologię dotyczącą skutków presji regulacyjnej, która zakłada 50 EUR za godzinę kosztów.</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Podmioty będą wkrótce zobowiązane do żądania wydania karty Piro przy sprzedaży niektórych wyrobów pirotechnicznych, sprawdzania jego ważności w rejestrze kart Piro oraz przechowywania dowodu jej posiadania wraz z ewidencją. Obecnie podmioty te są również zobowiązane do sprawdzenia, czy osoba, która kupuje wyroby pirotechniczne posiada specjalistyczną wiedzę. W rezultacie skutki wprowadzenia karty Piro na te podmioty będzie niewielki, a wręcz ułatwi kontrolę. Podmioty muszą jednak wziąć pod uwagę nowe obowiązki; w tym celu przydziela się około godziny na podmiot. Ponadto podmioty są zobowiązane do przechowywania informacji w swoich rejestrach, na którą to czynność dolicza się pięć minut na każdą operację na podmiot. W Niderlandach działa około 10 podmiotów. Oznacza to, że obciążenia regulacyjne związane z tymi zmianami są praktycznie zerowe dla tej grupy docelowej.</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W przypadku osób posiadających specjalistyczną wiedzę lub osób odpowiedzialnych zmiana rozporządzenia w sprawie fajerwerków oznacza, że muszą one być w stanie wykazać, na podstawie karty Piro, że są one upoważnione. Muszą ubiegać się o kartę Piro. Stanowi to dodatkową czynność dla tych podmiotów, chociaż nie nakłada się żadnych nowych wymogów szkoleniowych ani innych. W rezultacie konsekwencje dla tej grupy docelowej są jak najbardziej ograniczone. Przeznaczono dwie godziny na zapoznanie się z obowiązkiem i złożeniem wniosku o kartę Piro oraz zebranie niezbędnych danych. Obecnie trudno jest oszacować, ile osób ubiega się o kartę Piro. Oczekuje się, że będzie to od 50 do 150 osób. Oznacza to, że obciążenia regulacyjne wynikające z tych zmian dla tej grupy docelowej jako całości szacuje się na łączną kwotę od 5 000 EUR do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Rozporządzenie to obejmuje okres ważności pozwolenia na użytkowanie. Oznacza to, że wniosek o pozwolenie należy złożyć ponownie po upływie okresu ważności. Obecnie około 75 osób posiada pozwolenie na stosowanie. Wniosek o pozwolenie na stosowanie, w tym wymaganą deklarację postępowania (zwaną dalej: VOG), szacuje się na dwie godziny. Za złożenie wniosku o pozwolenie nie pobiera się żadnych opłat. Oznacza to, że w przypadku tej konkretnej grupy docelowej ogólne obciążenie regulacyjne szacuje się na około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Skuteczność i wydajność</w:t>
      </w:r>
    </w:p>
    <w:p w14:paraId="2BE5AB6D" w14:textId="0BC0329B" w:rsidR="008D009E" w:rsidRDefault="008D009E" w:rsidP="00C43025">
      <w:pPr>
        <w:spacing w:line="240" w:lineRule="auto"/>
      </w:pPr>
      <w:r>
        <w:t>Po wprowadzeniu systemu kart Piro tylko w krajach Beneluksu skuteczność i wydajność będą początkowo ograniczone. Wprowadzenie ma jednak również ważną funkcję testową, a jego wyniki są monitorowane przez UE. Celem Beneluksu jest wprowadzenie karty Piro w Unii Europejskiej.</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Konsekwencje dla prywatności</w:t>
      </w:r>
    </w:p>
    <w:p w14:paraId="57A10400" w14:textId="10864A2A" w:rsidR="00CA1DB1" w:rsidRDefault="00252E79" w:rsidP="00C43025">
      <w:pPr>
        <w:spacing w:line="240" w:lineRule="auto"/>
      </w:pPr>
      <w:r>
        <w:t xml:space="preserve">Niniejsze rozporządzenie prowadzi do przetwarzania danych osobowych. Podstawową podstawą jest projekt ustawy ustanawiającej rejestr kart Piro; w związku z tym sporządzono ocenę skutków dla ochrony danych i zwrócono się do niderlandzkiego organu ochrony danych o opinię. W tym względzie nie poczyniono żadnych uwag.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lastRenderedPageBreak/>
        <w:t xml:space="preserve">Dla niniejszej poprawki opracowano nową ocenę skutków dla ochrony danych. Administratorem jest Minister Infrastruktury i Gospodarki Wodnej (IenW). Do celów niniejszego rozporządzenia przewiduje się różne operacje przetwarzania danych, a mianowicie wniosek o wydanie kart Piro, jego ocenę i wydanie karty Piro. Ponadto niezbędne dane – zgodnie z wymogami decyzji Beneluksu – będą przechowywane w rejestrze kart Piro. Jeżeli podmiot prowadzi sprzedaż wyrobów pirotechnicznych kategorii F3, F4, T2 lub P2, sprzedawca taki jest zobowiązany dokonać weryfikacji karty Piro i dokumentu tożsamości oraz zapoznać się z rejestrem kart Piro. Ponadto podmiot ten musi przechowywać w swoich rejestrach określone dokumenty, o których mowa w art. 4.1 ust. 8. Dodatkowo dane osobowe będą przetwarzane, gdy na przykład organy odpowiedzialne za monitorowanie przestrzegania przepisów mających zastosowanie do wyrobów pirotechnicznych i egzekwowanie tych przepisów uzyskają dostęp do rejestru. Wymóg proporcjonalności i pomocniczości został uwzględniony zarówno w kontekście decyzji Beneluksu, jak i w ramach obecnego wdrażania. We wszystkich operacjach przetwarzania dane osobowe nie będą przetwarzane w zakresie wykraczającym poza to, co niezbędne, ani poza cel, w jakim zostały uzyskane (ograniczenie celu) </w:t>
      </w:r>
      <w:bookmarkStart w:id="4" w:name="_Hlk125126125"/>
      <w:r>
        <w:t>z wyjątkiem monitorowania zgodności z przepisami mającymi zastosowanie do wyrobów pirotechnicznych oraz egzekwowania tych przepisów przez właściwe organy.</w:t>
      </w:r>
      <w:bookmarkEnd w:id="4"/>
      <w:r>
        <w:t xml:space="preserve"> Ten ostatni cel ma znaczenie na przykład w przypadku, gdy Prokuratura (zwana dalej: OM) uzyska dostęp do rejestru.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Dane nie mogą być przechowywane dłużej niż jest to konieczne. Zapisy i dane wprowadzone do rejestru kart Piro będą przechowywane przez 12 lat. W tym celu dostosowuje się je do maksymalnego okresu przedawnienia przestępstw związanych z fajerwerkami.</w:t>
      </w:r>
    </w:p>
    <w:p w14:paraId="7D003D62" w14:textId="413391F3" w:rsidR="00CA1DB1" w:rsidRDefault="00447582" w:rsidP="00447582">
      <w:pPr>
        <w:spacing w:line="240" w:lineRule="auto"/>
        <w:rPr>
          <w:color w:val="auto"/>
        </w:rPr>
      </w:pPr>
      <w:r>
        <w:t xml:space="preserve">Podmioty przechowują kopię dokumentu kontroli w ewidencji wraz z odpowiednią fakturą oraz, w stosownych przypadkach, danym dokumentem przewozowym przez okres siedmiu lat. </w:t>
      </w:r>
      <w:r>
        <w:rPr>
          <w:color w:val="auto"/>
        </w:rPr>
        <w:t>Jest to zgodne z krajowym okresem przechowywania danych.</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Wydawanie karty Piro oraz wdrażanie i zarządzanie rejestrem kart Piro jest prowadzone na polecenie organizacji, która zostanie wskazana. W tym celu zawiera się niezbędne umowy, takie jak umowa o przetwarzaniu danych osobowych.</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Realizacja i egzekwowanie</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Należy utworzyć i zarządzać rejestrem kart Piro. To uprawnienie zostało przyznane ministrowi IenW na mocy niniejszego rozporządzenia. </w:t>
      </w:r>
      <w:r>
        <w:rPr>
          <w:highlight w:val="yellow"/>
        </w:rPr>
        <w:t>Należy określić</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Przepisy dotyczące fajerwerków są egzekwowane zarówno w zakresie prawa administracyjnego, jak i karnego. Na gruncie prawa administracyjnego na podstawie ustawy można nałożyć nakaz w ramach kary lub przymusu administracyjnego. Inspekcja Środowiska i Transportu (ILT) nadzoruje bezpieczeństwo i jakość fajerwerków wprowadzanych do obrotu przez przedsiębiorstwa. ILT sprawuje nadzór nad transportem substancji niebezpiecznych, w tym fajerwerków na podstawie przepisów transportowych oraz nad importem i eksportem fajerwerków przez firmy na podstawie rozporządzenia w sprawie fajerwerków. ILT wydaje również pozwolenia na stosowanie. Projekt rozporządzenia został przedłożony ILT w dniu xx w celu zbadania możliwości egzekwowania prawa, wykonalności i zabezpieczenia przed nadużyciami. Rozporządzenie zostało oceniony przez ILT jako </w:t>
      </w:r>
      <w:r>
        <w:rPr>
          <w:highlight w:val="yellow"/>
        </w:rPr>
        <w:t>… test PM HUF.</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Różne przepisy rozporządzenia w sprawie fajerwerków podlegają karze w ustawie o przestępstwach gospodarczych i są one egzekwowane przez policję i prokuraturę. Dotyczy to na przykład sprzedaży profesjonalnych fajerwerków osobom prywatnym. Ustawa zbiorowa IenW z 2021 r. zmienia ustawę o przestępstwach gospodarczych, umożliwiając również egzekucję art. 9.5.8 ust. 6. Maksymalna kara w przypadku wykroczenia to pozbawienie wolności nieprzekraczające sześciu lat, prace społeczne lub grzywna piątej kategorii (obecnie 90 000 EUR). Projekt rozporządzenia został przedłożony Prokuraturze w dniu </w:t>
      </w:r>
      <w:r>
        <w:rPr>
          <w:highlight w:val="yellow"/>
        </w:rPr>
        <w:t>xx</w:t>
      </w:r>
      <w:r>
        <w:t xml:space="preserve">. </w:t>
      </w:r>
      <w:r>
        <w:rPr>
          <w:highlight w:val="yellow"/>
        </w:rPr>
        <w:t>Test HUF, który zostanie określony</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lastRenderedPageBreak/>
        <w:t>8. Wpływ finansowy</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Na mocy art. 9.5.8 ust. 5 Wm możliwe jest pobieranie opłaty za stosowanie karty Piro. Obecnie nie jest to przewidziane, co sprawia, że wpływ finansowy na sektor jest bardzo ograniczony. Za pozwolenie na stosowanie nie pobiera się żadnej opłaty, co oznacza, że wprowadzenie okresu ważności nie prowadzi do wyższych kosztów.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Doradztwo i konsultacje</w:t>
      </w:r>
    </w:p>
    <w:p w14:paraId="1D22CCE9" w14:textId="3285AF09" w:rsidR="00D4395F" w:rsidRDefault="006B5035" w:rsidP="00FF6FF4">
      <w:pPr>
        <w:keepNext/>
        <w:keepLines/>
        <w:spacing w:line="240" w:lineRule="auto"/>
      </w:pPr>
      <w:r>
        <w:t>W sprawie opracowania niniejszego rozporządzenia skonsultowano się z kilkoma stronami. Testy wydajności OM i ILT zostały już omówione powyżej. Wstępny projekt został również omówiony z przedstawicielami VEN (niderlandzkiego stowarzyszenia fajerwerków), BPN (niderlandzkie Stowarzyszenie Pirotechniki) oraz Stichting VuurwerkCheck. W związku z tym rozporządzenie przewiduje, że posiadacze kart Piro uprawnieni do stosowania fajerwerków kategorii F3 lub F4 będą również uznawani za uprawnionych do użytku prywatnego w odniesieniu do fajerwerków kategorii F2, które nie są przeznaczone do użytku prywatnego. Przewiduje się również, że posiadacze karty Piro upoważnieni do stosowania wyrobów pirotechnicznych kategorii T2 będą również uprawnieni do stosowania wyrobów pirotechnicznych do użytku w teatrze kategorii T1. Chociaż branża wskazała, że podejście do nielegalnego handlu fajerwerkami jest ważne, jej przedstawiciele mają wątpliwości co do skuteczności karty Piro na nielegalne transakcje handlowe, ponieważ karta będzie stosowana wyłącznie w krajach Beneluksu. Karta Piro jest narzędziem, które jest częścią szerszego pakietu środków mającego na celu ograniczenie nielegalnego stosowania profesjonalnych fajerwerków. Intencją Beneluksu jest wprowadzenie karty Piro na terytorium Unii Europejskiej. Branża wskazała, że wprowadzenie karty Piro jest postrzegane jako zwiększenie obciążeń administracyjnych, ponieważ jej przedstawiciele uważają, że kartę Piro stanowi powielanie zgłoszenia zgodnie z art. 1.4.1 rozporządzenia w sprawie fajerwerków. Obciążenie administracyjne, jak wyjaśniono w pkt 6 uzasadnienia, zostało w jak największym stopniu ograniczone. Karta Piro ułatwia podmiotom gospodarczym sprawdzenie, czy nabywca posiada wymagane pozwolenia. Ponadto system sprawozdawczy, o którym mowa w art. 1.4.1 rozporządzenia w sprawie fajerwerków, nie jest powielany, ponieważ cel systemu powiadamiania nie jest dokładnie porównywalny z celem karty Piro. System notyfikacji zajmuje się identyfikacją transgranicznych przepływów produktów, natomiast karta Piro odnosi się do transakcji sprzedaży.</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Ze względu na bardzo ograniczony wpływ na obciążenie regulacyjne, nie przeprowadzono testu MŚP.</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Zwrócono się do holenderskiego organu ochrony danych o opinię w dniu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Przeprowadzono konsultacje online na temat niniejszego rozporządzenia. Na podstawie art. 21.6 ust. 4 projekt rozporządzenia został również wstępnie opublikowany w Dzienniku Urzędowym, aby dać każdemu możliwość złożenia pisemnych uwag do projektu naszemu Ministrowi w terminie czterech tygodni. W takim przypadku można było pominąć konsultacje internetowe. </w:t>
      </w:r>
    </w:p>
    <w:p w14:paraId="62852144" w14:textId="72BDE637" w:rsidR="00027B61" w:rsidRDefault="00027B61" w:rsidP="006B5035">
      <w:pPr>
        <w:spacing w:line="240" w:lineRule="auto"/>
      </w:pPr>
      <w:r>
        <w:rPr>
          <w:highlight w:val="yellow"/>
        </w:rPr>
        <w:t>Konsultacje internetowe PM i wstępna publikacja</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Dodatkowo projekt rozporządzenia przekazany został w dniu </w:t>
      </w:r>
      <w:r>
        <w:rPr>
          <w:highlight w:val="yellow"/>
        </w:rPr>
        <w:t>x</w:t>
      </w:r>
      <w:r>
        <w:t xml:space="preserve"> pierwszej i drugiej izbie parlamentu w ramach prawnie wymaganego zawieszenia (art. 21.6 ust. 4 Wm). </w:t>
      </w:r>
      <w:r>
        <w:rPr>
          <w:highlight w:val="yellow"/>
        </w:rPr>
        <w:t>PM wstawić załącznik.</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Ocena</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Niniejsze rozporządzenie i funkcjonowanie karty Piro podlegać będą ocenie po trzech latach. Jest również ważne, aby móc określić, czy system sprawdza się w krajach Beneluksu i zapewnić wkład do ewentualnego jego wprowadzenia na szczeblu europejskim.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Prawo przejściowe i wejście w życie</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Prawo przejściowe jest pożądane w odniesieniu do okresu ważności zezwolenia na stosowanie, aby zapobiec sytuacji, w której zezwolenia udzielone (dawno) w przeszłości nagle tracą ważność. W tym celu ustanowiono roczny okres przejściowy. Termin taki zapewnia wystarczającą ilość czasu na złożenie wniosku zarówno przez przedstawicieli branży, jak i na przetworzenie przez organ wydający zezwolenia.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Zgodnie z art. 7 ust. 2 decyzji Beneluksu, państwa Beneluksu muszą wprowadzić w życie przepisy ustawowe, karne, wykonawcze i administracyjne niezbędne do wykonania przepisów niniejszej decyzji Beneluksu nie później niż trzy lata po wejściu w życie decyzji. Decyzja Beneluksu weszła w życie w dniu 7 grudnia 2020 r., co oznacza, że wykonanie niniejszej decyzji Beneluksu musi zostać zakończone w dniu 7 grudnia 2023 r. Wejście w życie niniejszego rozporządzenia następuje na mocy dekretu królewskiego, zaś celem jest wprowadzenie tej zmiany w życie z dniem 1 stycznia 2024 r. Wejście w życie w dniu 1 stycznia 2024 r. jest pożądane ze względu na związaną z tym zmianę rozporządzenia w sprawie warunków pracy (Dziennik Urzędowy 2019, 471), który również wchodzi w życie w tym dniu. </w:t>
      </w:r>
      <w:r>
        <w:rPr>
          <w:highlight w:val="yellow"/>
        </w:rPr>
        <w:t>W razie potrzeby dalsze przepisy przejściowe.</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Noty wyjaśniające do poszczególnych artykułów</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Artykuł I, część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W tym przepisie do art. 1.1.1 ust. 1 rozporządzenia w sprawie fajerwerków dodaje się szereg definicji. Pojęcie osoby odpowiedzialnej wynika z decyzji Beneluksu. W odniesieniu do sytuacji w Niderlandach, oprócz osoby posiadającej specjalistyczną wiedzę, uściślono, że może to być przetwórca fajerwerków lub operator fajerwerków wyznaczony przez podmiot prawny uprawniony do przechowywania lub udostępniania na rynku (często posiadacz pozwolenia). Pojęcia przetwórcy fajerwerków i operatora fajerwerków są powiązane z systemem rozporządzenia w sprawie warunków pracy, który reguluje rejestrację tych zawodów. Gwarantuje to, że jest to osoba, która posiada profesjonalną wiedzę na temat przedmiotowych fajerwerków i przeszła w tym zakresie stosowne szkolenie.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Artykuł I, część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Artykuł 1.1.3 obejmuje zakres rozporządzenia w sprawie fajerwerków. Poprzez zmianę rozporządzenia w sprawie fajerwerków z dnia 20 czerwca 2022 r. (Dziennik Urzędowy 2022, 291) rozszerzono ją na artykuły pirotechniczne kategorii P1 i P2 wykorzystywane jako fajerwerki lub najwyraźniej przeznaczone do użytku jako fajerwerki. Niniejszą poprawką należy uzupełnić, ponieważ sprzedaż wyrobów kategorii P2 nie jest dozwolona bez weryfikacji dokumentów kontroli, nawet jeżeli artykuł ten nie jest używany lub przeznaczony do użytku jako fajerwerki. Rozszerzenie zakresu stosowania do tego punktu ma jednak zastosowanie jedynie do nowego rozdziału 4 rozporządzenia w sprawie fajerwerków.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Artykuł I, część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Skorzystano z okazji, aby poprawić odniesienie do ustawy, która wygasła. W art. 1.2.5 ust. 2 odniesiono się do przepisów ustawy o transporcie drogowym. Ustawa ta wygasła jednak w dniu 1 maja 2009 r. i została zastąpiona ustawą o transporcie drogowym. Dawny art. 20 ustawy o transporcie drogowym, który w skrócie zawierał obowiązek rejestracji i towarzyszące mu świadectwo rejestracji, został niniejszym uchylony. Artykuł 29 w sprawie zakazu wykonywania transportu bez sporządzenia listu przewozowego został zastąpiony co do istoty art. 2.13 ustawy o transporcie drogowym. Artykuł 1.2.5 ust. 2 został odpowiednio zmieniony. </w:t>
      </w:r>
    </w:p>
    <w:p w14:paraId="099130EB" w14:textId="220E6F61" w:rsidR="00BB4790" w:rsidRDefault="00BB4790" w:rsidP="00975E08">
      <w:pPr>
        <w:spacing w:line="240" w:lineRule="auto"/>
      </w:pPr>
    </w:p>
    <w:p w14:paraId="6C604BF6" w14:textId="260807E0" w:rsidR="00BB4790" w:rsidRDefault="00BB4790" w:rsidP="009E53A9">
      <w:pPr>
        <w:keepNext/>
        <w:keepLines/>
        <w:spacing w:line="240" w:lineRule="auto"/>
        <w:rPr>
          <w:b/>
          <w:bCs/>
        </w:rPr>
      </w:pPr>
      <w:r>
        <w:rPr>
          <w:b/>
        </w:rPr>
        <w:lastRenderedPageBreak/>
        <w:t>Artykuł I, część D</w:t>
      </w:r>
    </w:p>
    <w:p w14:paraId="03FCE1C3" w14:textId="77777777" w:rsidR="00BB4790" w:rsidRPr="00C9198C" w:rsidRDefault="00BB4790" w:rsidP="009E53A9">
      <w:pPr>
        <w:keepNext/>
        <w:keepLines/>
        <w:spacing w:line="240" w:lineRule="auto"/>
        <w:rPr>
          <w:b/>
          <w:bCs/>
        </w:rPr>
      </w:pPr>
    </w:p>
    <w:p w14:paraId="1ED3A512" w14:textId="415F4CB3" w:rsidR="00BB4790" w:rsidRPr="00611325" w:rsidRDefault="00BB4790" w:rsidP="009E53A9">
      <w:pPr>
        <w:keepNext/>
        <w:keepLines/>
        <w:spacing w:line="240" w:lineRule="auto"/>
      </w:pPr>
      <w:r>
        <w:t>Pozwolenie na stosowanie jest obecnie przyznawane na czas nieokreślony. Wdrożenie niniejszej decyzji Beneluksu wykazało, że nie jest to już pożądane. Załączenie pięcioletniego okresu ważności do pozwolenia na stosowanie oznacza konieczność ponownej weryfikacji, czy wnioskodawca (wciąż) spełnia wszystkie wymogi, takie jak VOG w ciągu pięciu lat. Pomaga to w nadzorowaniu i egzekwowaniu pozwolenia na stosowanie.</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Artykuł I, część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Po rozdziale 3B do rozporządzenia w sprawie fajerwerków dodaje się nowy rozdział zawierający główne przepisy dotyczące karty Piro.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Artykuł 4.1</w:t>
      </w:r>
    </w:p>
    <w:p w14:paraId="6D216F10" w14:textId="000E4BB8" w:rsidR="0026407F" w:rsidRPr="0026407F" w:rsidRDefault="0026407F" w:rsidP="00975E08">
      <w:pPr>
        <w:spacing w:line="240" w:lineRule="auto"/>
      </w:pPr>
      <w:r>
        <w:t xml:space="preserve">Artykuł 4.1 ust. 1 zakazuje podmiotom gospodarczym udostępniania na rynku wyrobów pirotechnicznych określonych w niniejszym ustępie bez sprawdzania dokumentów osób posiadających specjalistyczną wiedzę. Ustęp 2 stanowi, że w przypadku wydawania wyrobów pirotechnicznych i działania osoby fizycznej wyznaczonej w imieniu osoby prawnej od tej osoby odpowiedzialnej należy sprawdzić dokument kontroli i dowód tożsamości. Ustęp 3 wskazuje, które osoby posiadające specjalistyczną wiedzę lub osoby odpowiedzialne muszą wykazać swoje uprawnienia przy użyciu karty Piro. Wymogi dyrektywy Piro, a zatem decyzji Beneluksu, nie mają zastosowania do wyrobów pirotechnicznych do użytku niekomercyjnego, zgodnie z prawem krajowym, przez siły zbrojne, policję lub straż pożarną. W związku z tym grupy te nie muszą również występować o kartę Piro (art. 1.1.2a ust. 1 lit. c-f). Wzór karty Piro jest określony w decyzji Beneluksu i obejmuje tylko niektóre kategorie wyrobów pirotechnicznych. Jednakże w Niderlandach fajerwerki kategorii F2, które nie są przeznaczone do użytku prywatnego, oraz wyroby pirotechniczne do użytku teatralnego kategorii T1 są również zastrzeżone dla osób posiadających specjalistyczną wiedzę. W związku z tym ust. 4 stanowi, że osoby upoważnione do obsługi fajerwerków kategorii F3 lub F4 są również upoważnione do obsługi fajerwerków kategorii F2, a ust. 5 stanowi, że osoby upoważnione do obsługi wyrobów pirotechnicznych klasy T2 są również upoważnione do obsługi wyrobów pirotechnicznych klasy T1. W przeciwnym razie doprowadziłoby to do sytuacji, w której np. osoba posiadająca specjalistyczną wiedzę musi okazywać kartę Piro do transakcji sprzedaży wyrobów pirotechnicznych kategorii T2 oraz inny dokument potwierdzający, że jest osobą posiadającą specjalistyczną wiedzę w zakresie artykułów kategorii T1. Jest to uważane za niepożądane. W ust. 8 określono dokumenty, które mają być przechowywane przez podmioty i okres ich przechowywania. W przypadkach, w których odbywa się transport, należy przechowywać odpowiedni dokument przewozowy. Zgodnie z decyzją Beneluksu należy przestrzegać terminów wynikających z prawa krajowego. W Niderlandach dokumentacja finansowa przedsiębiorstw musi być przechowywana przez siedem lat. Niniejszy dokument zostanie załączony do niniejszego rozporządzenia.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Artykuł 4.2</w:t>
      </w:r>
    </w:p>
    <w:p w14:paraId="2012168C" w14:textId="7E3C8FCA" w:rsidR="000C0E6D" w:rsidRPr="000C0E6D" w:rsidRDefault="00453DDC" w:rsidP="000C0E6D">
      <w:pPr>
        <w:pStyle w:val="CommentText"/>
        <w:rPr>
          <w:sz w:val="18"/>
          <w:szCs w:val="18"/>
        </w:rPr>
      </w:pPr>
      <w:r>
        <w:rPr>
          <w:sz w:val="18"/>
        </w:rPr>
        <w:t>W niniejszym artykule wymieniono osoby kwalifikujące się do otrzymania karty Piro w Niderlandach. Chociaż nie jest to bezpośrednio uregulowane w decyzji Beneluksu, ważne jest wskazanie, kto może ubiegać się o kartę Piro. W kontekście Beneluksu uzgodniono, że osoby posiadające specjalistyczną wiedzę ubiegają się o kartę Piro w kraju, w którym zostały wyznaczone na mocy obowiązującego prawa jako osoba posiadająca specjalistyczną wiedzę. W uzasadnieniu decyzji Beneluksu stwierdzono jednak, że karta Piro jest zawsze dokumentem osobistym. W związku z tym artykuł ten stanowi, że do otrzymania karty Piro kwalifikują się wyłącznie osoby fizyczne. Decyzja Beneluksu reguluje również artykuły P2. Na podstawie art. 3 rozporządzenia w sprawie innych wyrobów pirotechnicznych, wyznacza się osoby posiadające specjalistyczną wiedzę, które, ze względu na wykonywane funkcje, mogą korzystać z wyrobów pirotechnicznych należących do kategorii P2. Osoby te również kwalifikują się do uzyskania karty Piro.</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lastRenderedPageBreak/>
        <w:t xml:space="preserve">Ustęp 2 stanowi w szczególności, że wniosek o kartę Piro dla osoby odpowiedzialnej jest realizowany wraz z posiadaczem pozwolenia na użytkowanie. W ten sposób można zagwarantować, że zarówno posiadacz pozwolenia na stosowanie, jak i osoba odpowiedzialna wyrażają zgodę na stosowanie.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Karta Piro musi mieć również wskazany okres ważności. Sama decyzja Beneluksu nie reguluje tego okresu ważności. Ze względu na powiązanie z rejestracją jako przetwórca fajerwerków lub operator fajerwerków podjęto decyzję o dostosowaniu go do okresu ważności rejestracji. Po jej wygaśnięciu należy złożyć wniosek o nową kartę Piro maksymalnie po upływie pięciu lat. Jednakże okres ważności karty Piro może być krótszy w zależności od tego, czy wniosek o pozwolenie lub pozwolenie środowiskowe jest krótsze niż rejestracja. Dzięki temu rejestr jest aktualny.</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W rozporządzeniu ministerialnym opracowano szereg bardziej technicznych i proceduralnych aspektów. Na przykład wzór kart Piro, który jest również załączony do decyzji Beneluksu, został ustanowiony rozporządzeniem ministerialnym.</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System kart Piro może działać prawidłowo tylko wtedy, gdy istnieją również możliwości wycofania karty. Ust. 6 i 7 precyzują okoliczności, w których ma to miejsce. Okoliczności te stanowią wdrożenie decyzji Beneluksu.</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Artykuł 4.3</w:t>
      </w:r>
    </w:p>
    <w:p w14:paraId="2D850221" w14:textId="7AF0A3A5" w:rsidR="004A650F" w:rsidRPr="0045450C" w:rsidRDefault="004A650F" w:rsidP="00E910E4">
      <w:pPr>
        <w:keepNext/>
        <w:keepLines/>
        <w:spacing w:line="240" w:lineRule="auto"/>
      </w:pPr>
      <w:r>
        <w:t xml:space="preserve">W niniejszym artykule określono, które dokumenty są przechowywane w rejestrze kart Piro. W ten sposób nie przechowuje się więcej informacji niż jest to konieczne do przeprowadzenia kontroli.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Artykuł 4.4</w:t>
      </w:r>
      <w:r>
        <w:br/>
        <w:t xml:space="preserve">Strony, które mają dostęp do rejestru kart Piro, w praktyce podmioty i organy regulacyjne, powinny niezwłocznie uzyskiwać dostęp do niezbędnych informacji z rejestru w celu realizacji własnych obowiązków. W związku z tym niniejszy artykuł stanowi, że nasz Minister musi zapewnić niezwłoczne udostępnienie danych i dokumentów w rejestrze karty Piro.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Artykuł 4.5</w:t>
      </w:r>
    </w:p>
    <w:p w14:paraId="2E43070D" w14:textId="2C1D619E" w:rsidR="005D21FE" w:rsidRDefault="008B1DFC" w:rsidP="00975E08">
      <w:pPr>
        <w:spacing w:line="240" w:lineRule="auto"/>
      </w:pPr>
      <w:r>
        <w:t xml:space="preserve">Niniejszy artykuł określa osoby, dla których dostępne są dane szczegółowe i dokumenty w rejestrze kart Piro. Przede wszystkim ważne jest, aby organy ścigania w zakresie pirotechniki miały dostęp do rejestru. W praktyce jest to ILT i prokuratura. Zostały one wskazane w ust. 1. Ponadto dostęp winny mieć także podmioty gospodarcze w chwili udostępnianiu artykułów na rynku, ale wyłącznie w celu weryfikacji ważności karty Piro. W rezultacie nie mają one dostępu do żadnych danych osobowych poza tymi, które są konieczne.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Artykuł 4.6</w:t>
      </w:r>
    </w:p>
    <w:p w14:paraId="4759D869" w14:textId="43FA3E6D" w:rsidR="008B1DFC" w:rsidRPr="00414847" w:rsidRDefault="008B1DFC" w:rsidP="00975E08">
      <w:pPr>
        <w:spacing w:line="240" w:lineRule="auto"/>
      </w:pPr>
      <w:r>
        <w:t>W niniejszym artykule okres przechowywania danych w rejestrze kart Piro ustalono na 12 lat. Dane osobowe nie mogą być przechowywane dłużej niż jest to konieczne. Okres przechowywania jest związany z maksymalnym okresem przedawnienia przestępstw związanych z fajerwerkami.</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Artykuł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Pozwolenia udzielone przed wejściem w życie niniejszego rozporządzenia są przyznane na czas nieokreślony. Jako termin ważności obecnych pozwoleń na stosowanie wybrano dzień 1 stycznia 2025 r. Taki roczny okres daje zarówno wnioskodawcom, jak i ministrowi IenW, jako podmiotowi udzielający pozwolenia, wystarczająco dużo czasu na złożenie i ocenę wniosku. </w:t>
      </w:r>
    </w:p>
    <w:p w14:paraId="1B5AF875" w14:textId="77777777" w:rsidR="001A647B" w:rsidRDefault="001A647B" w:rsidP="00975E08">
      <w:pPr>
        <w:spacing w:line="240" w:lineRule="auto"/>
        <w:rPr>
          <w:b/>
          <w:bCs/>
        </w:rPr>
      </w:pPr>
    </w:p>
    <w:p w14:paraId="0667A53D" w14:textId="06FC6BD7" w:rsidR="005D21FE" w:rsidRDefault="005D21FE" w:rsidP="009E53A9">
      <w:pPr>
        <w:keepNext/>
        <w:keepLines/>
        <w:spacing w:line="240" w:lineRule="auto"/>
        <w:rPr>
          <w:b/>
          <w:bCs/>
        </w:rPr>
      </w:pPr>
      <w:r>
        <w:rPr>
          <w:b/>
        </w:rPr>
        <w:lastRenderedPageBreak/>
        <w:t>Artykuł III</w:t>
      </w:r>
    </w:p>
    <w:p w14:paraId="387DB410" w14:textId="497199C3" w:rsidR="005D21FE" w:rsidRDefault="005D21FE" w:rsidP="009E53A9">
      <w:pPr>
        <w:keepNext/>
        <w:keepLines/>
        <w:spacing w:line="240" w:lineRule="auto"/>
        <w:rPr>
          <w:b/>
          <w:bCs/>
        </w:rPr>
      </w:pPr>
    </w:p>
    <w:p w14:paraId="37247A84" w14:textId="12F1CEE6" w:rsidR="005D21FE" w:rsidRDefault="005D21FE" w:rsidP="009E53A9">
      <w:pPr>
        <w:keepNext/>
        <w:keepLines/>
        <w:spacing w:line="240" w:lineRule="auto"/>
      </w:pPr>
      <w:r>
        <w:t>Niniejsze rozporządzenie wchodzi w życie w terminie określonym w dekrecie królewskim, który może być różny w odniesieniu do poszczególnych artykułów lub ich części. Jak wyjaśniono w części ogólnej uzasadnienia, decyzja Beneluksu ma zostać wdrożona w dniu 7 grudnia 2023 r. Podjęto starania, aby jak najściślej dopasować się do tego terminu i wejście w życie określono na dzień 1 stycznia 2024 r. Termin przed dniem 1 stycznia 2024 r. nie jest pożądany ze względu na wejście w życie nowelizacji rozporządzenia w sprawie warunków pracy (Dziennik Urzędowy 2019, 471), która ma konsekwencje dla niniejszego rozporządzenia. 1 Styczeń jest również ustalonym terminem na ogólne zarządzenie administracyjne (lub jego zmianę), o którym mowa w uwadze 4.17 rozporządzenia. Zgodnie z art. 21.6 ust. 5 Wm, niniejsze rozporządzenie po jego przyjęciu, zostanie przekazane do obu izb Stanów Generalnych i wejdzie w życie nie wcześniej niż cztery tygodnie od daty wydania Dziennika Urzędowego, w którym zostanie ono opublikowane.</w:t>
      </w:r>
    </w:p>
    <w:p w14:paraId="0EE9ECA0" w14:textId="3F277537" w:rsidR="007F3C60" w:rsidRDefault="007F3C60" w:rsidP="005D21FE">
      <w:pPr>
        <w:spacing w:line="240" w:lineRule="auto"/>
      </w:pPr>
    </w:p>
    <w:p w14:paraId="154545D8" w14:textId="141CA40A" w:rsidR="007F3C60" w:rsidRPr="009E53A9" w:rsidRDefault="007F3C60" w:rsidP="007F3C60">
      <w:pPr>
        <w:rPr>
          <w:lang w:val="el-GR"/>
        </w:rPr>
      </w:pPr>
      <w:r>
        <w:t>SEKRETARZ STANU DS. INFRASTRUKTURY I GOSPODARKI WODNEJ,</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7D35" w14:textId="77777777" w:rsidR="00775FC9" w:rsidRDefault="00775FC9">
      <w:pPr>
        <w:spacing w:line="240" w:lineRule="auto"/>
      </w:pPr>
      <w:r>
        <w:separator/>
      </w:r>
    </w:p>
  </w:endnote>
  <w:endnote w:type="continuationSeparator" w:id="0">
    <w:p w14:paraId="659EC9BC" w14:textId="77777777" w:rsidR="00775FC9" w:rsidRDefault="00775FC9">
      <w:pPr>
        <w:spacing w:line="240" w:lineRule="auto"/>
      </w:pPr>
      <w:r>
        <w:continuationSeparator/>
      </w:r>
    </w:p>
  </w:endnote>
  <w:endnote w:type="continuationNotice" w:id="1">
    <w:p w14:paraId="0BA6071D" w14:textId="77777777" w:rsidR="00775FC9" w:rsidRDefault="00775F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146A" w14:textId="77777777" w:rsidR="00775FC9" w:rsidRDefault="00775FC9">
      <w:pPr>
        <w:spacing w:line="240" w:lineRule="auto"/>
      </w:pPr>
      <w:r>
        <w:separator/>
      </w:r>
    </w:p>
  </w:footnote>
  <w:footnote w:type="continuationSeparator" w:id="0">
    <w:p w14:paraId="0C4D75C6" w14:textId="77777777" w:rsidR="00775FC9" w:rsidRDefault="00775FC9">
      <w:pPr>
        <w:spacing w:line="240" w:lineRule="auto"/>
      </w:pPr>
      <w:r>
        <w:continuationSeparator/>
      </w:r>
    </w:p>
  </w:footnote>
  <w:footnote w:type="continuationNotice" w:id="1">
    <w:p w14:paraId="65E3F1ED" w14:textId="77777777" w:rsidR="00775FC9" w:rsidRDefault="00775FC9">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Decyzja Komitetu Ministrów Beneluksu w sprawie wprowadzenia karty Piro – M(2020) 14 (Dziennik Urzędowy Beneluksu 2021 nr 1), zmieniona przez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Dokumenty parlamentarne II </w:t>
      </w:r>
      <w:r>
        <w:rPr>
          <w:sz w:val="16"/>
        </w:rPr>
        <w:t>2022-2023, 36268, nr 3, s.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Dyrektywa Parlamentu Europejskiego i Rady 2013/29/UE z dnia 12 czerwca 2013 r. w sprawie harmonizacji ustawodawstw państw członkowskich odnoszących się do udostępniania na rynku wyrobów pirotechnicznych (Dz.U. UE L 178, 2013). </w:t>
      </w:r>
    </w:p>
  </w:footnote>
  <w:footnote w:id="5">
    <w:p w14:paraId="6A3268F0" w14:textId="65C45BA5" w:rsidR="00FA2E81" w:rsidRDefault="00FA2E81">
      <w:pPr>
        <w:pStyle w:val="FootnoteText"/>
      </w:pPr>
      <w:r>
        <w:rPr>
          <w:rStyle w:val="FootnoteReference"/>
          <w:sz w:val="16"/>
          <w:szCs w:val="16"/>
        </w:rPr>
        <w:footnoteRef/>
      </w:r>
      <w:r>
        <w:rPr>
          <w:sz w:val="16"/>
        </w:rPr>
        <w:t xml:space="preserve"> Do większej konwergencji dąży się jednak poprzez rekomendację M(2020) 15 Komitetu Ministrów Beneluksu w sprawie wymagań specjalistycznej wiedzy w zakresie obchodzenia się z wyrobami pirotechnicznymi i/lub ich stosowania.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My,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z łaski Boga,</w:t>
                          </w:r>
                          <w:r>
                            <w:rPr>
                              <w:rFonts w:ascii="Arial" w:hAnsi="Arial"/>
                              <w:smallCaps/>
                              <w:color w:val="auto"/>
                              <w:sz w:val="52"/>
                            </w:rPr>
                            <w:br/>
                            <w:t>Król Niderlandów, Książę Orange-Nassau, itd., itd.</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My, </w:t>
                    </w:r>
                    <w:r>
                      <w:rPr>
                        <w:smallCaps/>
                        <w:color w:val="D78632"/>
                        <w:sz w:val="128"/>
                        <w:rFonts w:ascii="Arial" w:hAnsi="Arial"/>
                      </w:rPr>
                      <w:t xml:space="preserve">W</w:t>
                    </w:r>
                    <w:r>
                      <w:rPr>
                        <w:smallCaps/>
                        <w:color w:val="auto"/>
                        <w:sz w:val="52"/>
                        <w:rFonts w:ascii="Arial" w:hAnsi="Arial"/>
                      </w:rPr>
                      <w:t xml:space="preserve">illem </w:t>
                    </w:r>
                    <w:r>
                      <w:rPr>
                        <w:smallCaps/>
                        <w:color w:val="D78632"/>
                        <w:sz w:val="128"/>
                        <w:rFonts w:ascii="Arial" w:hAnsi="Arial"/>
                      </w:rPr>
                      <w:t xml:space="preserve">A</w:t>
                    </w:r>
                    <w:r>
                      <w:rPr>
                        <w:smallCaps/>
                        <w:color w:val="auto"/>
                        <w:sz w:val="52"/>
                        <w:rFonts w:ascii="Arial" w:hAnsi="Arial"/>
                      </w:rPr>
                      <w:t xml:space="preserve">lexander,</w:t>
                    </w:r>
                    <w:r>
                      <w:rPr>
                        <w:smallCaps/>
                        <w:color w:val="auto"/>
                        <w:sz w:val="52"/>
                        <w:rFonts w:ascii="Arial" w:hAnsi="Arial"/>
                      </w:rPr>
                      <w:br/>
                    </w:r>
                    <w:r>
                      <w:rPr>
                        <w:smallCaps/>
                        <w:color w:val="auto"/>
                        <w:sz w:val="52"/>
                        <w:rFonts w:ascii="Arial" w:hAnsi="Arial"/>
                      </w:rPr>
                      <w:t xml:space="preserve">z łaski Boga,</w:t>
                    </w:r>
                    <w:r>
                      <w:rPr>
                        <w:smallCaps/>
                        <w:color w:val="auto"/>
                        <w:sz w:val="52"/>
                        <w:rFonts w:ascii="Arial" w:hAnsi="Arial"/>
                      </w:rPr>
                      <w:br/>
                    </w:r>
                    <w:r>
                      <w:rPr>
                        <w:smallCaps/>
                        <w:color w:val="auto"/>
                        <w:sz w:val="52"/>
                        <w:rFonts w:ascii="Arial" w:hAnsi="Arial"/>
                      </w:rPr>
                      <w:t xml:space="preserve">Król Niderlandów, Książę Orange-Nassau, itd., itd.</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1E4C"/>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5FC9"/>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3A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pl-P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6294</Words>
  <Characters>35876</Characters>
  <Application>Microsoft Office Word</Application>
  <DocSecurity>0</DocSecurity>
  <Lines>298</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10</cp:revision>
  <dcterms:created xsi:type="dcterms:W3CDTF">2023-04-24T08:10:00Z</dcterms:created>
  <dcterms:modified xsi:type="dcterms:W3CDTF">2023-05-11T13:26:00Z</dcterms:modified>
</cp:coreProperties>
</file>