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CAPITOLUL 4:</w:t>
      </w:r>
      <w:r>
        <w:rPr>
          <w:sz w:val="22"/>
        </w:rPr>
        <w:t xml:space="preserve"> </w:t>
      </w:r>
      <w:r>
        <w:rPr>
          <w:sz w:val="22"/>
        </w:rPr>
        <w:t xml:space="preserve">Accesibilitatea mijloacelor de transport</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Atunci când un serviciu de taxi este oferit prin rezervări telefonice, acest serviciu trebuie să extindă mijloacele de solicitare folosind noi tehnologii, aplicații, internet, mesaje text, fax sau alte mijloace similare, astfel încât toți utilizatorii, inclusiv cei care au deficiențe de auz, să poată solicita serviciul în mod independent.</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Atunci când serviciul „taxi la cerere” are un site, acesta trebuie să fie accesibil, cel puțin la nivelul AA din Orientările WCAG 2.1.</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Închirierea unui taxi care este accesibil persoanelor cu mobilitate redusă prin telefon, internet sau aplicație mobilă nu poate face obiectul unui supliment de cerere anticipată.</w:t>
      </w:r>
      <w:r>
        <w:rPr>
          <w:sz w:val="22"/>
        </w:rPr>
        <w:t xml:space="preserve"> </w:t>
      </w:r>
      <w:r>
        <w:rPr>
          <w:sz w:val="22"/>
        </w:rPr>
        <w:t xml:space="preserve">Cardul de invaliditate servește ca dovadă în cazul în care este solicitat.</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CAPITOLUL 5:</w:t>
      </w:r>
      <w:r>
        <w:rPr>
          <w:sz w:val="22"/>
        </w:rPr>
        <w:t xml:space="preserve"> </w:t>
      </w:r>
      <w:r>
        <w:rPr>
          <w:sz w:val="22"/>
        </w:rPr>
        <w:t xml:space="preserve">Accesibilitatea produselor</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Articolul 116</w:t>
      </w:r>
      <w:r>
        <w:rPr>
          <w:sz w:val="22"/>
        </w:rPr>
        <w:tab/>
      </w:r>
      <w:r>
        <w:rPr>
          <w:sz w:val="22"/>
        </w:rPr>
        <w:t xml:space="preserve">Produse de larg consum</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Un produs este considerat accesibil atunci când îndeplinește următoarele condiții:</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Are o etichetă accesibilă, adaptată caracteristicilor sale, care permite identificarea sa, cu numele său și cu cele mai relevante informații.</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Designul său respectă criterii de proiectare universale, cu condiții de utilizare adecvate și condiții de siguranță pentru orice utilizator.</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Informațiile, instrucțiunile sau prospectele suplimentare pot fi consultate prin intermediul internetului, al aplicațiilor pentru dispozitive și al utilizării noilor tehnologii, cu conținut accesibil care îndeplinește condițiile prevăzute la punctele 25 și 26 din anexa 5a.</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Societățile care comercializează un produs au responsabilitatea de a se asigura că sunt îndeplinite condițiile de acces care i se aplică.</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Produsele farmaceutice și produsele periculoase trebuie să includă elemente de date și sisteme astfel încât persoanele nevăzătoare sau cu surdocecitate să aibă acces la următoarele informații:</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Identificarea denumirii produsului pe ambalaj prin intermediul limbajului Braille și al iconografiei.</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Data de expirare de pe ambalaj, prin intermediul limbajului Braille și al iconografiei sau al altor resurse alternative care oferă aceleași caracteristici.</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Caracteristicile principale ale produsului, cum ar fi compoziția și conservarea acestuia, printre altele, prin intermediul căutării audio pe internet sau prin alte mijloace care permit utilizarea noilor tehnologii cu aceeași eficiență, la cererea asociațiilor pentru persoanele cu deficiențe de vedere.</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Lanțurile de supermarketuri și societățile cu unități de alimentație publică sau mixte, în toate locațiile în care dispun de un spațiu cu o suprafață utilă de peste 250 m² destinat publicului, la cererea unei persoane nevăzătoare sau a unei rude a acesteia, trebuie să garanteze următoarele condiții:</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cel puțin una dintre unitățile din localitate efectuează etichetarea în Braille a denumirilor și a datelor de expirare pe produsele perisabile sau care pot crea confuzii, prin intermediul unor imprimante sau sisteme care permit o astfel de etichetare în Braille, în unitatea respectivă.</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Produsele vândute online și livrate la domiciliu să fie, de asemenea, etichetate în Braille, așa cum s-a indicat anterior la punctul de mai sus.</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Difuzarea comercială realizată prin intermediul internetului sau prin alte mijloace oferă informații, într-un format accesibil, despre care sunt unitățile care oferă posibilitatea de a eticheta produsele în Braille.</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În municipalitățile cu mai mult de 50 000 de locuitori, fiecare cartier este considerat ca fiind o zonă teritorială diferită și este asimilat unei localități în scopul aplicării punctului anterior.</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Administrația Generalitat trebuie să elaboreze progresiv instrucțiuni tehnice care să integreze noile progrese tehnologice și să stabilească specificațiile, termenele, caracteristicile și criteriile de etichetare accesibilă, precum și orientările de proiectare universală aplicabile produselor din diferitele sectoare comerciale.</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Consumatorii cu deficiențe de vedere și surdocecitate au dreptul de a avea acces, în mod independent, normal, ușor, imediat și în condiții de egalitate, la aceleași informații despre produse pe care toți consumatorii și utilizatorii le au pe etichetă.</w:t>
      </w:r>
      <w:r>
        <w:rPr>
          <w:sz w:val="22"/>
        </w:rPr>
        <w:t xml:space="preserve"> </w:t>
      </w:r>
      <w:r>
        <w:rPr>
          <w:sz w:val="22"/>
        </w:rPr>
        <w:t xml:space="preserve">În acest scop, etichetarea accesibilă trebuie să respecte următoarele condiții:</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Trebuie să furnizeze cât mai multe informații, asigurând consumatorilor cu dizabilități condiții egale cu ale celorlalți consumatori.</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Ea trebuie să permită obținerea informațiilor în mod independent, rapid, comod, direct și standardizat, fără a necesita cunoștințe tehnice deosebite sau utilizarea de mijloace tehnologice.</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Nu poate reprezenta un cost suplimentar pentru consumatorii cu dizabilități.</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Nu trebuie să genereze costuri inaccesibile pentru întreprinderi.</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Întreprinderile obligate care oferă servicii de vânzare electronică trebuie să includă, pe site-ul respectiv, opțiunea ca produsele achiziționate în acest mod să fie livrate cu etichetarea accesibilă.</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Sistemul de arbitraj pentru consumatori, precum și procedurile și procedeele sale trebuie să fie accesibile persoanelor cu dizabilități.</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Oficiile publice și private de servicii pentru consumatori trebuie să ia măsuri pentru a facilita accesibilitatea comunicării, pentru persoanele surde care comunică în limbajul semnelor și oral, cu mijloace de sprijin suficiente.</w:t>
      </w:r>
      <w:r>
        <w:rPr>
          <w:sz w:val="22"/>
        </w:rPr>
        <w:t xml:space="preserve"> </w:t>
      </w:r>
      <w:r>
        <w:rPr>
          <w:sz w:val="22"/>
        </w:rPr>
        <w:t xml:space="preserve">În plus, acestea trebuie să aibă instalată o buclă auditivă în 20 % din ghișeele serviciilor publice, iar personalul acestora trebuie să fie pregătit să furnizeze informații persoanelor cu dizabilități de orice fel, în termen de maximum trei ani de la intrarea în vigoare a prezentului cod.</w:t>
      </w:r>
    </w:p>
    <w:p w14:paraId="178D066A" w14:textId="77777777" w:rsidR="00CC0ADF" w:rsidRDefault="00CC0ADF">
      <w:pPr>
        <w:rPr>
          <w:lang w:val="es-ES"/>
        </w:rPr>
      </w:pPr>
    </w:p>
    <w:p w14:paraId="3EF53236" w14:textId="476D7F11" w:rsidR="00E526B5" w:rsidRDefault="00B670F2">
      <w:r>
        <w:rPr>
          <w:sz w:val="22"/>
        </w:rPr>
        <w:t xml:space="preserve">CAPITOLUL 6:</w:t>
      </w:r>
      <w:r>
        <w:rPr>
          <w:sz w:val="22"/>
        </w:rPr>
        <w:t xml:space="preserve"> </w:t>
      </w:r>
      <w:r>
        <w:rPr>
          <w:sz w:val="22"/>
        </w:rPr>
        <w:t xml:space="preserve">Accesibilitatea serviciilor</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Serviciile publice care dispun de site-uri deschise publicului trebuie să furnizeze informații privind accesibilitatea acestor servicii, precum și dependențele, facilitățile și procedurile acestora.</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Site-urile, aplicațiile pentru dispozitive mobile și alte produse și servicii din domeniul tehnologiei informației și comunicațiilor oferite de serviciile publice trebuie să respecte condițiile prevăzute în anexa 5a la prezentul cod și standardul UNE-EN 301549:2022 sau cel care îl înlocuiește, în conformitate cu Directiva (UE) 2016/2102 a Parlamentului European și a Consiliului și cu transpunerea acesteia în Decretul regal nr. 112/2018 din 7 septembrie 2018 privind accesibilitatea site-urilor și a aplicațiilor pentru dispozitive mobile în sectorul public, fără a aduce atingere reglementării realizate de către organismul competent în materie din Catalonia.</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Site-urile și aplicațiile mobile ale lanțurilor de supermarketuri și ale unităților de alimentație publică sau mixte cu o suprafață utilă pentru uz public mai mare de 500 m², care oferă posibilitatea de a cumpăra online și de a primi produse prin livrare la domiciliu, trebuie să fie accesibile, în conformitate cu condițiile prevăzute la punctele 25 și 26 din anexa 5a, și să atingă cel puțin nivelul de conformitate cu accesibilitatea A dublu (AA) în conformitate cu orientările WCAG 2.1, în următoarele situații:</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atunci când este vorba de pagini sau aplicații nou create;</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atunci când paginile sau aplicațiile existente sunt modificate;</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în cazul în care termenele prevăzute la punctul 4 din anexa 6b sunt respectate prin adaptarea paginilor și aplicațiilor existente.</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Paginile web și aplicațiile pentru dispozitive mobile, care permit efectuarea de operațiuni bancare, încheierea de contracte sau orice alt tip de gestionare sau de consultare privind produsele contractate într-un birou fizic, trebuie să fie accesibile, în conformitate cu condițiile prevăzute la punctele 25 și 26 din anexa 5a, și să atingă cel puțin nivelul de conformitate cu accesibilitatea de tip dublu A (AA) în conformitate cu orientările WCAG 2.1, în următoarele situații:</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atunci când este vorba de pagini sau aplicații nou create;</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atunci când paginile sau aplicațiile existente sunt modificate;</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în cazul în care termenele prevăzute la punctul 5 din anexa 6b sunt respectate prin adaptarea paginilor și aplicațiilor existente;</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Site-urile și aplicațiile mobile ale lanțurilor hoteliere și ale unităților cu o capacitate mai mare de 100 de locuri, care permit contractarea de servicii de cazare și servicii online, trebuie să fie accesibile, în conformitate cu condițiile prevăzute la punctele 25 și 26 din anexa 5a, și să atingă cel puțin nivelul de conformitate cu accesibilitatea A dublă (AA) în conformitate cu orientările WCAG 2.1, în următoarele situații:</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atunci când este vorba de pagini sau aplicații nou create;</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atunci când paginile sau aplicațiile existente sunt modificate;</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atunci când sunt respectate termenele prevăzute la punctul 7 din anexa 6b pentru adaptarea paginilor și aplicațiilor existente.</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Paginile web și aplicațiile mobile ale unităților sau ale asociațiilor de unități trebuie să fie accesibile în conformitate cu condițiile prevăzute la punctele 25 și 26 din anexa 5a;</w:t>
      </w:r>
      <w:r>
        <w:rPr>
          <w:sz w:val="22"/>
        </w:rPr>
        <w:t xml:space="preserve"> </w:t>
      </w:r>
      <w:r>
        <w:rPr>
          <w:sz w:val="22"/>
        </w:rPr>
        <w:t xml:space="preserve">să atingă cel puțin nivelul de conformitate cu accesibilitatea A dublu (AA), în conformitate cu orientările WCAG 2.1, și să furnizeze informațiile indicate la punctele precedente, în următoarele situații:</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atunci când este vorba de pagini sau aplicații nou create;</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atunci când paginile sau aplicațiile existente sunt modificate;</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atunci când sunt respectate termenele prevăzute la punctul 3 din anexa 6b pentru adaptarea paginilor și aplicațiilor existente.</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Paginile de internet și aplicațiile mobile ale unităților și cluburilor sportive care oferă vânzări de bilete pentru spectacolele din incinta lor trebuie să fie accesibile și să furnizeze informațiile necesare în aceleași condiții precum cele prevăzute la articolul 133 pentru serviciile legate de artele spectacolului.</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Site-urile și aplicațiile mobile ale unităților de învățământ care oferă educație formală trebuie să fie accesibile, în conformitate cu condițiile prevăzute la punctele 25 și 26 din anexa 5a, și să atingă cel puțin nivelul de conformitate cu accesibilitatea A dublă (AA) în conformitate cu orientările WCAG 2.1, în următoarele situații:</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atunci când este vorba de pagini sau aplicații nou create;</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atunci când paginile sau aplicațiile existente sunt modificate;</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în cazul în care termenele prevăzute la punctul 8 din anexa 6b sunt respectate prin adaptarea paginilor și aplicațiilor existente.</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Articolul 138.</w:t>
      </w:r>
      <w:r>
        <w:rPr>
          <w:sz w:val="22"/>
        </w:rPr>
        <w:tab/>
      </w:r>
      <w:r>
        <w:rPr>
          <w:sz w:val="22"/>
        </w:rPr>
        <w:t xml:space="preserve">Servicii esențiale, servicii de interes general sau servicii finanțate din fonduri publice</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Site-urile sectorului public catalan și ale societăților de drept public, precum și toate cele care sunt lansate cu finanțare din partea administrației publice și cele ale entităților sau societăților care furnizează servicii publice prin concesiune sau pe bază de contract cu administrația publică trebuie să respecte cerințele prevăzute la punctul 25 din anexa 5a și să atingă nivelul de conformitate cu accesibilitatea A dublă (AA) în conformitate cu WCAG 2.1, fără a aduce atingere reglementării efectuate de organismul competent în materie în Catalonia în conformitate cu Decretul regal nr. 1112/2018 din 7 septembrie 2018 privind accesibilitatea site-urilor și a aplicațiilor pentru dispozitive mobile în sectorul public.</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Site-urile entităților private care furnizează servicii esențiale sau servicii de interes general, inclusiv servicii de electricitate, apă sau gaz și telecomunicații, precum și servicii de sănătate, poștale și bancare, trebuie să respecte, de asemenea, cerințele de la punctul 25 din anexa 5a și nivelul de conformitate cu accesibilitatea A dublă (AA) în conformitate cu orientările WCAG 2.1.</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Aplicațiile dispozitivelor mobile din sectorul public și entitățile menționate la punctele 138.1 și 138.2 de mai sus trebuie să respecte cerințele de accesibilitate de la punctul 26 din anexa 5a, fără a aduce atingere reglementării făcute de organismul competent în această privință din Catalonia.</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Cerințele de accesibilitate a site-urilor și a aplicațiilor mobile prevăzute la prezentul articol se aplică cu condiția ca acestea să nu reprezinte o sarcină disproporționată pentru entitatea care trebuie să le aplice, în conformitate cu următoarele circumstanțe:</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Dimensiunile, resursele și natura entității respective.</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Costurile și beneficiile din partea entității și beneficiile estimate pentru utilizatori, ținând seama de frecvența și durata utilizării site-ului sau a aplicației respective.</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Efectele discriminatorii asupra persoanelor cu dizabilități în cazul în care site-ul sau aplicația nu este accesibilă și dacă există pe piață site-uri sau aplicații alternative care oferă aceleași funcționalități și condiții.</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Sectorul public sau entitatea publică care utilizează derogarea prevăzută la punctul 138.4 de mai sus trebuie să explice ce cerințe de accesibilitate nu au putut fi îndeplinite în declarația de accesibilitate a site-ului sau a aplicației și trebuie să ofere alternative accesibile în limita posibilităților.</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Paginile web și aplicațiile mobile trebuie să respecte condițiile de accesibilitate prevăzute la punctele anterioare înainte de termenele finale stabilite la punctul 2 din anexa 6b.</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Furnizorii de servicii și producătorii care furnizează echipamente IT și software pentru sectorul public catalan și pentru entitățile menționate la punctul 138.1 trebuie să includă elementele și caracteristicile suplimentare de accesibilitate, necesare pentru a permite accesul persoanelor cu dizabilități la conținutul digital.</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Rețelele de televiziune publice și private din Catalonia trebuie să elaboreze planuri de facilitare a accesului la conținutul lor pentru a face progresiv accesibile programele lor pentru persoanele cu dizabilități senzoriale și intelectuale.</w:t>
      </w:r>
      <w:r>
        <w:rPr>
          <w:sz w:val="22"/>
        </w:rPr>
        <w:t xml:space="preserve"> </w:t>
      </w:r>
      <w:r>
        <w:rPr>
          <w:sz w:val="22"/>
        </w:rPr>
        <w:t xml:space="preserve">Aceste planuri trebuie să permită atingerea următoarelor obiective în termen de maximum trei ani de la intrarea în vigoare a prezentului cod:</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Rețelele de televiziune publice:</w:t>
      </w:r>
      <w:r>
        <w:rPr>
          <w:sz w:val="22"/>
        </w:rPr>
        <w:t xml:space="preserve"> </w:t>
      </w:r>
      <w:r>
        <w:rPr>
          <w:sz w:val="22"/>
        </w:rPr>
        <w:t xml:space="preserve">Acestea trebuie să aibă 100 % din programe subtitrate și să ofere cel puțin 15 ore pe săptămână de conținut cu descriere audio și 10 ore pe săptămână în limbajul catalan al semnelor.</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Rețele de televiziune private:</w:t>
      </w:r>
      <w:r>
        <w:rPr>
          <w:sz w:val="22"/>
        </w:rPr>
        <w:t xml:space="preserve"> </w:t>
      </w:r>
      <w:r>
        <w:rPr>
          <w:sz w:val="22"/>
        </w:rPr>
        <w:t xml:space="preserve">Acestea trebuie să aibă 75 % din programe subtitrate și să ofere minimum 10 ore pe săptămână de conținut cu descriere audio și 7 ore pe săptămână în limbajul catalan al semnelor.</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Programele în llimbajul catalan al semnelor trebuie să includă programe de știri și programe pentru copii disponibile în oferta de vizionare înregistrată în prealabil, atunci când acest serviciu este disponibil.</w:t>
      </w:r>
      <w:r>
        <w:rPr>
          <w:sz w:val="22"/>
        </w:rPr>
        <w:t xml:space="preserve"> </w:t>
      </w:r>
      <w:r>
        <w:rPr>
          <w:sz w:val="22"/>
        </w:rPr>
        <w:t xml:space="preserve">Această programare trebuie să acopere fiecare zi a săptămânii.</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Societățile care distribuie opere cinematografice și audiovizuale trebuie să includă sisteme de subtitrare, descriere audio și navigare audio, de preferință în cazul filmelor străine și naționale care au cele mai bune rate de încasări sau care au fost premiate la nivel național sau internațional, pentru a le pune la dispoziție pe suport DVD sau în cadrul unor sisteme similare cu aceste caracteristici.</w:t>
      </w:r>
    </w:p>
    <w:p w14:paraId="0F3986EB" w14:textId="77777777" w:rsidR="003920DF" w:rsidRDefault="003920DF">
      <w:pPr>
        <w:rPr>
          <w:lang w:val="es-ES"/>
        </w:rPr>
      </w:pPr>
    </w:p>
    <w:p w14:paraId="44244122" w14:textId="3BAB5CCF" w:rsidR="00E526B5" w:rsidRDefault="00B670F2">
      <w:r>
        <w:rPr>
          <w:sz w:val="22"/>
        </w:rPr>
        <w:t xml:space="preserve">CAPITOLUL 11:</w:t>
      </w:r>
      <w:r>
        <w:rPr>
          <w:sz w:val="22"/>
        </w:rPr>
        <w:t xml:space="preserve"> </w:t>
      </w:r>
      <w:r>
        <w:rPr>
          <w:sz w:val="22"/>
        </w:rPr>
        <w:t xml:space="preserve">Insigna de calitate pentru accesibilitate</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Consultarea publică a unităților, a clădirilor și a entităților publice care au insigna de calitate trebuie să fie posibilă cel puțin prin intermediul internetului, fără a aduce atingere altor mijloace care pot fi considerate adecvate.</w:t>
      </w:r>
    </w:p>
    <w:p w14:paraId="6CBE5DDA" w14:textId="77777777" w:rsidR="00E526B5" w:rsidRDefault="00E526B5">
      <w:pPr>
        <w:rPr>
          <w:lang w:val="es-ES"/>
        </w:rPr>
      </w:pPr>
    </w:p>
    <w:p w14:paraId="3BFAD248" w14:textId="66A7955A" w:rsidR="00E526B5" w:rsidRDefault="00CF1E0D">
      <w:r>
        <w:rPr>
          <w:sz w:val="22"/>
        </w:rPr>
        <w:t xml:space="preserve">Anexa 5a:</w:t>
      </w:r>
      <w:r>
        <w:rPr>
          <w:sz w:val="22"/>
        </w:rPr>
        <w:t xml:space="preserve"> </w:t>
      </w:r>
      <w:r>
        <w:rPr>
          <w:sz w:val="22"/>
        </w:rPr>
        <w:t xml:space="preserve">Standardele de accesibilitate a produselor</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Pagini web accesibile</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Orientările care trebuie urmate în proiectarea și crearea unei pagini web și condițiile pentru ca aceasta să fie accesibilă sunt următoarele:</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configurați conținutul astfel încât acesta să poată fi adaptat la diferite programe, dispozitive și produse de asistență fără a pierde informații sau a afecta structura;</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furnizați alternative textuale sau o identificare descriptivă pentru conținutul non-textual (imagini, grafică, conținut multimedia);</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includeți subtitrări și descrieri audio pentru conținutul multimedia atunci când este necesar pentru o înțelegere adecvată a mesajului;</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furnizați mecanisme care să facă posibilă reducerea sunetului și reglarea volumului audio;</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nu utilizați culoarea ca mijloc unic de transmitere a informațiilor, de indicare a unei acțiuni sau de distingere a unui element;</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Textul și imaginile trebuie să aibă un contrast suficient cu fundalul și o dimensiune care să permită citirea lor fără disconfort.</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Dimensiunea textului trebuie să poată fi ajustată direct din pagina respectivă, fără ajutorul unor produse de suport și fără a se pierde din conținut sau funcționalitate;</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asigurați accesul la toate funcționalitățile paginii prin intermediul tastaturii, cu o soluție care să nu intre în conflict cu cititoarele de ecran și cu lupele;</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permiteți utilizatorului să controleze informațiile sau obiectele care sunt mutate sau actualizate automat, putând să le oprească, să le ascundă sau să controleze frecvența;</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facilitați navigarea prin structurarea conținutului într-o ordine coerentă și prin furnizarea unor mecanisme clare de navigare;</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includeți informații de orientare pentru a ajuta utilizatorii să înțeleagă elementele complexe și furnizați mecanisme de detectare și prevenire a erorilor de introducere a datelor de către utilizatori;</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identificați limba utilizată în fiecare paragraf sau document al site-ului, astfel încât cititoarele de ecran și sintetizatoarele vocale să poată detecta și schimba automat limba;</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folosiți un limbaj clar și ușor de înțeles pentru a face conținutul ușor de înțeles și includeți definiția celor mai neobișnuite cuvinte și semnificația siglelor și abrevierilor;</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creșteți nivelul de compatibilitate cu aplicațiile, software-ul și dispozitivele pe care le pot avea utilizatorii, inclusiv cu produsele de asistență;</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asigurați-vă că documentele publicate pe internet sunt, de asemenea, accesibile și lizibile pentru cititoarele de ecran;</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furnizați canale de comunicare accesibile, altele decât telefonul, prin e-mail, SMS sau formulare, cu un timp de procesare care să nu fie discriminatoriu în comparație cu cel al unui apel telefonic;</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îndepliniți criteriile în conformitate cu liniile directoare WCAG 2.1 la unul dintre nivelurile sale, cu condițiile stabilite de standardul UNE 139803:2012 sau de cel care îl înlocuiește, cu excepția situațiilor în care prezentul cod impune un nivel superior.</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Aplicații accesibile</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Aplicațiile accesibile pe mobil trebuie să respecte condițiile stabilite în standardul UNE 139803:2012 sau cel care îl înlocuiește și să respecte următoarele criterii generale:</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toate mesajele, sistemele de ajutor și textele trebuie să fie redactate într-un limbaj clar și simplu;</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textul trebuie să fie inteligibil, cu o dimensiune și un font care să faciliteze citirea;</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contrastul de culoare al elementelor cu fundalul trebuie să fie suficient;</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comenzile, obiectele, pictogramele și imaginile trebuie să fie ușor de identificat, ușor de utilizat și trebuie să aibă asociat un text alternativ care să indice funcția sau semnificația acestora;</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sunetele de avertizare trebuie să aibă alternative vizuale sau să emită vibrații;</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procesul de accesare a serviciului trebuie să fie ușor și rapid;</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aplicația trebuie să fie compatibilă cu produsele de asistență, cum ar fi cititoarele de ecran, lupele și comenzile vocale.</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aplicația trebuie să fie compatibilă cu instrumentele de accesibilitate ale sistemului de operare.</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Anexa 6b:</w:t>
      </w:r>
      <w:r>
        <w:rPr>
          <w:sz w:val="22"/>
        </w:rPr>
        <w:t xml:space="preserve"> </w:t>
      </w:r>
      <w:r>
        <w:rPr>
          <w:sz w:val="22"/>
        </w:rPr>
        <w:t xml:space="preserve">Termene pentru adaptarea serviciilor existente la condițiile stabilite</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Compatibilitatea cu alte condiții impuse</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Condițiile din prezenta anexă 6b nu aduc atingere obligației de a respecta, înainte de termenele indicate, condițiile de accesibilitate necesare în cazul modificării elementelor sau resurselor existente.</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Sectorul public catalan, societățile de drept public și entitățile prestatoare de servicii publice din Catalonia</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Se stabilesc următoarele termene finale pentru ca site-urile și aplicațiile mobile ale sectorului public catalan, ale corporațiilor de drept public și ale entităților sau societăților care furnizează servicii publice prin concesiune sau pe bază de contract cu administrația publică să fie accesibile și să îndeplinească condițiile indicate la articolul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un an de la intrarea în vigoare a prezentului cod:</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Site-urile sectorului public catalan și ale societăților de drept public.</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doi ani de la intrarea în vigoare a prezentului cod:</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aplicațiile pentru dispozitive mobile din sectorul public catalan și din societățile de drept public.</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trei ani de la intrarea în vigoare a prezentului cod:</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Site-urile și aplicațiile pentru dispozitive mobile ale entităților sau societăților care furnizează servicii publice prin concesiune sau pe bază de contract cu administrația publică.</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Termenele indicate sunt stabilite fără a aduce atingere respectării celor mai exigente termene care sunt impuse de caracteristicile serviciului în conformitate cu restul alineatelor din prezenta anexă sau de alte norme care îl reglementează.</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Servicii legate de artele spectacolului, cinematografe și evenimente sportive</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Se stabilesc următoarele termene finale pentru ca site-urile instituțiilor și canalele electronice de vânzare a biletelor să fie accesibile și să îndeplinească condițiile prevăzute la articolul 133:</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doi ani de la intrarea în vigoare a prezentului cod:</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site-urile și aplicațiile mobile ale unităților care au o capacitate egală sau mai mare de 2 000 de locuri în întreaga suprafață;</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site-urile și aplicațiile mobile ale platformelor de vânzare online de bilete care gestionează mai multe unități cu o capacitate combinată egală sau mai mare de 2 000 de locuri.</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trei ani de la intrarea în vigoare a prezentului cod:</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site-urile și aplicațiile mobile ale platformelor online de emitere a biletelor care gestionează mai mult de o unitate cu o capacitate combinată mai mică de 2 000 de locuri;</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ani ani de la intrarea în vigoare a prezentului cod:</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site-urile web și aplicațiile mobile ale unităților cu o capacitate mai mică de 2 000 de locuri în întreaga zonă.</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Servicii comerciale</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Următoarele termene finale sunt stabilite pentru ca site-urile și aplicațiile mobile care oferă posibilitatea de a face cumpărături online și cele ale lanțurilor de supermarketuri, precum și ale societăților cu unități de alimentație publică sau mixte, să fie accesibile și să îndeplinească condițiile prevăzute la articolul 126:</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doi ani de la intrarea în vigoare a prezentului cod:</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site-urile și aplicațiile, pentru dispozitive mobile, ale lanțurilor de supermarketuri care au 10 sau mai multe unități și spații cu o suprafață utilă de peste 500 m² pentru uz public.</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trei ani de la intrarea în vigoare a prezentului cod:</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site-urile și aplicațiile, pentru dispozitive mobile, ale lanțurilor de supermarketuri care au între 5 și 9 unități și spații cu o suprafață utilă de peste 500 m² pentru uz public.</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ani ani de la intrarea în vigoare a prezentului cod:</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site-urile și aplicațiile, pentru dispozitive mobile, ale lanțurilor de supermarketuri și ale unităților de alimentație publică sau mixte care au spații cu o suprafață utilă mai mare de 500 m² pentru uz public.</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Servicii financiare și de asigurări</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Următoarele termene finale sunt stabilite pentru ca site-urile și aplicațiile, pentru dispozitive mobile, care permit efectuarea de operațiuni bancare, contractarea, consultarea consiliilor medicale sau orice alt tip de gestionare sau consultare cu privire la produsele contractate cu entitatea să fie accesibile și să îndeplinească condițiile indicate la articolul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un an de la intrarea în vigoare a prezentului cod:</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Site-urile</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doi ani de la intrarea în vigoare a prezentului cod:</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aplicații pentru dispozitive mobile;</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servicii legate de transportul privat</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Următoarele termene finale sunt stabilite astfel încât întreprinderile care oferă un serviciu de închiriere de mașini autonome, cu o flotă de peste 100 de vehicule, și cele care oferă un serviciu de închiriere de mașini cu șofer, cu o flotă de peste 50 de vehicule, să poată respecta condițiile prevăzute la articolul 128:</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un an de la intrarea în vigoare a prezentului cod:</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Acestea trebuie să dispună de o ofertă de vehicule capabile să transporte persoane care nu sunt șoferi în scaune cu rotile care să fie egală sau mai mare de 1 % din parcul auto pe care îl gestionează.</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Trebuie să dispună de o ofertă de vehicule adaptate, destinate conducătorilor auto cu mobilitate redusă, egală sau mai mare de 0,5 % din parcul auto pe care îl gestionează.</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Prestarea de servicii indicată la punctele anterioare poate fi asigurată prin intermediul vehiculelor proprii sau prin acorduri cu alți operatori care garantează o disponibilitate suficientă.</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trei ani de la intrarea în vigoare a prezentului cod:</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Cel puțin 0,5 % din vehiculele din flota proprie trebuie să aibă capacitatea de a transporta persoane care nu sunt șoferi în scaune cu rotile.</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6 ani de la intrarea în vigoare a prezentului cod:</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Cel puțin 2 % din vehiculele din flota proprie trebuie să aibă capacitatea de a transporta persoane care nu sunt șoferi în scaune cu rotile.</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Cel puțin 0,5 % din vehiculele din flota proprie trebuie să fie adaptate pentru șoferii cu mobilitate redusă.</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Servicii legate de unitățile de cazare turistică</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Următoarele termene finale sunt stabilite pentru ca site-urile și aplicațiile mobile ale lanțurilor hoteliere și ale unităților cu o capacitate mai mare de 100 de camere, care permit rezervarea de unități de cazare și servicii online, să fie accesibile și să îndeplinească condițiile indicate la articolul 130:</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doi ani de la intrarea în vigoare a prezentului cod:</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site-urile și aplicațiile mobile ale lanțurilor hoteliere care au cinci sau mai multe unități și o ofertă comună de peste 500 de camere.</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trei ani de la intrarea în vigoare a prezentului cod:</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site-urile și aplicațiile mobile ale lanțurilor hoteliere care au până la patru unități și o ofertă comună de peste 500 de camere;</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site-urile și aplicațiile mobile ale unităților care au 500 sau mai multe camere.</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ani ani de la intrarea în vigoare a prezentului cod:</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site-urile și aplicațiile mobile ale lanțurilor hoteliere care au o ofertă comună între 100 și 500 de camere;</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site-urile și aplicațiile pentru dispozitive mobile ale unităților care au între 50 și 500 de camere.</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Servicii educaționale</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Următoarele termene finale sunt stabilite astfel încât site-urile și aplicațiile mobile ale unităților de învățământ care oferă educație formală să poată fi accesibile și să îndeplinească condițiile prevăzute la articolul 135:</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doi ani de la intrarea în vigoare a prezentului cod:</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pagini web și aplicații pentru dispozitive mobile care permit căutarea dosarelor academice, gestionarea facturilor sau alte procese online.</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trei ani de la intrarea în vigoare a prezentului cod:</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pagini web și aplicații pentru dispozitive mobile care oferă informații despre școală, facilități și oferte educaționale.</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Servicii de sănătate</w:t>
      </w:r>
    </w:p>
    <w:p w14:paraId="62E28D59" w14:textId="77777777" w:rsidR="00E526B5" w:rsidRPr="000F0A63" w:rsidRDefault="00E526B5" w:rsidP="00E526B5">
      <w:pPr>
        <w:tabs>
          <w:tab w:val="left" w:pos="284"/>
        </w:tabs>
        <w:jc w:val="both"/>
        <w:rPr>
          <w:bCs/>
          <w:sz w:val="22"/>
          <w:szCs w:val="22"/>
          <w:rFonts w:cs="Arial"/>
        </w:rPr>
      </w:pPr>
      <w:r>
        <w:rPr>
          <w:sz w:val="22"/>
        </w:rPr>
        <w:t xml:space="preserve">Centrele de sănătate cu un număr de paturi egal sau mai mare de 50 trebuie să respecte următoarele termene și condiții:</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trei ani de la intrarea în vigoare a prezentului cod:</w:t>
      </w:r>
    </w:p>
    <w:p w14:paraId="727C4E74" w14:textId="77777777" w:rsidR="00E526B5" w:rsidRPr="000F0A63" w:rsidRDefault="00E526B5" w:rsidP="00E526B5">
      <w:pPr>
        <w:tabs>
          <w:tab w:val="left" w:pos="284"/>
        </w:tabs>
        <w:jc w:val="both"/>
        <w:rPr>
          <w:sz w:val="22"/>
          <w:szCs w:val="22"/>
          <w:rFonts w:cs="Arial"/>
        </w:rPr>
      </w:pPr>
      <w:r>
        <w:rPr>
          <w:sz w:val="22"/>
        </w:rPr>
        <w:t xml:space="preserve">să dispună de infrastructură, dispozitive mobile și protocoale pentru deservirea persoanelor surde prin intermediul limbajului catalan al semnelor prin intermediul tehnologiei de interpretare la distanță, cu o capacitate de cel puțin 2 % din paturi.</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