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F774" w14:textId="7DEFCC7F" w:rsidR="00E526B5" w:rsidRDefault="00B670F2" w:rsidP="00CC0ADF">
      <w:pPr>
        <w:ind w:left="709" w:hanging="720"/>
        <w:jc w:val="both"/>
        <w:outlineLvl w:val="3"/>
      </w:pPr>
      <w:r>
        <w:rPr>
          <w:sz w:val="22"/>
        </w:rPr>
        <w:t xml:space="preserve">KAPITOLA 4:</w:t>
      </w:r>
      <w:r>
        <w:rPr>
          <w:sz w:val="22"/>
        </w:rPr>
        <w:t xml:space="preserve"> </w:t>
      </w:r>
      <w:r>
        <w:rPr>
          <w:sz w:val="22"/>
        </w:rPr>
        <w:t xml:space="preserve">Prístupnosť v dopravných prostriedkoch</w:t>
      </w:r>
    </w:p>
    <w:p w14:paraId="456422CC" w14:textId="551AF3E3" w:rsidR="00CC0ADF" w:rsidRPr="00CC0ADF" w:rsidRDefault="00CC0ADF" w:rsidP="000F4434">
      <w:pPr>
        <w:pStyle w:val="ListParagraph"/>
        <w:numPr>
          <w:ilvl w:val="1"/>
          <w:numId w:val="2"/>
        </w:numPr>
        <w:ind w:left="709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Pri telefonickej ponuke taxislužby musí táto služba rozširovať možnosti vyžiadania pomocou nových technológií, aplikácií, internetu, textových správ, faxov alebo iných podobných prostriedkov tak, aby o službu mohli nezávisle požiadať všetci používatelia vrátane používateľov so sluchovým postihnutím.</w:t>
      </w:r>
    </w:p>
    <w:p w14:paraId="2D97C4D3" w14:textId="77777777" w:rsidR="00CC0ADF" w:rsidRPr="000F0A63" w:rsidRDefault="00CC0ADF" w:rsidP="000F4434">
      <w:pPr>
        <w:pStyle w:val="ListParagraph"/>
        <w:numPr>
          <w:ilvl w:val="1"/>
          <w:numId w:val="2"/>
        </w:numPr>
        <w:ind w:left="709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Ak má služba webové sídlo pre „taxi na vyžiadanie“, musí byť prístupná aspoň na úrovni AA podľa usmernení WCAG 2.1.</w:t>
      </w:r>
      <w:r>
        <w:rPr>
          <w:sz w:val="22"/>
        </w:rPr>
        <w:t xml:space="preserve"> </w:t>
      </w:r>
    </w:p>
    <w:p w14:paraId="4AEFA1EE" w14:textId="2FEB6DE3" w:rsidR="00CC0ADF" w:rsidRDefault="00CC0ADF" w:rsidP="000F4434">
      <w:pPr>
        <w:pStyle w:val="ListParagraph"/>
        <w:numPr>
          <w:ilvl w:val="1"/>
          <w:numId w:val="3"/>
        </w:numPr>
        <w:ind w:left="709" w:hanging="709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Prenájom taxíka, ktorý je prístupný pre osoby so zníženou pohyblivosťou, prostredníctvom telefónu, internetu alebo mobilnej aplikácie, nemôže podliehať žiadnemu príplatku za predpokladaný dopyt.</w:t>
      </w:r>
      <w:r>
        <w:rPr>
          <w:sz w:val="22"/>
        </w:rPr>
        <w:t xml:space="preserve"> </w:t>
      </w:r>
      <w:r>
        <w:rPr>
          <w:sz w:val="22"/>
        </w:rPr>
        <w:t xml:space="preserve">Preukaz preukazujúci zdravotné postihnutie slúži ako doklad v prípade požiadania o tento príplatok.</w:t>
      </w:r>
    </w:p>
    <w:p w14:paraId="3615AB3D" w14:textId="77777777" w:rsidR="00E526B5" w:rsidRPr="00CC0ADF" w:rsidRDefault="00E526B5" w:rsidP="00E526B5">
      <w:pPr>
        <w:pStyle w:val="ListParagraph"/>
        <w:ind w:left="709"/>
        <w:jc w:val="both"/>
        <w:outlineLvl w:val="3"/>
        <w:rPr>
          <w:rFonts w:cs="Arial"/>
          <w:bCs/>
          <w:sz w:val="22"/>
          <w:szCs w:val="22"/>
          <w:lang w:val="es-ES"/>
        </w:rPr>
      </w:pPr>
    </w:p>
    <w:p w14:paraId="7A0F7A5F" w14:textId="6B83C219" w:rsidR="000B6FCF" w:rsidRDefault="00B670F2">
      <w:r>
        <w:rPr>
          <w:sz w:val="22"/>
        </w:rPr>
        <w:t xml:space="preserve">KAPITOLA 5:</w:t>
      </w:r>
      <w:r>
        <w:rPr>
          <w:sz w:val="22"/>
        </w:rPr>
        <w:t xml:space="preserve"> </w:t>
      </w:r>
      <w:r>
        <w:rPr>
          <w:sz w:val="22"/>
        </w:rPr>
        <w:t xml:space="preserve">Prístupnosť vo výrobkoch</w:t>
      </w:r>
    </w:p>
    <w:p w14:paraId="183BC7CF" w14:textId="76471CF5" w:rsidR="00CC0ADF" w:rsidRPr="000F0A63" w:rsidRDefault="00CC0ADF" w:rsidP="00CC0ADF">
      <w:pPr>
        <w:keepNext/>
        <w:jc w:val="both"/>
        <w:outlineLvl w:val="2"/>
        <w:rPr>
          <w:bCs/>
          <w:sz w:val="22"/>
          <w:szCs w:val="22"/>
          <w:rFonts w:cs="Arial"/>
        </w:rPr>
      </w:pPr>
      <w:bookmarkStart w:id="0" w:name="_Ref447791242"/>
      <w:r>
        <w:rPr>
          <w:sz w:val="22"/>
        </w:rPr>
        <w:t xml:space="preserve">Článok 116.</w:t>
      </w:r>
      <w:r>
        <w:rPr>
          <w:sz w:val="22"/>
        </w:rPr>
        <w:tab/>
      </w:r>
      <w:r>
        <w:rPr>
          <w:sz w:val="22"/>
        </w:rPr>
        <w:t xml:space="preserve">Spotrebné výrobky</w:t>
      </w:r>
      <w:bookmarkEnd w:id="0"/>
      <w:r>
        <w:rPr>
          <w:sz w:val="22"/>
        </w:rPr>
        <w:t xml:space="preserve"> </w:t>
      </w:r>
    </w:p>
    <w:p w14:paraId="486D059F" w14:textId="75EDE98D" w:rsidR="00CC0ADF" w:rsidRPr="00CC0ADF" w:rsidRDefault="00CC0ADF" w:rsidP="000F4434">
      <w:pPr>
        <w:pStyle w:val="ListParagraph"/>
        <w:numPr>
          <w:ilvl w:val="1"/>
          <w:numId w:val="8"/>
        </w:numPr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Výrobok sa považuje za prístupný, ak spĺňa nasledujúce podmienky:</w:t>
      </w:r>
    </w:p>
    <w:p w14:paraId="197D9229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Má prístupné označenie zodpovedajúce jeho vlastnostiam, ktoré umožňuje jeho identifikáciu, s názvom a najdôležitejšími informáciami.</w:t>
      </w:r>
    </w:p>
    <w:p w14:paraId="015CE9DE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Jeho konštrukcia sa riadi univerzálnymi konštrukčnými kritériami s vhodnými podmienkami používania a bezpečnostnými podmienkami pre každého používateľa.</w:t>
      </w:r>
    </w:p>
    <w:p w14:paraId="64849B40" w14:textId="77777777" w:rsidR="00CC0ADF" w:rsidRPr="000F0A63" w:rsidRDefault="00CC0ADF" w:rsidP="000F4434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Ďalšie informácie, pokyny alebo prospekty je možné získať prostredníctvom internetu, aplikácií zariadení a používania nových technológií, pričom prístupný obsah spĺňa podmienky uvedené v odsekoch 25 a 26 prílohy 5a.</w:t>
      </w:r>
    </w:p>
    <w:p w14:paraId="4E44C988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Spoločnosti, ktoré výrobok uvádzajú na trh, sú zodpovedné za zabezpečenie splnenia podmienok prístupnosti, ktoré sa naň vzťahujú.</w:t>
      </w:r>
    </w:p>
    <w:p w14:paraId="3FF43F32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Lieky a nebezpečné výrobky musia obsahovať dátové prvky a systémy tak, aby nevidiaci alebo hluchoslepí mali prístup k týmto informáciám:</w:t>
      </w:r>
      <w:r>
        <w:rPr>
          <w:sz w:val="22"/>
        </w:rPr>
        <w:t xml:space="preserve"> </w:t>
      </w:r>
    </w:p>
    <w:p w14:paraId="1829445F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Identifikácia názvu výrobku na obale pomocou Braillovho písma a ikonografie.</w:t>
      </w:r>
    </w:p>
    <w:p w14:paraId="0230B6E0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Dátum exspirácie na obale pomocou Braillovho písma a ikonografie alebo iných alternatívnych zdrojov, ktoré poskytujú rovnaké vlastnosti.</w:t>
      </w:r>
      <w:r>
        <w:rPr>
          <w:sz w:val="22"/>
        </w:rPr>
        <w:t xml:space="preserve"> </w:t>
      </w:r>
    </w:p>
    <w:p w14:paraId="21E451FE" w14:textId="77777777" w:rsidR="00CC0ADF" w:rsidRPr="000F0A63" w:rsidRDefault="00CC0ADF" w:rsidP="000F4434">
      <w:pPr>
        <w:numPr>
          <w:ilvl w:val="0"/>
          <w:numId w:val="5"/>
        </w:numPr>
        <w:tabs>
          <w:tab w:val="clear" w:pos="372"/>
          <w:tab w:val="left" w:pos="284"/>
          <w:tab w:val="num" w:pos="426"/>
        </w:tabs>
        <w:ind w:left="0" w:firstLine="0"/>
        <w:jc w:val="both"/>
        <w:rPr>
          <w:i/>
          <w:sz w:val="22"/>
          <w:szCs w:val="22"/>
          <w:rFonts w:cs="Arial"/>
        </w:rPr>
      </w:pPr>
      <w:r>
        <w:rPr>
          <w:sz w:val="22"/>
        </w:rPr>
        <w:t xml:space="preserve">Hlavné vlastnosti výrobku, ako je jeho zloženie a uchovávanie, okrem iného prostredníctvom zvukového vyhľadávania cez internet alebo inými prostriedkami, ktoré umožňujú nové technológie s rovnakou účinnosťou, na žiadosť združení osôb so zrakovým postihnutím.</w:t>
      </w:r>
      <w:r>
        <w:rPr>
          <w:sz w:val="22"/>
        </w:rPr>
        <w:t xml:space="preserve"> </w:t>
      </w:r>
    </w:p>
    <w:p w14:paraId="4F2A53F8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Reťazce supermarketov a spoločnosti s potravinárskymi alebo zmiešanými prevádzkarňami na všetkých miestach, kde majú priestory s úžitkovou plochou viac ako 250 m² na verejné použitie, musia na žiadosť nevidiacich alebo ich príbuzných zaručiť tieto podmienky:</w:t>
      </w:r>
    </w:p>
    <w:p w14:paraId="25E421A5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Aspoň jedna z prevádzkarní v danej lokalite vykonáva označovanie názvov a dátumov exspirácie v Braillovom písme na výrobkoch podliehajúcich skaze alebo výrobkoch, ktoré môžu byť predmetom zámeny, prostredníctvom tlačiarní alebo systémov umožňujúcich takéto označovanie v Braillovom písme v samotnej prevádzkarni.</w:t>
      </w:r>
    </w:p>
    <w:p w14:paraId="3BEB7488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Výrobky predávané online a dodávané do domácností majú byť tiež označené Braillovým písmom, ako sa uvádza v predchádzajúcom bode.</w:t>
      </w:r>
    </w:p>
    <w:p w14:paraId="52E26B15" w14:textId="77777777" w:rsidR="00CC0ADF" w:rsidRPr="000F0A63" w:rsidRDefault="00CC0ADF" w:rsidP="000F4434">
      <w:pPr>
        <w:numPr>
          <w:ilvl w:val="0"/>
          <w:numId w:val="7"/>
        </w:numPr>
        <w:tabs>
          <w:tab w:val="clear" w:pos="372"/>
          <w:tab w:val="left" w:pos="284"/>
          <w:tab w:val="num" w:pos="426"/>
          <w:tab w:val="num" w:pos="1006"/>
          <w:tab w:val="num" w:pos="1290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Komerčné šírenie vykonávané prostredníctvom internetu alebo inými prostriedkami informuje v prístupnom formáte o tom, ktoré priestory ponúkajú možnosť označovania výrobkov v Braillovom písme.</w:t>
      </w:r>
    </w:p>
    <w:p w14:paraId="5332F120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 obciach s viac ako 50 000 obyvateľmi sa každá štvrť považuje za inú územnú oblasť a na účely uplatňovania predchádzajúceho odseku sa považuje za lokalitu.</w:t>
      </w:r>
      <w:r>
        <w:rPr>
          <w:sz w:val="22"/>
        </w:rPr>
        <w:t xml:space="preserve"> </w:t>
      </w:r>
    </w:p>
    <w:p w14:paraId="64593310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Správa Generalitat musí postupne vypracovať technické pokyny, ktoré budú zahŕňať nový technologický pokrok, a určiť špecifikácie, termíny, vlastnosti a kritériá prístupného označenia, ako aj univerzálne usmernenia týkajúce sa dizajnu, ktoré sa vzťahujú na výrobky v rôznych obchodných odvetviach.</w:t>
      </w:r>
      <w:r>
        <w:rPr>
          <w:sz w:val="22"/>
        </w:rPr>
        <w:t xml:space="preserve"> </w:t>
      </w:r>
    </w:p>
    <w:p w14:paraId="4D08CFDE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Zrakovo postihnutí a hluchoslepí spotrebitelia majú právo na prístup k rovnakým informáciám o výrobku, ktoré majú všetci spotrebitelia a používatelia na ich označení, a to nezávisle, bežne, jednoducho, okamžite a za rovnakých podmienok.</w:t>
      </w:r>
      <w:r>
        <w:rPr>
          <w:sz w:val="22"/>
        </w:rPr>
        <w:t xml:space="preserve"> </w:t>
      </w:r>
      <w:r>
        <w:rPr>
          <w:sz w:val="22"/>
        </w:rPr>
        <w:t xml:space="preserve">Na tento účel musí prístupné označenie spĺňať tieto podmienky:</w:t>
      </w:r>
    </w:p>
    <w:p w14:paraId="661B566E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Musí poskytovať čo najviac informácií a poskytovať spotrebiteľom so zdravotným postihnutím rovnaké podmienky ako pre ostatných spotrebiteľov.</w:t>
      </w:r>
    </w:p>
    <w:p w14:paraId="41CFB18C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Musí umožniť získanie informácií nezávisle, rýchlo, pohodlne, priamo a štandardizovaným spôsobom bez toho, aby sa vyžadovali veľké technické znalosti alebo použitie technologických prostriedkov.</w:t>
      </w:r>
    </w:p>
    <w:p w14:paraId="57DB1DCD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Nemôže predstavovať dodatočné náklady pre spotrebiteľov so zdravotným postihnutím.</w:t>
      </w:r>
    </w:p>
    <w:p w14:paraId="0C13286D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Nemusí znamenať neúmerné finančné náklady pre spoločnosti.</w:t>
      </w:r>
    </w:p>
    <w:p w14:paraId="5602A71A" w14:textId="77777777" w:rsidR="00CC0ADF" w:rsidRPr="000F0A63" w:rsidRDefault="00CC0ADF" w:rsidP="000F4434">
      <w:pPr>
        <w:numPr>
          <w:ilvl w:val="0"/>
          <w:numId w:val="6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Spoločnosti podliehajúce povinnosti, ktoré ponúkajú služby elektronického predaja, musia na príslušnom webovom sídle uviesť možnosť dodania takto zakúpených výrobkov s prístupným označením.</w:t>
      </w:r>
    </w:p>
    <w:p w14:paraId="3ED1718E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Systém spotrebiteľského rozhodcovského konania a jeho postupy a procesy musia byť prístupné osobám so zdravotným postihnutím.</w:t>
      </w:r>
    </w:p>
    <w:p w14:paraId="03FE17A7" w14:textId="77777777" w:rsidR="00CC0ADF" w:rsidRPr="000F0A63" w:rsidRDefault="00CC0ADF" w:rsidP="000F4434">
      <w:pPr>
        <w:pStyle w:val="ListParagraph"/>
        <w:numPr>
          <w:ilvl w:val="1"/>
          <w:numId w:val="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Verejné a súkromné úrady poskytujúce služby pre spotrebiteľov musia prijať opatrenia na uľahčenie prístupnosti komunikácie pre nepočujúcich, ktorí komunikujú v posunkovom jazyku a ústne, s dostatočnými podpornými prostriedkami.</w:t>
      </w:r>
      <w:r>
        <w:rPr>
          <w:sz w:val="22"/>
        </w:rPr>
        <w:t xml:space="preserve"> </w:t>
      </w:r>
      <w:r>
        <w:rPr>
          <w:sz w:val="22"/>
        </w:rPr>
        <w:t xml:space="preserve">Okrem toho musia mať nainštalovanú indukčnú slučku na 20 % pultov zákazníckych služieb a ich personál musí byť pripravený poskytovať informácie osobám so zdravotným postihnutím akéhokoľvek druhu, a to najneskôr do 3 rokov od nadobudnutia účinnosti tohto kódexu.</w:t>
      </w:r>
    </w:p>
    <w:p w14:paraId="178D066A" w14:textId="77777777" w:rsidR="00CC0ADF" w:rsidRDefault="00CC0ADF">
      <w:pPr>
        <w:rPr>
          <w:lang w:val="es-ES"/>
        </w:rPr>
      </w:pPr>
    </w:p>
    <w:p w14:paraId="3EF53236" w14:textId="476D7F11" w:rsidR="00E526B5" w:rsidRDefault="00B670F2">
      <w:r>
        <w:rPr>
          <w:sz w:val="22"/>
        </w:rPr>
        <w:t xml:space="preserve">KAPITOLA 6:</w:t>
      </w:r>
      <w:r>
        <w:rPr>
          <w:sz w:val="22"/>
        </w:rPr>
        <w:t xml:space="preserve"> </w:t>
      </w:r>
      <w:r>
        <w:rPr>
          <w:sz w:val="22"/>
        </w:rPr>
        <w:t xml:space="preserve">Prístupnosť v službách</w:t>
      </w:r>
    </w:p>
    <w:p w14:paraId="7DEC37FB" w14:textId="27CCD605" w:rsidR="00CC0ADF" w:rsidRPr="00CC0ADF" w:rsidRDefault="00CC0ADF" w:rsidP="000F4434">
      <w:pPr>
        <w:pStyle w:val="ListParagraph"/>
        <w:numPr>
          <w:ilvl w:val="1"/>
          <w:numId w:val="9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Verejné služby, ktoré majú webové sídla prístupné pre verejnosť, musia poskytovať informácie o prístupnosti týchto služieb a o ich závislých položkách, zariadeniach a postupoch.</w:t>
      </w:r>
    </w:p>
    <w:p w14:paraId="6A2C95FC" w14:textId="77777777" w:rsidR="00CC0ADF" w:rsidRPr="000F0A63" w:rsidRDefault="00CC0ADF" w:rsidP="000F4434">
      <w:pPr>
        <w:pStyle w:val="ListParagraph"/>
        <w:numPr>
          <w:ilvl w:val="1"/>
          <w:numId w:val="9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sídla, aplikácie pre mobilné zariadenia a iné produkty a služby informačných a komunikačných technológií ponúkané verejnými službami musia byť v súlade s podmienkami stanovenými v prílohe 5a k tomuto kódexu a s normou UNE-EN 301549:2022 alebo normou, ktorá ju nahrádza, v súlade so smernicou Európskeho parlamentu a Rady (EÚ) 2016/2102 a transpozíciou vykonanou kráľovským dekrétom 112/2018 zo 7. septembra 2018 o prístupnosti webových sídel a aplikácií pre mobilné zariadenia vo verejnom sektore bez toho, aby bolo dotknuté nariadenie vydané príslušným orgánom v tejto veci v Katalánsku.</w:t>
      </w:r>
      <w:r>
        <w:rPr>
          <w:sz w:val="22"/>
        </w:rPr>
        <w:t xml:space="preserve"> </w:t>
      </w:r>
    </w:p>
    <w:p w14:paraId="452D824A" w14:textId="77777777" w:rsidR="00CC0ADF" w:rsidRDefault="00CC0ADF">
      <w:pPr>
        <w:rPr>
          <w:lang w:val="es-ES"/>
        </w:rPr>
      </w:pPr>
    </w:p>
    <w:p w14:paraId="0F5A1CE0" w14:textId="332F976A" w:rsidR="003920DF" w:rsidRPr="003920DF" w:rsidRDefault="003920DF" w:rsidP="000F4434">
      <w:pPr>
        <w:pStyle w:val="ListParagraph"/>
        <w:numPr>
          <w:ilvl w:val="1"/>
          <w:numId w:val="11"/>
        </w:numPr>
        <w:ind w:left="0" w:firstLine="0"/>
        <w:jc w:val="both"/>
        <w:outlineLvl w:val="3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reťazcov supermarketov a potravinárskych alebo zmiešaných prevádzkarní s úžitkovou plochou na verejné použitie viac ako 500 m², ktoré ponúkajú možnosť nákupu online a prevzatia produktov prostredníctvom dodávky do domu, musia byť prístupné v súlade s podmienkami uvedenými v odsekoch 25 a 26 prílohy 5a a musia dosahovať úroveň súladu, čo sa týka prístupnosti, aspoň dve A (AA) v súlade s usmerneniami WCAG 2.1 v týchto situáciách:</w:t>
      </w:r>
    </w:p>
    <w:p w14:paraId="0F1270C7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ak ide o novovytvorené webové sídla alebo aplikácie;</w:t>
      </w:r>
      <w:r>
        <w:rPr>
          <w:sz w:val="22"/>
        </w:rPr>
        <w:t xml:space="preserve"> </w:t>
      </w:r>
    </w:p>
    <w:p w14:paraId="517D4CFF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pri zmene existujúcich webových sídel alebo aplikácií;</w:t>
      </w:r>
    </w:p>
    <w:p w14:paraId="4EFFB026" w14:textId="77777777" w:rsidR="003920DF" w:rsidRPr="000F0A63" w:rsidRDefault="003920DF" w:rsidP="000F4434">
      <w:pPr>
        <w:numPr>
          <w:ilvl w:val="0"/>
          <w:numId w:val="10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ak sú splnené termíny stanovené v odseku 4 prílohy 6b na úpravu existujúcich webových sídel a aplikácií.</w:t>
      </w:r>
    </w:p>
    <w:p w14:paraId="5888B379" w14:textId="77777777" w:rsidR="003920DF" w:rsidRDefault="003920DF">
      <w:pPr>
        <w:rPr>
          <w:lang w:val="es-ES"/>
        </w:rPr>
      </w:pPr>
    </w:p>
    <w:p w14:paraId="2D93A064" w14:textId="707F6457" w:rsidR="003920DF" w:rsidRPr="003920DF" w:rsidRDefault="003920DF" w:rsidP="000F4434">
      <w:pPr>
        <w:pStyle w:val="ListParagraph"/>
        <w:numPr>
          <w:ilvl w:val="1"/>
          <w:numId w:val="1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zariadenia, ktoré umožňujú bankové operácie, uzatváranie zmlúv alebo akýkoľvek iný typ správy alebo konzultácie, pokiaľ ide o produkty zmluvne dohodnuté vo fyzickej kancelárii, musia byť prístupné v súlade s podmienkami uvedenými v odsekoch 25 a 26 prílohy 5a a musia dosahovať úroveň súladu, čo sa týka prístupnosti, aspoň dve A (AA) v súlade s usmerneniami WCAG 2.1 v týchto situáciách:</w:t>
      </w:r>
    </w:p>
    <w:p w14:paraId="137CE6E3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ide o novovytvorené webové sídla alebo aplikácie;</w:t>
      </w:r>
      <w:r>
        <w:rPr>
          <w:sz w:val="22"/>
        </w:rPr>
        <w:t xml:space="preserve"> </w:t>
      </w:r>
    </w:p>
    <w:p w14:paraId="39B23BAD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pri zmene existujúcich webových sídel alebo aplikácií;</w:t>
      </w:r>
    </w:p>
    <w:p w14:paraId="05A831F2" w14:textId="77777777" w:rsidR="003920DF" w:rsidRPr="000F0A63" w:rsidRDefault="003920DF" w:rsidP="000F4434">
      <w:pPr>
        <w:numPr>
          <w:ilvl w:val="0"/>
          <w:numId w:val="12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sú splnené termíny stanovené v odseku 5 prílohy 6b na úpravu existujúcich webových sídel a aplikácií.</w:t>
      </w:r>
    </w:p>
    <w:p w14:paraId="23C18109" w14:textId="77777777" w:rsidR="003920DF" w:rsidRDefault="003920DF">
      <w:pPr>
        <w:rPr>
          <w:lang w:val="es-ES"/>
        </w:rPr>
      </w:pPr>
    </w:p>
    <w:p w14:paraId="202F2283" w14:textId="6CDFB804" w:rsidR="003920DF" w:rsidRPr="003920DF" w:rsidRDefault="003920DF" w:rsidP="000F4434">
      <w:pPr>
        <w:pStyle w:val="ListParagraph"/>
        <w:numPr>
          <w:ilvl w:val="1"/>
          <w:numId w:val="15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mobilné aplikácie hotelových reťazcov a zariadení s kapacitou viac ako 100 miest, ktoré umožňujú online rezerváciu ubytovania a služieb, musia byť prístupné v súlade s podmienkami uvedenými v odsekoch 25 a 26 prílohy 5a a musia dosahovať úroveň súladu, čo sa týka prístupnosti, aspoň dve A (AA) v súlade s usmerneniami WCAG 2.1 v týchto situáciách:</w:t>
      </w:r>
    </w:p>
    <w:p w14:paraId="4B4BC252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ide o novovytvorené webové sídla alebo aplikácie;</w:t>
      </w:r>
      <w:r>
        <w:rPr>
          <w:sz w:val="22"/>
        </w:rPr>
        <w:t xml:space="preserve"> </w:t>
      </w:r>
    </w:p>
    <w:p w14:paraId="346AAF9D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pri zmene existujúcich webových sídel alebo aplikácií;</w:t>
      </w:r>
    </w:p>
    <w:p w14:paraId="7BDFDC1E" w14:textId="77777777" w:rsidR="003920DF" w:rsidRPr="000F0A63" w:rsidRDefault="003920DF" w:rsidP="000F4434">
      <w:pPr>
        <w:numPr>
          <w:ilvl w:val="0"/>
          <w:numId w:val="14"/>
        </w:numPr>
        <w:tabs>
          <w:tab w:val="clear" w:pos="540"/>
          <w:tab w:val="num" w:pos="0"/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sú splnené termíny stanovené v odseku 7 prílohy 6b na úpravu existujúcich webových sídel a aplikácií.</w:t>
      </w:r>
    </w:p>
    <w:p w14:paraId="16B5C42E" w14:textId="77777777" w:rsidR="003920DF" w:rsidRDefault="003920DF">
      <w:pPr>
        <w:rPr>
          <w:lang w:val="es-ES"/>
        </w:rPr>
      </w:pPr>
    </w:p>
    <w:p w14:paraId="7EEF18CE" w14:textId="6C8336B5" w:rsidR="003920DF" w:rsidRPr="003920DF" w:rsidRDefault="003920DF" w:rsidP="000F4434">
      <w:pPr>
        <w:pStyle w:val="ListParagraph"/>
        <w:keepLines/>
        <w:numPr>
          <w:ilvl w:val="1"/>
          <w:numId w:val="17"/>
        </w:numPr>
        <w:ind w:left="0" w:firstLine="0"/>
        <w:jc w:val="both"/>
        <w:outlineLvl w:val="3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zariadení alebo združení zariadení musia byť prístupné v súlade s podmienkami uvedenými v odsekoch 25 a 26 prílohy 5a;</w:t>
      </w:r>
      <w:r>
        <w:rPr>
          <w:sz w:val="22"/>
        </w:rPr>
        <w:t xml:space="preserve"> </w:t>
      </w:r>
      <w:r>
        <w:rPr>
          <w:sz w:val="22"/>
        </w:rPr>
        <w:t xml:space="preserve">pričom musia dosahovať úroveň súladu, čo sa týka prístupnosti, aspoň dve A (AA) v súlade s usmerneniami WCAG 2.1 a poskytovať informácie uvedené v predchádzajúcich odsekoch v týchto situáciách:</w:t>
      </w:r>
    </w:p>
    <w:p w14:paraId="3597983D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ak ide o novovytvorené webové sídla alebo aplikácie;</w:t>
      </w:r>
      <w:r>
        <w:rPr>
          <w:sz w:val="22"/>
        </w:rPr>
        <w:t xml:space="preserve"> </w:t>
      </w:r>
    </w:p>
    <w:p w14:paraId="13B82A50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pri zmene existujúcich webových sídel alebo aplikácií;</w:t>
      </w:r>
    </w:p>
    <w:p w14:paraId="1B3C03D9" w14:textId="77777777" w:rsidR="003920DF" w:rsidRPr="000F0A63" w:rsidRDefault="003920DF" w:rsidP="000F4434">
      <w:pPr>
        <w:numPr>
          <w:ilvl w:val="0"/>
          <w:numId w:val="16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ak sú splnené termíny stanovené v odseku 3 prílohy 6b na úpravu existujúcich webových sídel a aplikácií.</w:t>
      </w:r>
    </w:p>
    <w:p w14:paraId="0BFDF341" w14:textId="77777777" w:rsidR="003920DF" w:rsidRDefault="003920DF">
      <w:pPr>
        <w:rPr>
          <w:lang w:val="es-ES"/>
        </w:rPr>
      </w:pPr>
    </w:p>
    <w:p w14:paraId="14B92CA4" w14:textId="6C4DF49D" w:rsidR="003920DF" w:rsidRPr="003920DF" w:rsidRDefault="003920DF" w:rsidP="000F4434">
      <w:pPr>
        <w:pStyle w:val="ListParagraph"/>
        <w:keepLines/>
        <w:numPr>
          <w:ilvl w:val="1"/>
          <w:numId w:val="18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mobilné aplikácie športových zariadení a klubov, ktoré ponúkajú predaj vstupeniek na podujatia v ich priestoroch, musia byť prístupné a musia poskytovať potrebné informácie za rovnakých podmienok, aké sú stanovené v článku 133 pre služby súvisiace so scénickým umením.</w:t>
      </w:r>
    </w:p>
    <w:p w14:paraId="01221CD8" w14:textId="77777777" w:rsidR="003920DF" w:rsidRDefault="003920DF">
      <w:pPr>
        <w:rPr>
          <w:lang w:val="es-ES"/>
        </w:rPr>
      </w:pPr>
    </w:p>
    <w:p w14:paraId="5122FB6C" w14:textId="3D7CFC92" w:rsidR="003920DF" w:rsidRPr="003920DF" w:rsidRDefault="003920DF" w:rsidP="000F4434">
      <w:pPr>
        <w:pStyle w:val="ListParagraph"/>
        <w:numPr>
          <w:ilvl w:val="1"/>
          <w:numId w:val="20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mobilné aplikácie vzdelávacích zariadení poskytujúcich formálne vzdelávanie musia byť prístupné v súlade s podmienkami uvedenými v odsekoch 25 a 26 prílohy 5a a musia dosahovať úroveň súladu, čo sa týka prístupnosti, aspoň dve A (AA) v súlade s usmerneniami WCAG 2.1 v týchto situáciách:</w:t>
      </w:r>
    </w:p>
    <w:p w14:paraId="46144290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ide o novovytvorené webové sídla alebo aplikácie;</w:t>
      </w:r>
      <w:r>
        <w:rPr>
          <w:sz w:val="22"/>
        </w:rPr>
        <w:t xml:space="preserve"> </w:t>
      </w:r>
    </w:p>
    <w:p w14:paraId="124A7079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pri zmene existujúcich webových sídel alebo aplikácií;</w:t>
      </w:r>
    </w:p>
    <w:p w14:paraId="4CC9837C" w14:textId="77777777" w:rsidR="003920DF" w:rsidRPr="000F0A63" w:rsidRDefault="003920DF" w:rsidP="000F4434">
      <w:pPr>
        <w:numPr>
          <w:ilvl w:val="0"/>
          <w:numId w:val="19"/>
        </w:numPr>
        <w:tabs>
          <w:tab w:val="left" w:pos="284"/>
          <w:tab w:val="num" w:pos="426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ak sú splnené termíny stanovené v odseku 8 prílohy 6b na úpravu existujúcich webových sídel a aplikácií.</w:t>
      </w:r>
    </w:p>
    <w:p w14:paraId="64EC1D0A" w14:textId="77777777" w:rsidR="003920DF" w:rsidRDefault="003920DF">
      <w:pPr>
        <w:rPr>
          <w:lang w:val="es-ES"/>
        </w:rPr>
      </w:pPr>
    </w:p>
    <w:p w14:paraId="2CF98FEF" w14:textId="37293E06" w:rsidR="003920DF" w:rsidRPr="000F0A63" w:rsidRDefault="003920DF" w:rsidP="003920DF">
      <w:pPr>
        <w:keepNext/>
        <w:jc w:val="both"/>
        <w:outlineLvl w:val="2"/>
        <w:rPr>
          <w:bCs/>
          <w:sz w:val="22"/>
          <w:szCs w:val="22"/>
          <w:rFonts w:cs="Arial"/>
        </w:rPr>
      </w:pPr>
      <w:bookmarkStart w:id="1" w:name="_Ref447800574"/>
      <w:r>
        <w:rPr>
          <w:sz w:val="22"/>
        </w:rPr>
        <w:t xml:space="preserve">Článok 138.</w:t>
      </w:r>
      <w:r>
        <w:rPr>
          <w:sz w:val="22"/>
        </w:rPr>
        <w:tab/>
      </w:r>
      <w:r>
        <w:rPr>
          <w:sz w:val="22"/>
        </w:rPr>
        <w:t xml:space="preserve">Základné služby, služby všeobecného záujmu alebo služby financované z verejných zdrojov</w:t>
      </w:r>
      <w:r>
        <w:rPr>
          <w:sz w:val="22"/>
        </w:rPr>
        <w:t xml:space="preserve"> </w:t>
      </w:r>
      <w:bookmarkEnd w:id="1"/>
    </w:p>
    <w:p w14:paraId="7D137DE4" w14:textId="752BD128" w:rsidR="003920DF" w:rsidRPr="003920DF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katalánskeho verejného sektora a verejnoprávnych spoločností, ako aj všetkých tých, ktoré sú zriadené s financovaním z verejnej správy a subjektov alebo spoločností, ktoré poskytujú verejné služby na základe koncesie alebo na základe zmluvy s verejnou správou, musia spĺňať požiadavky odseku 25 prílohy 5a a musia dosahovať úroveň súladu, čo sa týka prístupnosti, dve A (AA) v súlade s usmerneniami WCAG 2.1 bez toho, aby bolo dotknuté nariadenie vydané príslušným orgánom v tejto veci v Katalánsku v súlade s kráľovským dekrétom 1112/2018 zo 7. septembra 2018 o prístupnosti webových sídel a aplikácií pre mobilné zariadenia vo verejnom sektore.</w:t>
      </w:r>
    </w:p>
    <w:p w14:paraId="6FD18B43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súkromných subjektov, ktoré poskytujú základné služby alebo služby všeobecného záujmu vrátane dodávky elektrickej energie, vody alebo plynu a telekomunikácií, ako aj zdravotnícke, poštové a bankové služby, musia tiež spĺňať požiadavky odseku 25 prílohy 5a a musia dosahovať úroveň súladu, čo sa týka prístupnosti, dve A (AA) v súlade s usmerneniami WCAG 2.1.</w:t>
      </w:r>
      <w:r>
        <w:rPr>
          <w:sz w:val="22"/>
        </w:rPr>
        <w:t xml:space="preserve"> </w:t>
      </w:r>
    </w:p>
    <w:p w14:paraId="54D877DC" w14:textId="68D622D4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Aplikácie mobilných zariadení subjektov vo verejnom sektore a subjektov uvedených v odsekoch 138.1 a 138.2 musia spĺňať požiadavky na prístupnosť uvedené v odseku 26 prílohy 5a bez toho, aby bolo dotknuté nariadenie vydané príslušným orgánom v tejto veci v Katalánsku.</w:t>
      </w:r>
    </w:p>
    <w:p w14:paraId="0F7B09C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sz w:val="22"/>
          <w:szCs w:val="22"/>
          <w:rFonts w:cs="Arial"/>
        </w:rPr>
      </w:pPr>
      <w:r>
        <w:rPr>
          <w:sz w:val="22"/>
        </w:rPr>
        <w:t xml:space="preserve">Požiadavky na prístupnosť webových sídel a mobilných aplikácií stanovené v tomto článku sa uplatňujú za predpokladu, že nespôsobujú neprimeranú záťaž pre subjekt, ktorý ich musí uplatňovať, a to v súlade s týmito okolnosťami:</w:t>
      </w:r>
    </w:p>
    <w:p w14:paraId="7E326BAE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veľkosť, zdroje a povaha konkrétneho subjektu;</w:t>
      </w:r>
    </w:p>
    <w:p w14:paraId="6F59FD5A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náklady a prínosy na strane subjektu a odhadované prínosy pre používateľov, berúc do úvahy frekvenciu a trvanie používania tohto webového sídla alebo aplikácie;</w:t>
      </w:r>
      <w:r>
        <w:rPr>
          <w:sz w:val="22"/>
        </w:rPr>
        <w:t xml:space="preserve"> </w:t>
      </w:r>
    </w:p>
    <w:p w14:paraId="6A594B5F" w14:textId="77777777" w:rsidR="003920DF" w:rsidRPr="000F0A63" w:rsidRDefault="003920DF" w:rsidP="000F4434">
      <w:pPr>
        <w:numPr>
          <w:ilvl w:val="0"/>
          <w:numId w:val="22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diskriminačné účinky pre osoby so zdravotným postihnutím, ak by webové sídla alebo aplikácie neboli prístupné v prípade, že sa na trhu nachádzajú alternatívne webové sídla alebo aplikácie, ktoré ponúkajú rovnaké funkcie a podmienky.</w:t>
      </w:r>
    </w:p>
    <w:p w14:paraId="7EAD681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Verejný sektor alebo subjekt, ktorý využíva výnimku stanovenú v odseku 138.4, musí vo vyhlásení o prístupnosti webového sídla alebo aplikácie vysvetliť, ktoré požiadavky na prístupnosť nebolo možné splniť, a musí v rámci možností ponúknuť dostupné alternatívy.</w:t>
      </w:r>
    </w:p>
    <w:p w14:paraId="5D7ECF09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mobilné aplikácie musia spĺňať podmienky prístupnosti stanovené v predchádzajúcich odsekoch pred konečným termínom stanoveným v odseku 2 prílohy 6b.</w:t>
      </w:r>
    </w:p>
    <w:p w14:paraId="64D96B3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Poskytovatelia služieb a výrobcovia, ktorí dodávajú IT vybavenie a softvér katalánskemu verejnému sektoru a subjektom uvedeným v odseku 138.1, musia zahrnúť dodatočné prvky a funkcie prístupnosti potrebné na umožnenie prístupu k digitálnemu obsahu pre osoby so zdravotným postihnutím.</w:t>
      </w:r>
      <w:r>
        <w:rPr>
          <w:sz w:val="22"/>
        </w:rPr>
        <w:t xml:space="preserve"> </w:t>
      </w:r>
    </w:p>
    <w:p w14:paraId="03F2890E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Verejné a súkromné televízne siete v Katalánsku musia vypracovať plány na prístupnosť svojho obsahu s cieľom postupne sprístupniť ich program ľuďom so zmyslovým a mentálnym postihnutím.</w:t>
      </w:r>
      <w:r>
        <w:rPr>
          <w:sz w:val="22"/>
        </w:rPr>
        <w:t xml:space="preserve"> </w:t>
      </w:r>
      <w:r>
        <w:rPr>
          <w:sz w:val="22"/>
        </w:rPr>
        <w:t xml:space="preserve">Tieto plány musia umožniť, aby sa najneskôr do 3 rokov od nadobudnutia účinnosti tohto kódexu dosiahli tieto ciele:</w:t>
      </w:r>
    </w:p>
    <w:p w14:paraId="0A80856D" w14:textId="77777777" w:rsidR="003920DF" w:rsidRPr="000F0A63" w:rsidRDefault="003920DF" w:rsidP="000F4434">
      <w:pPr>
        <w:numPr>
          <w:ilvl w:val="0"/>
          <w:numId w:val="21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Verejnoprávne televízne siete:</w:t>
      </w:r>
      <w:r>
        <w:rPr>
          <w:sz w:val="22"/>
        </w:rPr>
        <w:t xml:space="preserve"> </w:t>
      </w:r>
      <w:r>
        <w:rPr>
          <w:sz w:val="22"/>
        </w:rPr>
        <w:t xml:space="preserve">Musia mať 100 % svojho programu s titulkami a poskytovať minimálne 15 hodín týždenne obsahu s audiokomentárom a 10 hodín týždenne v katalánskom posunkovom jazyku.</w:t>
      </w:r>
    </w:p>
    <w:p w14:paraId="7F8B67EE" w14:textId="77777777" w:rsidR="003920DF" w:rsidRPr="000F0A63" w:rsidRDefault="003920DF" w:rsidP="000F4434">
      <w:pPr>
        <w:numPr>
          <w:ilvl w:val="0"/>
          <w:numId w:val="21"/>
        </w:numPr>
        <w:tabs>
          <w:tab w:val="clear" w:pos="54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Súkromné televízne siete:</w:t>
      </w:r>
      <w:r>
        <w:rPr>
          <w:sz w:val="22"/>
        </w:rPr>
        <w:t xml:space="preserve"> </w:t>
      </w:r>
      <w:r>
        <w:rPr>
          <w:sz w:val="22"/>
        </w:rPr>
        <w:t xml:space="preserve">Musia mať 75 % svojho programu s titulkami a poskytovať minimálne 10 hodín týždenne obsahu s audiokomentárom a 7 hodín týždenne v katalánskom posunkovom jazyku.</w:t>
      </w:r>
    </w:p>
    <w:p w14:paraId="221F24A7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Programy v katalánskom posunkovom jazyku musia zahŕňať spravodajské programy a programy pre deti dostupné v ponuke vopred nahratého záznamu, keď je táto služba k dispozícii.</w:t>
      </w:r>
      <w:r>
        <w:rPr>
          <w:sz w:val="22"/>
        </w:rPr>
        <w:t xml:space="preserve"> </w:t>
      </w:r>
      <w:r>
        <w:rPr>
          <w:sz w:val="22"/>
        </w:rPr>
        <w:t xml:space="preserve">Tieto programy musia pokrývať každý deň v týždni.</w:t>
      </w:r>
      <w:r>
        <w:rPr>
          <w:sz w:val="22"/>
        </w:rPr>
        <w:t xml:space="preserve"> </w:t>
      </w:r>
    </w:p>
    <w:p w14:paraId="1FCDD2A4" w14:textId="77777777" w:rsidR="003920DF" w:rsidRPr="000F0A63" w:rsidRDefault="003920DF" w:rsidP="000F4434">
      <w:pPr>
        <w:pStyle w:val="ListParagraph"/>
        <w:numPr>
          <w:ilvl w:val="1"/>
          <w:numId w:val="23"/>
        </w:numPr>
        <w:ind w:left="0" w:firstLine="0"/>
        <w:jc w:val="both"/>
        <w:outlineLvl w:val="3"/>
        <w:rPr>
          <w:bCs/>
          <w:sz w:val="22"/>
          <w:szCs w:val="22"/>
          <w:rFonts w:cs="Arial"/>
        </w:rPr>
      </w:pPr>
      <w:r>
        <w:rPr>
          <w:sz w:val="22"/>
        </w:rPr>
        <w:t xml:space="preserve">Spoločnosti, ktoré distribuujú kinematografické a audiovizuálne diela, musia začleniť systémy titulkov, audiokomentárov a audionavigácie prednostne do tých zahraničných a domácich filmov, ktoré sú komerčne úspešnejšie alebo získali národné alebo medzinárodné ocenenia, aby boli dostupné prostredníctvom podpory DVD alebo podobných systémov s týmito funkciami.</w:t>
      </w:r>
    </w:p>
    <w:p w14:paraId="0F3986EB" w14:textId="77777777" w:rsidR="003920DF" w:rsidRDefault="003920DF">
      <w:pPr>
        <w:rPr>
          <w:lang w:val="es-ES"/>
        </w:rPr>
      </w:pPr>
    </w:p>
    <w:p w14:paraId="44244122" w14:textId="3BAB5CCF" w:rsidR="00E526B5" w:rsidRDefault="00B670F2">
      <w:r>
        <w:rPr>
          <w:sz w:val="22"/>
        </w:rPr>
        <w:t xml:space="preserve">KAPITOLA 11:</w:t>
      </w:r>
      <w:r>
        <w:rPr>
          <w:sz w:val="22"/>
        </w:rPr>
        <w:t xml:space="preserve"> </w:t>
      </w:r>
      <w:r>
        <w:rPr>
          <w:sz w:val="22"/>
        </w:rPr>
        <w:t xml:space="preserve">Označenie kvality prístupnosti</w:t>
      </w:r>
    </w:p>
    <w:p w14:paraId="5E23591F" w14:textId="30E33DFC" w:rsidR="00E526B5" w:rsidRPr="000F0A63" w:rsidRDefault="00E526B5" w:rsidP="000F4434">
      <w:pPr>
        <w:pStyle w:val="Heading4"/>
        <w:keepNext w:val="0"/>
        <w:numPr>
          <w:ilvl w:val="1"/>
          <w:numId w:val="24"/>
        </w:numPr>
        <w:spacing w:before="0" w:after="0"/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Verejná konzultácia zariadení, budov a verejných subjektov, ktoré majú označenie kvality, musí byť možná aspoň prostredníctvom internetu bez toho, aby boli dotknuté iné prostriedky, ktoré sa môžu považovať za vhodné.</w:t>
      </w:r>
    </w:p>
    <w:p w14:paraId="6CBE5DDA" w14:textId="77777777" w:rsidR="00E526B5" w:rsidRDefault="00E526B5">
      <w:pPr>
        <w:rPr>
          <w:lang w:val="es-ES"/>
        </w:rPr>
      </w:pPr>
    </w:p>
    <w:p w14:paraId="3BFAD248" w14:textId="66A7955A" w:rsidR="00E526B5" w:rsidRDefault="00CF1E0D">
      <w:r>
        <w:rPr>
          <w:sz w:val="22"/>
        </w:rPr>
        <w:t xml:space="preserve">Príloha 5a:</w:t>
      </w:r>
      <w:r>
        <w:rPr>
          <w:sz w:val="22"/>
        </w:rPr>
        <w:t xml:space="preserve"> </w:t>
      </w:r>
      <w:r>
        <w:rPr>
          <w:sz w:val="22"/>
        </w:rPr>
        <w:t xml:space="preserve">Normy prístupnosti produktu</w:t>
      </w:r>
    </w:p>
    <w:p w14:paraId="3A59E424" w14:textId="22C29E85" w:rsidR="00E526B5" w:rsidRPr="00E526B5" w:rsidRDefault="00E526B5" w:rsidP="000F4434">
      <w:pPr>
        <w:pStyle w:val="ListParagraph"/>
        <w:keepNext/>
        <w:numPr>
          <w:ilvl w:val="0"/>
          <w:numId w:val="27"/>
        </w:numPr>
        <w:tabs>
          <w:tab w:val="left" w:pos="426"/>
        </w:tabs>
        <w:ind w:left="0" w:firstLine="0"/>
        <w:jc w:val="both"/>
        <w:outlineLvl w:val="1"/>
        <w:rPr>
          <w:bCs/>
          <w:iCs/>
          <w:sz w:val="22"/>
          <w:szCs w:val="22"/>
          <w:rFonts w:cs="Arial"/>
        </w:rPr>
      </w:pPr>
      <w:bookmarkStart w:id="2" w:name="_Ref447796406"/>
      <w:r>
        <w:rPr>
          <w:sz w:val="22"/>
        </w:rPr>
        <w:t xml:space="preserve">Prístupné webové sídla</w:t>
      </w:r>
      <w:bookmarkEnd w:id="2"/>
      <w:r>
        <w:rPr>
          <w:sz w:val="22"/>
        </w:rPr>
        <w:t xml:space="preserve"> </w:t>
      </w:r>
    </w:p>
    <w:p w14:paraId="2592043C" w14:textId="77777777" w:rsidR="00E526B5" w:rsidRPr="000F0A63" w:rsidRDefault="00E526B5" w:rsidP="00E526B5">
      <w:pPr>
        <w:tabs>
          <w:tab w:val="num" w:pos="0"/>
          <w:tab w:val="left" w:pos="284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Usmernenia, ktoré sa musia dodržiavať pri navrhovaní a vytváraní webového sídla, a podmienky na jeho prístupnosť sú tieto:</w:t>
      </w:r>
      <w:r>
        <w:rPr>
          <w:sz w:val="22"/>
        </w:rPr>
        <w:t xml:space="preserve"> </w:t>
      </w:r>
    </w:p>
    <w:p w14:paraId="6DB92C6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Nakonfigurujte obsah tak, aby ho bolo možné prispôsobiť rôznym softvérom, zariadeniam a podporným produktom bez straty informácií alebo štruktúry.</w:t>
      </w:r>
      <w:r>
        <w:rPr>
          <w:sz w:val="22"/>
        </w:rPr>
        <w:t xml:space="preserve"> </w:t>
      </w:r>
    </w:p>
    <w:p w14:paraId="73E8D3D0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Poskytnite textové alternatívy alebo opisnú identifikáciu netextového obsahu (obrázky, grafika, multimediálny obsah).</w:t>
      </w:r>
      <w:r>
        <w:rPr>
          <w:sz w:val="22"/>
        </w:rPr>
        <w:t xml:space="preserve"> </w:t>
      </w:r>
    </w:p>
    <w:p w14:paraId="4612CA86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Zahrňte do multimediálneho obsahu titulky a audiokomentár, ak je to potrebné pre správne pochopenie správy.</w:t>
      </w:r>
      <w:r>
        <w:rPr>
          <w:sz w:val="22"/>
        </w:rPr>
        <w:t xml:space="preserve"> </w:t>
      </w:r>
    </w:p>
    <w:p w14:paraId="59F0492D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Poskytnite mechanizmy, ktoré umožňujú stlmiť a regulovať hlasitosť zvuku.</w:t>
      </w:r>
      <w:r>
        <w:rPr>
          <w:sz w:val="22"/>
        </w:rPr>
        <w:t xml:space="preserve"> </w:t>
      </w:r>
    </w:p>
    <w:p w14:paraId="72341CA9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Nepoužívajte farbu ako jediný prostriedok na sprostredkovanie informácií, označenie činnosti alebo rozlíšenie prvku.</w:t>
      </w:r>
      <w:r>
        <w:rPr>
          <w:sz w:val="22"/>
        </w:rPr>
        <w:t xml:space="preserve"> </w:t>
      </w:r>
    </w:p>
    <w:p w14:paraId="543C6D04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Text a obrázky musia mať dostatočný kontrast s pozadím a musia mať takú veľkosť, aby sa dali pohodlne prečítať.</w:t>
      </w:r>
      <w:r>
        <w:rPr>
          <w:sz w:val="22"/>
        </w:rPr>
        <w:t xml:space="preserve"> </w:t>
      </w:r>
    </w:p>
    <w:p w14:paraId="2D2F0267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Veľkosť textu sa musí dať upraviť zo samotného webového sídla bez pomoci podporných produktov a bez straty obsahu alebo funkčnosti.</w:t>
      </w:r>
      <w:r>
        <w:rPr>
          <w:sz w:val="22"/>
        </w:rPr>
        <w:t xml:space="preserve"> </w:t>
      </w:r>
    </w:p>
    <w:p w14:paraId="7F7BFBFC" w14:textId="14BC9BD4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Poskytnite prístup ku všetkým funkciám webového sídla pomocou klávesnice s riešením, ktoré nebráni použitiu čítača obrazovky a lupy.</w:t>
      </w:r>
    </w:p>
    <w:p w14:paraId="527EF931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Zabezpečte, aby mal používateľ kontrolu nad informáciami alebo objektmi, ktoré sa automaticky presúvajú alebo aktualizujú, pričom je možné ich zastaviť, skryť alebo ovládať ich frekvenciu.</w:t>
      </w:r>
      <w:r>
        <w:rPr>
          <w:sz w:val="22"/>
        </w:rPr>
        <w:t xml:space="preserve"> </w:t>
      </w:r>
    </w:p>
    <w:p w14:paraId="6C2AB65F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bookmarkStart w:id="3" w:name="_Ref488129626"/>
      <w:r>
        <w:rPr>
          <w:sz w:val="22"/>
        </w:rPr>
        <w:t xml:space="preserve">Uľahčite navigáciu štruktúrovaním obsahu v koherentnom poradí a zabezpečením jasných navigačných mechanizmov.</w:t>
      </w:r>
      <w:r>
        <w:rPr>
          <w:sz w:val="22"/>
        </w:rPr>
        <w:t xml:space="preserve"> </w:t>
      </w:r>
    </w:p>
    <w:p w14:paraId="3DA35818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Zahrňte informácie s pokynmi, ktoré používateľom pomôžu pochopiť zložité prvky, a poskytnite mechanizmy na odhaľovanie chýb pri zadávaní údajov používateľmi a na predchádzanie týmto chybám.</w:t>
      </w:r>
      <w:r>
        <w:rPr>
          <w:sz w:val="22"/>
        </w:rPr>
        <w:t xml:space="preserve"> </w:t>
      </w:r>
    </w:p>
    <w:p w14:paraId="3E7754AE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Identifikujte jazyk použitý v každom odseku alebo dokumente na webovom sídle tak, aby čítače obrazovky a hlasové syntetizátory mohli automaticky detegovať a zmeniť jazyk.</w:t>
      </w:r>
      <w:r>
        <w:rPr>
          <w:sz w:val="22"/>
        </w:rPr>
        <w:t xml:space="preserve"> </w:t>
      </w:r>
    </w:p>
    <w:p w14:paraId="02F8676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Používajte jasný a zrozumiteľný jazyk, aby bol obsah ľahko pochopiteľný a uveďte definíciu najnezvyčajnejších slov a význam iniciálových a iných skratiek.</w:t>
      </w:r>
      <w:r>
        <w:rPr>
          <w:sz w:val="22"/>
        </w:rPr>
        <w:t xml:space="preserve"> </w:t>
      </w:r>
    </w:p>
    <w:p w14:paraId="0EA30215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Maximalizujte kompatibilitu s aplikáciami, softvérom a zariadeniami, ktoré môžu používatelia mať, vrátane podporných produktov.</w:t>
      </w:r>
    </w:p>
    <w:p w14:paraId="1E938D31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Zabezpečte, aby dokumenty uverejnené na webovom sídle boli prístupné a čitateľné aj pre čítače obrazovky.</w:t>
      </w:r>
    </w:p>
    <w:p w14:paraId="1D9C45B4" w14:textId="70A58EB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Poskytnite alternatívne dostupné komunikačné kanály k telefónu prostredníctvom e-mailu, SMS alebo formulárov s časom spracovania, ktorý nie je diskriminačný v porovnaní s telefonickým hovorom.</w:t>
      </w:r>
    </w:p>
    <w:p w14:paraId="0F2AC703" w14:textId="77777777" w:rsidR="00E526B5" w:rsidRPr="000F0A63" w:rsidRDefault="00E526B5" w:rsidP="000F4434">
      <w:pPr>
        <w:numPr>
          <w:ilvl w:val="1"/>
          <w:numId w:val="26"/>
        </w:numPr>
        <w:tabs>
          <w:tab w:val="clear" w:pos="360"/>
          <w:tab w:val="left" w:pos="284"/>
          <w:tab w:val="num" w:pos="426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Zabezpečte splnenie kritérií v súlade s usmerneniami WCAG 2.1 na jednej z ich úrovní, s podmienkami stanovenými normou UNE 139803:2012 alebo normou, ktorá ju nahrádza, s výnimkou situácií, v ktorých tento kódex vyžaduje vyššiu úroveň.</w:t>
      </w:r>
      <w:r>
        <w:rPr>
          <w:sz w:val="22"/>
        </w:rPr>
        <w:t xml:space="preserve"> </w:t>
      </w:r>
    </w:p>
    <w:p w14:paraId="77216F8A" w14:textId="77777777" w:rsidR="00E526B5" w:rsidRPr="000F0A63" w:rsidRDefault="00E526B5" w:rsidP="00E526B5">
      <w:pPr>
        <w:tabs>
          <w:tab w:val="left" w:pos="284"/>
          <w:tab w:val="num" w:pos="567"/>
        </w:tabs>
        <w:jc w:val="both"/>
        <w:rPr>
          <w:rFonts w:cs="Arial"/>
          <w:sz w:val="22"/>
          <w:szCs w:val="22"/>
          <w:lang w:val="es-ES"/>
        </w:rPr>
      </w:pPr>
    </w:p>
    <w:p w14:paraId="58C0FCD7" w14:textId="77777777" w:rsidR="00E526B5" w:rsidRPr="000F0A63" w:rsidRDefault="00E526B5" w:rsidP="000F4434">
      <w:pPr>
        <w:pStyle w:val="ListParagraph"/>
        <w:keepNext/>
        <w:numPr>
          <w:ilvl w:val="0"/>
          <w:numId w:val="27"/>
        </w:numPr>
        <w:tabs>
          <w:tab w:val="left" w:pos="426"/>
        </w:tabs>
        <w:ind w:left="0" w:firstLine="0"/>
        <w:jc w:val="both"/>
        <w:outlineLvl w:val="1"/>
        <w:rPr>
          <w:sz w:val="22"/>
          <w:szCs w:val="22"/>
          <w:rFonts w:cs="Arial"/>
        </w:rPr>
      </w:pPr>
      <w:bookmarkStart w:id="4" w:name="_Ref504990560"/>
      <w:r>
        <w:rPr>
          <w:sz w:val="22"/>
        </w:rPr>
        <w:t xml:space="preserve">Prístupné aplikácie</w:t>
      </w:r>
      <w:bookmarkEnd w:id="3"/>
      <w:bookmarkEnd w:id="4"/>
    </w:p>
    <w:p w14:paraId="7EB099BF" w14:textId="77777777" w:rsidR="00E526B5" w:rsidRPr="000F0A63" w:rsidRDefault="00E526B5" w:rsidP="00E526B5">
      <w:pPr>
        <w:tabs>
          <w:tab w:val="left" w:pos="284"/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Aplikácie prístupné pre mobilné zariadenia musia spĺňať podmienky stanovené v norme UNE 139803:2012 alebo v norme, ktorá ju nahrádza, a musia spĺňať tieto všeobecné kritériá:</w:t>
      </w:r>
      <w:r>
        <w:rPr>
          <w:sz w:val="22"/>
        </w:rPr>
        <w:t xml:space="preserve"> </w:t>
      </w:r>
    </w:p>
    <w:p w14:paraId="580725D4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Všetky správy, systémy pomoci a texty musia byť napísané jasným a jednoduchým jazykom.</w:t>
      </w:r>
    </w:p>
    <w:p w14:paraId="25431028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Text musí byť zrozumiteľný s veľkosťou a typom písma, ktoré uľahčujú čítanie.</w:t>
      </w:r>
    </w:p>
    <w:p w14:paraId="18CF95B7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Farebný kontrast prvkov s pozadím musí byť dostatočný.</w:t>
      </w:r>
      <w:r>
        <w:rPr>
          <w:sz w:val="22"/>
        </w:rPr>
        <w:t xml:space="preserve"> </w:t>
      </w:r>
    </w:p>
    <w:p w14:paraId="6EAF5662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Ovládacie prvky, objekty, ikony a obrázky musia byť identifikovateľné, ľahko použiteľné a musia mať priradený alternatívny text označujúci ich funkciu alebo význam.</w:t>
      </w:r>
      <w:r>
        <w:rPr>
          <w:sz w:val="22"/>
        </w:rPr>
        <w:t xml:space="preserve"> </w:t>
      </w:r>
    </w:p>
    <w:p w14:paraId="5791E3B0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Zvukové výstrahy musia mať vizuálne alebo vibračné alternatívy.</w:t>
      </w:r>
      <w:r>
        <w:rPr>
          <w:sz w:val="22"/>
        </w:rPr>
        <w:t xml:space="preserve"> </w:t>
      </w:r>
    </w:p>
    <w:p w14:paraId="12D8BAF8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Proces prístupu k službe musí byť hladký a rýchly.</w:t>
      </w:r>
    </w:p>
    <w:p w14:paraId="1F898261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Aplikácia musí byť kompatibilná s podpornými produktmi, ako sú čítače obrazovky, lupy a hlasové príkazy.</w:t>
      </w:r>
    </w:p>
    <w:p w14:paraId="795B853F" w14:textId="77777777" w:rsidR="00E526B5" w:rsidRPr="000F0A63" w:rsidRDefault="00E526B5" w:rsidP="000F4434">
      <w:pPr>
        <w:numPr>
          <w:ilvl w:val="0"/>
          <w:numId w:val="25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Aplikácia musí byť kompatibilná s nástrojmi prístupnosti operačného systému.</w:t>
      </w:r>
    </w:p>
    <w:p w14:paraId="56E59187" w14:textId="77777777" w:rsidR="00E526B5" w:rsidRDefault="00E526B5">
      <w:pPr>
        <w:rPr>
          <w:lang w:val="es-ES"/>
        </w:rPr>
      </w:pPr>
    </w:p>
    <w:p w14:paraId="53BF94FB" w14:textId="30F32856" w:rsidR="00E526B5" w:rsidRPr="000F0A63" w:rsidRDefault="00E526B5" w:rsidP="005917F0">
      <w:pPr>
        <w:keepNext/>
        <w:keepLines/>
        <w:tabs>
          <w:tab w:val="left" w:pos="284"/>
        </w:tabs>
        <w:jc w:val="both"/>
        <w:outlineLvl w:val="1"/>
        <w:rPr>
          <w:bCs/>
          <w:sz w:val="22"/>
          <w:szCs w:val="22"/>
          <w:rFonts w:cs="Arial"/>
        </w:rPr>
      </w:pPr>
      <w:r>
        <w:rPr>
          <w:sz w:val="22"/>
        </w:rPr>
        <w:t xml:space="preserve">Príloha 6b:</w:t>
      </w:r>
      <w:r>
        <w:rPr>
          <w:sz w:val="22"/>
        </w:rPr>
        <w:t xml:space="preserve"> </w:t>
      </w:r>
      <w:r>
        <w:rPr>
          <w:sz w:val="22"/>
        </w:rPr>
        <w:t xml:space="preserve">Termíny na prispôsobenie existujúcich služieb stanoveným podmienkam</w:t>
      </w:r>
    </w:p>
    <w:p w14:paraId="77C3480F" w14:textId="43B01EF3" w:rsidR="00E526B5" w:rsidRPr="000F0A63" w:rsidRDefault="00E526B5" w:rsidP="005917F0">
      <w:pPr>
        <w:keepNext/>
        <w:keepLines/>
        <w:tabs>
          <w:tab w:val="left" w:pos="28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19B0505A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iCs/>
          <w:sz w:val="22"/>
          <w:szCs w:val="22"/>
          <w:rFonts w:cs="Arial"/>
        </w:rPr>
      </w:pPr>
      <w:bookmarkStart w:id="5" w:name="_Ref505083170"/>
      <w:r>
        <w:rPr>
          <w:sz w:val="22"/>
        </w:rPr>
        <w:t xml:space="preserve">Kompatibilita s inými požadovanými podmienkami</w:t>
      </w:r>
      <w:bookmarkEnd w:id="5"/>
      <w:r>
        <w:rPr>
          <w:sz w:val="22"/>
        </w:rPr>
        <w:t xml:space="preserve"> </w:t>
      </w:r>
    </w:p>
    <w:p w14:paraId="1C074B90" w14:textId="77777777" w:rsidR="00E526B5" w:rsidRPr="000F0A63" w:rsidRDefault="00E526B5" w:rsidP="00E526B5">
      <w:pPr>
        <w:keepNext/>
        <w:keepLines/>
        <w:tabs>
          <w:tab w:val="left" w:pos="284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Podmienkami tejto prílohy 6b nie je dotknutá povinnosť dodržiavať požadované podmienky prístupnosti pred uvedenými termínmi v prípade zmeny existujúcich prvkov alebo zdrojov.</w:t>
      </w:r>
      <w:r>
        <w:rPr>
          <w:sz w:val="22"/>
        </w:rPr>
        <w:t xml:space="preserve"> </w:t>
      </w:r>
    </w:p>
    <w:p w14:paraId="5EEA95FF" w14:textId="77777777" w:rsidR="00E526B5" w:rsidRPr="000F0A63" w:rsidRDefault="00E526B5" w:rsidP="00E526B5">
      <w:pPr>
        <w:keepNext/>
        <w:keepLines/>
        <w:tabs>
          <w:tab w:val="left" w:pos="284"/>
        </w:tabs>
        <w:jc w:val="both"/>
        <w:rPr>
          <w:rFonts w:cs="Arial"/>
          <w:sz w:val="22"/>
          <w:szCs w:val="22"/>
          <w:lang w:val="es-ES" w:eastAsia="x-none"/>
        </w:rPr>
      </w:pPr>
    </w:p>
    <w:p w14:paraId="68894ACD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iCs/>
          <w:sz w:val="22"/>
          <w:szCs w:val="22"/>
          <w:rFonts w:cs="Arial"/>
        </w:rPr>
      </w:pPr>
      <w:bookmarkStart w:id="6" w:name="_Ref505083210"/>
      <w:r>
        <w:rPr>
          <w:sz w:val="22"/>
        </w:rPr>
        <w:t xml:space="preserve">Katalánsky verejný sektor, verejnoprávne spoločnosti a subjekty poskytujúce verejné služby</w:t>
      </w:r>
      <w:bookmarkEnd w:id="6"/>
    </w:p>
    <w:p w14:paraId="76077B47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Pre prístup k webovým sídlam a mobilným aplikáciám katalánskeho verejného sektora, verejnoprávnych spoločností a subjektov alebo spoločností, ktoré poskytujú verejné služby na základe koncesie alebo na základe zmluvy s verejnou správou, a splnenie podmienok uvedených v článku 138 sú stanovené tieto konečné termíny:</w:t>
      </w:r>
    </w:p>
    <w:p w14:paraId="181146B6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1 rok od nadobudnutia účinnosti tohto kódexu:</w:t>
      </w:r>
    </w:p>
    <w:p w14:paraId="69D26797" w14:textId="77777777" w:rsidR="00E526B5" w:rsidRPr="000F0A63" w:rsidRDefault="00E526B5" w:rsidP="000F4434">
      <w:pPr>
        <w:numPr>
          <w:ilvl w:val="1"/>
          <w:numId w:val="30"/>
        </w:numPr>
        <w:tabs>
          <w:tab w:val="clear" w:pos="1440"/>
          <w:tab w:val="left" w:pos="284"/>
          <w:tab w:val="num" w:pos="426"/>
          <w:tab w:val="num" w:pos="993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katalánskeho verejného sektora a verejnoprávnych spoločností.</w:t>
      </w:r>
    </w:p>
    <w:p w14:paraId="47DD03E4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04EB1B39" w14:textId="77777777" w:rsidR="00E526B5" w:rsidRPr="000F0A63" w:rsidRDefault="00E526B5" w:rsidP="000F4434">
      <w:pPr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Aplikácie pre mobilné zariadenia v katalánskom verejnom sektore a vo verejnoprávnych spoločnostiach.</w:t>
      </w:r>
    </w:p>
    <w:p w14:paraId="4A800192" w14:textId="77777777" w:rsidR="00E526B5" w:rsidRPr="000F0A63" w:rsidRDefault="00E526B5" w:rsidP="000F4434">
      <w:pPr>
        <w:keepNext/>
        <w:keepLines/>
        <w:numPr>
          <w:ilvl w:val="0"/>
          <w:numId w:val="29"/>
        </w:numPr>
        <w:tabs>
          <w:tab w:val="left" w:pos="284"/>
          <w:tab w:val="num" w:pos="426"/>
          <w:tab w:val="num" w:pos="567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  <w:r>
        <w:rPr>
          <w:sz w:val="22"/>
        </w:rPr>
        <w:t xml:space="preserve"> </w:t>
      </w:r>
    </w:p>
    <w:p w14:paraId="2BC909CB" w14:textId="77777777" w:rsidR="00E526B5" w:rsidRPr="000F0A63" w:rsidRDefault="00E526B5" w:rsidP="000F4434">
      <w:pPr>
        <w:numPr>
          <w:ilvl w:val="0"/>
          <w:numId w:val="50"/>
        </w:numPr>
        <w:tabs>
          <w:tab w:val="left" w:pos="426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 subjektov alebo spoločností, ktoré poskytujú verejné služby na základe koncesie alebo na základe zmluvy s verejnou správou.</w:t>
      </w:r>
    </w:p>
    <w:p w14:paraId="5A897CB9" w14:textId="77777777" w:rsidR="00E526B5" w:rsidRPr="000F0A63" w:rsidRDefault="00E526B5" w:rsidP="00E526B5">
      <w:pPr>
        <w:tabs>
          <w:tab w:val="left" w:pos="284"/>
          <w:tab w:val="num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Uvedené termíny sú stanovené bez toho, aby bol dotknutý súlad tých najnáročnejších, ktoré si vyžadujú vlastnosti služby v súlade so zvyšnými odsekmi tejto prílohy alebo inými predpismi, ktoré ju upravujú.</w:t>
      </w:r>
      <w:r>
        <w:rPr>
          <w:sz w:val="22"/>
        </w:rPr>
        <w:t xml:space="preserve"> </w:t>
      </w:r>
    </w:p>
    <w:p w14:paraId="6782A616" w14:textId="77777777" w:rsidR="00E526B5" w:rsidRPr="000F0A63" w:rsidRDefault="00E526B5" w:rsidP="00E526B5">
      <w:pPr>
        <w:tabs>
          <w:tab w:val="left" w:pos="284"/>
          <w:tab w:val="num" w:pos="426"/>
        </w:tabs>
        <w:jc w:val="both"/>
        <w:rPr>
          <w:rFonts w:cs="Arial"/>
          <w:sz w:val="22"/>
          <w:szCs w:val="22"/>
          <w:lang w:val="es-ES"/>
        </w:rPr>
      </w:pPr>
    </w:p>
    <w:p w14:paraId="1A2A94E1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sz w:val="22"/>
          <w:szCs w:val="22"/>
          <w:rFonts w:cs="Arial"/>
        </w:rPr>
      </w:pPr>
      <w:bookmarkStart w:id="7" w:name="_Ref505083224"/>
      <w:r>
        <w:rPr>
          <w:sz w:val="22"/>
        </w:rPr>
        <w:t xml:space="preserve">Služby týkajúce sa scénického umenia, kín a športových podujatí</w:t>
      </w:r>
      <w:bookmarkEnd w:id="7"/>
    </w:p>
    <w:p w14:paraId="6E9E2B04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webové sídla zariadení a elektronických kanálov predaja lístkov boli prístupné a spĺňali podmienky stanovené v článku 133:</w:t>
      </w:r>
    </w:p>
    <w:p w14:paraId="44E529E5" w14:textId="77777777" w:rsidR="00E526B5" w:rsidRPr="000F0A63" w:rsidRDefault="00E526B5" w:rsidP="000F4434">
      <w:pPr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26851055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zariadení, ktoré majú kapacitu rovnajúcu sa alebo väčšiu ako 2 000 miest v celom priestore.</w:t>
      </w:r>
    </w:p>
    <w:p w14:paraId="59D0540F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online platforiem predaja lístkov, ktoré spravujú viac ako jedno zariadenie s kombinovanou kapacitou rovnajúcou sa alebo väčšou ako 2 000 miest.</w:t>
      </w:r>
    </w:p>
    <w:p w14:paraId="2835B2B8" w14:textId="77777777" w:rsidR="00E526B5" w:rsidRPr="000F0A63" w:rsidRDefault="00E526B5" w:rsidP="000F4434">
      <w:pPr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</w:p>
    <w:p w14:paraId="2F160C92" w14:textId="77777777" w:rsidR="00E526B5" w:rsidRPr="000F0A63" w:rsidRDefault="00E526B5" w:rsidP="000F4434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online platforiem predaja lístkov, ktoré spravujú viac ako jedno zariadenie s kombinovanou kapacitou menšou ako 2 000 miest.</w:t>
      </w:r>
      <w:r>
        <w:rPr>
          <w:sz w:val="22"/>
        </w:rPr>
        <w:t xml:space="preserve"> </w:t>
      </w:r>
    </w:p>
    <w:p w14:paraId="7BECFAB4" w14:textId="77777777" w:rsidR="00E526B5" w:rsidRPr="000F0A63" w:rsidRDefault="00E526B5" w:rsidP="000F4434">
      <w:pPr>
        <w:keepNext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4 roky od nadobudnutia účinnosti tohto kódexu:</w:t>
      </w:r>
    </w:p>
    <w:p w14:paraId="4D5AB809" w14:textId="77777777" w:rsidR="00E526B5" w:rsidRPr="000F0A63" w:rsidRDefault="00E526B5" w:rsidP="000F4434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 a mobilné aplikácie zariadení s kapacitou menšou ako 2 000 miest v celom priestore.</w:t>
      </w:r>
      <w:r>
        <w:rPr>
          <w:sz w:val="22"/>
        </w:rPr>
        <w:t xml:space="preserve">  </w:t>
      </w:r>
    </w:p>
    <w:p w14:paraId="2C5319C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0B116980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iCs/>
          <w:sz w:val="22"/>
          <w:szCs w:val="22"/>
          <w:rFonts w:cs="Arial"/>
        </w:rPr>
      </w:pPr>
      <w:bookmarkStart w:id="8" w:name="_Ref505083249"/>
      <w:r>
        <w:rPr>
          <w:sz w:val="22"/>
        </w:rPr>
        <w:t xml:space="preserve">Obchodné služby</w:t>
      </w:r>
      <w:bookmarkEnd w:id="8"/>
    </w:p>
    <w:p w14:paraId="3609046E" w14:textId="77777777" w:rsidR="00E526B5" w:rsidRPr="000F0A63" w:rsidRDefault="00E526B5" w:rsidP="00E526B5">
      <w:pPr>
        <w:keepLines/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webové sídla a mobilné aplikácie ponúkajúce možnosť online nakupovania a webové sídla a mobilné aplikácie reťazcov supermarketov, ako aj spoločností s potravinárskymi alebo zmiešanými prevádzkarňami boli prístupné a spĺňali podmienky stanovené v článku 126:</w:t>
      </w:r>
    </w:p>
    <w:p w14:paraId="12FBBAE4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5E3D88E1" w14:textId="77777777" w:rsidR="00E526B5" w:rsidRPr="000F0A63" w:rsidRDefault="00E526B5" w:rsidP="000F4434">
      <w:pPr>
        <w:numPr>
          <w:ilvl w:val="1"/>
          <w:numId w:val="34"/>
        </w:numPr>
        <w:tabs>
          <w:tab w:val="clear" w:pos="1440"/>
          <w:tab w:val="num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 reťazcov supermarketov, ktoré majú 10 a viac prevádzkarní a priestory s úžitkovou plochou viac ako 500 m² na verejné použitie.</w:t>
      </w:r>
    </w:p>
    <w:p w14:paraId="79B90796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</w:p>
    <w:p w14:paraId="4A64FC41" w14:textId="77777777" w:rsidR="00E526B5" w:rsidRPr="000F0A63" w:rsidRDefault="00E526B5" w:rsidP="000F4434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 reťazcov supermarketov, ktoré majú 5 až 9 prevádzkarní a priestory s úžitkovou plochou viac ako 500 m² na verejné použitie.</w:t>
      </w:r>
    </w:p>
    <w:p w14:paraId="1F2E1FB5" w14:textId="77777777" w:rsidR="00E526B5" w:rsidRPr="000F0A63" w:rsidRDefault="00E526B5" w:rsidP="000F443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4 roky od nadobudnutia účinnosti tohto kódexu:</w:t>
      </w:r>
    </w:p>
    <w:p w14:paraId="47833147" w14:textId="77777777" w:rsidR="00E526B5" w:rsidRPr="000F0A63" w:rsidRDefault="00E526B5" w:rsidP="000F4434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 reťazcov supermarketov a potravinárskych alebo zmiešaných prevádzkarní, ktoré majú priestory s úžitkovou plochou viac ako 500 m² na verejné použitie.</w:t>
      </w:r>
    </w:p>
    <w:p w14:paraId="0F06586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iCs/>
          <w:sz w:val="22"/>
          <w:szCs w:val="22"/>
          <w:lang w:val="es-ES" w:eastAsia="x-none"/>
        </w:rPr>
      </w:pPr>
    </w:p>
    <w:p w14:paraId="017AE2BB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sz w:val="22"/>
          <w:szCs w:val="22"/>
          <w:rFonts w:cs="Arial"/>
        </w:rPr>
      </w:pPr>
      <w:bookmarkStart w:id="9" w:name="_Ref505083279"/>
      <w:r>
        <w:rPr>
          <w:sz w:val="22"/>
        </w:rPr>
        <w:t xml:space="preserve">Finančné a poisťovacie služby</w:t>
      </w:r>
      <w:bookmarkEnd w:id="9"/>
    </w:p>
    <w:p w14:paraId="6258DBF3" w14:textId="77777777" w:rsidR="00E526B5" w:rsidRPr="000F0A63" w:rsidRDefault="00E526B5" w:rsidP="00E526B5">
      <w:pPr>
        <w:keepLines/>
        <w:tabs>
          <w:tab w:val="left" w:pos="284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webové sídla a aplikácie pre mobilné zariadenia, ktoré umožňujú vykonávanie bankových operácií, uzatváranie zmlúv, konzultácie s lekárskymi komisiami alebo akýkoľvek iný typ správy alebo konzultácie týkajúce sa produktov, ktoré sú predmetom zmluvy so subjektom, boli prístupné a spĺňali podmienky stanovené v článku 127:</w:t>
      </w:r>
    </w:p>
    <w:p w14:paraId="05FAE614" w14:textId="77777777" w:rsidR="00E526B5" w:rsidRPr="000F0A63" w:rsidRDefault="00E526B5" w:rsidP="000F4434">
      <w:pPr>
        <w:keepNext/>
        <w:keepLines/>
        <w:numPr>
          <w:ilvl w:val="0"/>
          <w:numId w:val="39"/>
        </w:numPr>
        <w:tabs>
          <w:tab w:val="left" w:pos="284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1 rok od nadobudnutia účinnosti tohto kódexu:</w:t>
      </w:r>
    </w:p>
    <w:p w14:paraId="05594252" w14:textId="77777777" w:rsidR="00E526B5" w:rsidRPr="000F0A63" w:rsidRDefault="00E526B5" w:rsidP="000F4434">
      <w:pPr>
        <w:numPr>
          <w:ilvl w:val="0"/>
          <w:numId w:val="40"/>
        </w:numPr>
        <w:tabs>
          <w:tab w:val="clear" w:pos="1440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Webové sídla</w:t>
      </w:r>
      <w:r>
        <w:rPr>
          <w:sz w:val="22"/>
        </w:rPr>
        <w:t xml:space="preserve"> </w:t>
      </w:r>
    </w:p>
    <w:p w14:paraId="4C51E7FB" w14:textId="77777777" w:rsidR="00E526B5" w:rsidRPr="000F0A63" w:rsidRDefault="00E526B5" w:rsidP="000F4434">
      <w:pPr>
        <w:keepNext/>
        <w:keepLines/>
        <w:numPr>
          <w:ilvl w:val="0"/>
          <w:numId w:val="39"/>
        </w:numPr>
        <w:tabs>
          <w:tab w:val="left" w:pos="284"/>
          <w:tab w:val="num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7D3D57C1" w14:textId="77777777" w:rsidR="00E526B5" w:rsidRPr="000F0A63" w:rsidRDefault="00E526B5" w:rsidP="000F4434">
      <w:pPr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Aplikácie pre mobilné zariadenia.</w:t>
      </w:r>
    </w:p>
    <w:p w14:paraId="355C8392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393046A4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iCs/>
          <w:sz w:val="22"/>
          <w:szCs w:val="22"/>
          <w:rFonts w:cs="Arial"/>
        </w:rPr>
      </w:pPr>
      <w:bookmarkStart w:id="10" w:name="_Ref505083294"/>
      <w:r>
        <w:rPr>
          <w:sz w:val="22"/>
        </w:rPr>
        <w:t xml:space="preserve">Služby súvisiace so súkromnou dopravou</w:t>
      </w:r>
      <w:bookmarkEnd w:id="10"/>
    </w:p>
    <w:p w14:paraId="0C12C9D0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spoločnosti, ktoré ponúkajú službu prenájmu vozidiel bez vodiča, s vozovým parkom viac ako 100 vozidiel a spoločnosti, ktoré ponúkajú službu prenájmu vozidiel s vodičom, s vozovým parkom viac ako 50 vozidiel, spĺňali podmienky stanovené v článku 128:</w:t>
      </w:r>
      <w:r>
        <w:rPr>
          <w:sz w:val="22"/>
        </w:rPr>
        <w:t xml:space="preserve"> </w:t>
      </w:r>
    </w:p>
    <w:p w14:paraId="47D4E7EF" w14:textId="77777777" w:rsidR="00E526B5" w:rsidRPr="000F0A63" w:rsidRDefault="00E526B5" w:rsidP="000F4434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1 rok od nadobudnutia účinnosti tohto kódexu:</w:t>
      </w:r>
      <w:r>
        <w:rPr>
          <w:sz w:val="22"/>
        </w:rPr>
        <w:t xml:space="preserve"> </w:t>
      </w:r>
    </w:p>
    <w:p w14:paraId="4DD29E94" w14:textId="37067D80" w:rsidR="00E526B5" w:rsidRPr="000F0A63" w:rsidRDefault="00E526B5" w:rsidP="00E526B5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a1.</w:t>
      </w:r>
      <w:r>
        <w:rPr>
          <w:sz w:val="22"/>
        </w:rPr>
        <w:tab/>
      </w:r>
      <w:r>
        <w:rPr>
          <w:sz w:val="22"/>
        </w:rPr>
        <w:t xml:space="preserve">Musia mať k dispozícii vozidlá schopné prepravovať nevodičov na invalidných vozíkoch, ktoré predstavujú najmenej 1 % vozového parku, ktorý spravujú.</w:t>
      </w:r>
      <w:r>
        <w:rPr>
          <w:sz w:val="22"/>
        </w:rPr>
        <w:t xml:space="preserve"> </w:t>
      </w:r>
    </w:p>
    <w:p w14:paraId="241A7D0B" w14:textId="07973EFE" w:rsidR="00E526B5" w:rsidRPr="000F0A63" w:rsidRDefault="00E526B5" w:rsidP="00B670F2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a2.</w:t>
      </w:r>
      <w:r>
        <w:rPr>
          <w:sz w:val="22"/>
        </w:rPr>
        <w:tab/>
      </w:r>
      <w:r>
        <w:rPr>
          <w:sz w:val="22"/>
        </w:rPr>
        <w:t xml:space="preserve">Musia mať k dispozícii prispôsobené vozidlá pre vodičov so zníženou pohyblivosťou, ktoré predstavujú najmenej 0,5 % vozového parku, ktorý spravujú.</w:t>
      </w:r>
      <w:r>
        <w:rPr>
          <w:sz w:val="22"/>
        </w:rPr>
        <w:t xml:space="preserve"> </w:t>
      </w:r>
    </w:p>
    <w:p w14:paraId="273BCA57" w14:textId="19D21C18" w:rsidR="00E526B5" w:rsidRPr="000F0A63" w:rsidRDefault="00E526B5" w:rsidP="00B670F2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a3.</w:t>
      </w:r>
      <w:r>
        <w:rPr>
          <w:sz w:val="22"/>
        </w:rPr>
        <w:tab/>
      </w:r>
      <w:r>
        <w:rPr>
          <w:sz w:val="22"/>
        </w:rPr>
        <w:t xml:space="preserve">Ponuka vozidiel uvedených v predchádzajúcich bodoch sa môže zabezpečovať prostredníctvom ich vlastných vozidiel alebo prostredníctvom dohôd s inými prevádzkovateľmi, ktoré zaručujú dostatočnú dostupnosť.</w:t>
      </w:r>
    </w:p>
    <w:p w14:paraId="3BCE400D" w14:textId="77777777" w:rsidR="00E526B5" w:rsidRPr="000F0A63" w:rsidRDefault="00E526B5" w:rsidP="000F4434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  <w:r>
        <w:rPr>
          <w:sz w:val="22"/>
        </w:rPr>
        <w:t xml:space="preserve"> </w:t>
      </w:r>
    </w:p>
    <w:p w14:paraId="727C0165" w14:textId="23D3973D" w:rsidR="00E526B5" w:rsidRPr="000F0A63" w:rsidRDefault="00E526B5" w:rsidP="00B670F2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b1.</w:t>
      </w:r>
      <w:r>
        <w:rPr>
          <w:sz w:val="22"/>
        </w:rPr>
        <w:tab/>
      </w:r>
      <w:r>
        <w:rPr>
          <w:sz w:val="22"/>
        </w:rPr>
        <w:t xml:space="preserve">Najmenej 0,5 % vozidiel vo vlastnom vozovom parku musí byť schopných prepravovať nevodičov na invalidných vozíkoch.</w:t>
      </w:r>
      <w:r>
        <w:rPr>
          <w:sz w:val="22"/>
        </w:rPr>
        <w:t xml:space="preserve"> </w:t>
      </w:r>
    </w:p>
    <w:p w14:paraId="1A4E7542" w14:textId="77777777" w:rsidR="00E526B5" w:rsidRPr="000F0A63" w:rsidRDefault="00E526B5" w:rsidP="000F4434">
      <w:pPr>
        <w:keepNext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6 rokov od nadobudnutia účinnosti tohto kódexu:</w:t>
      </w:r>
      <w:r>
        <w:rPr>
          <w:sz w:val="22"/>
        </w:rPr>
        <w:t xml:space="preserve"> </w:t>
      </w:r>
    </w:p>
    <w:p w14:paraId="4EF5184D" w14:textId="39EC3E47" w:rsidR="00E526B5" w:rsidRPr="000F0A63" w:rsidRDefault="00E526B5" w:rsidP="00B670F2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c1.</w:t>
      </w:r>
      <w:r>
        <w:rPr>
          <w:sz w:val="22"/>
        </w:rPr>
        <w:tab/>
      </w:r>
      <w:r>
        <w:rPr>
          <w:sz w:val="22"/>
        </w:rPr>
        <w:t xml:space="preserve">Najmenej 2 % vozidiel vo vlastnom vozovom parku musí byť schopných prepravovať nevodičov na invalidných vozíkoch.</w:t>
      </w:r>
    </w:p>
    <w:p w14:paraId="2BB22C13" w14:textId="169DA298" w:rsidR="00E526B5" w:rsidRPr="000F0A63" w:rsidRDefault="00E526B5" w:rsidP="00B670F2">
      <w:pPr>
        <w:widowControl w:val="0"/>
        <w:tabs>
          <w:tab w:val="left" w:pos="426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c2.</w:t>
      </w:r>
      <w:r>
        <w:rPr>
          <w:sz w:val="22"/>
        </w:rPr>
        <w:tab/>
      </w:r>
      <w:r>
        <w:rPr>
          <w:sz w:val="22"/>
        </w:rPr>
        <w:t xml:space="preserve">Najmenej 0,5 % vozidiel vo vlastnom vozovom parku musí byť prispôsobených vodičom so zníženou pohyblivosťou.</w:t>
      </w:r>
      <w:r>
        <w:rPr>
          <w:sz w:val="22"/>
        </w:rPr>
        <w:t xml:space="preserve"> </w:t>
      </w:r>
    </w:p>
    <w:p w14:paraId="6D51902B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sz w:val="22"/>
          <w:szCs w:val="22"/>
          <w:lang w:val="es-ES"/>
        </w:rPr>
      </w:pPr>
    </w:p>
    <w:p w14:paraId="6D14B575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iCs/>
          <w:sz w:val="22"/>
          <w:szCs w:val="22"/>
          <w:rFonts w:cs="Arial"/>
        </w:rPr>
      </w:pPr>
      <w:bookmarkStart w:id="11" w:name="_Ref505095784"/>
      <w:r>
        <w:rPr>
          <w:sz w:val="22"/>
        </w:rPr>
        <w:t xml:space="preserve">Služby súvisiace s turistickým ubytovaním</w:t>
      </w:r>
      <w:bookmarkEnd w:id="11"/>
      <w:r>
        <w:rPr>
          <w:sz w:val="22"/>
        </w:rPr>
        <w:t xml:space="preserve"> </w:t>
      </w:r>
    </w:p>
    <w:p w14:paraId="4E8242D0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webové sídla a mobilné aplikácie hotelových reťazcov a zariadení s kapacitou viac ako 100 izieb, ktoré umožňujú online rezerváciu ubytovania a služieb, boli prístupné a spĺňali podmienky stanovené v článku 130:</w:t>
      </w:r>
    </w:p>
    <w:p w14:paraId="764A0265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104ADEEC" w14:textId="77777777" w:rsidR="00E526B5" w:rsidRPr="000F0A63" w:rsidRDefault="00E526B5" w:rsidP="000F4434">
      <w:pPr>
        <w:numPr>
          <w:ilvl w:val="0"/>
          <w:numId w:val="43"/>
        </w:numPr>
        <w:tabs>
          <w:tab w:val="clear" w:pos="1440"/>
          <w:tab w:val="num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mobilné aplikácie hotelových reťazcov, ktoré majú 5 alebo viac zariadení a spoločnú ponuku viac ako 500 izieb.</w:t>
      </w:r>
    </w:p>
    <w:p w14:paraId="2356AB86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</w:p>
    <w:p w14:paraId="4EFEF877" w14:textId="77777777" w:rsidR="00E526B5" w:rsidRPr="000F0A63" w:rsidRDefault="00E526B5" w:rsidP="000F4434">
      <w:pPr>
        <w:numPr>
          <w:ilvl w:val="0"/>
          <w:numId w:val="44"/>
        </w:numPr>
        <w:tabs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mobilné aplikácie hotelových reťazcov, ktoré majú max. 4 zariadenia a spoločnú ponuku viac ako 500 izieb.</w:t>
      </w:r>
    </w:p>
    <w:p w14:paraId="268EBD55" w14:textId="77777777" w:rsidR="00E526B5" w:rsidRPr="000F0A63" w:rsidRDefault="00E526B5" w:rsidP="000F4434">
      <w:pPr>
        <w:numPr>
          <w:ilvl w:val="0"/>
          <w:numId w:val="44"/>
        </w:numPr>
        <w:tabs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mobilné aplikácie zariadení s 500 alebo viacerými izbami.</w:t>
      </w:r>
    </w:p>
    <w:p w14:paraId="4D022006" w14:textId="77777777" w:rsidR="00E526B5" w:rsidRPr="000F0A63" w:rsidRDefault="00E526B5" w:rsidP="000F4434">
      <w:pPr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4 roky od nadobudnutia účinnosti tohto kódexu:</w:t>
      </w:r>
    </w:p>
    <w:p w14:paraId="65935E38" w14:textId="77777777" w:rsidR="00E526B5" w:rsidRPr="000F0A63" w:rsidRDefault="00E526B5" w:rsidP="000F4434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mobilné aplikácie hotelových reťazcov, ktoré majú spoločnú ponuku od 100 do 500 izieb</w:t>
      </w:r>
    </w:p>
    <w:p w14:paraId="61927497" w14:textId="77777777" w:rsidR="00E526B5" w:rsidRPr="000F0A63" w:rsidRDefault="00E526B5" w:rsidP="000F4434">
      <w:pPr>
        <w:numPr>
          <w:ilvl w:val="0"/>
          <w:numId w:val="45"/>
        </w:numPr>
        <w:tabs>
          <w:tab w:val="left" w:pos="284"/>
          <w:tab w:val="left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 zariadení, ktoré majú od 50 do 500 izieb.</w:t>
      </w:r>
    </w:p>
    <w:p w14:paraId="4A8FB46C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iCs/>
          <w:sz w:val="22"/>
          <w:szCs w:val="22"/>
          <w:lang w:val="es-ES" w:eastAsia="x-none"/>
        </w:rPr>
      </w:pPr>
    </w:p>
    <w:p w14:paraId="06097ED6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iCs/>
          <w:sz w:val="22"/>
          <w:szCs w:val="22"/>
          <w:rFonts w:cs="Arial"/>
        </w:rPr>
      </w:pPr>
      <w:bookmarkStart w:id="12" w:name="_Ref63848315"/>
      <w:r>
        <w:rPr>
          <w:sz w:val="22"/>
        </w:rPr>
        <w:t xml:space="preserve">Vzdelávacie služby</w:t>
      </w:r>
      <w:bookmarkEnd w:id="12"/>
    </w:p>
    <w:p w14:paraId="355384ED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Nasledujúce konečné termíny sú stanovené tak, aby webové sídla a mobilné aplikácie vzdelávacích zariadení poskytujúcich formálne vzdelávanie boli prístupné a spĺňali podmienky stanovené v článku 135:</w:t>
      </w:r>
    </w:p>
    <w:p w14:paraId="601F3FE1" w14:textId="77777777" w:rsidR="00E526B5" w:rsidRPr="000F0A63" w:rsidRDefault="00E526B5" w:rsidP="000F4434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2 roky od nadobudnutia účinnosti tohto kódexu:</w:t>
      </w:r>
    </w:p>
    <w:p w14:paraId="29E27507" w14:textId="77777777" w:rsidR="00E526B5" w:rsidRPr="000F0A63" w:rsidRDefault="00E526B5" w:rsidP="000F4434">
      <w:pPr>
        <w:numPr>
          <w:ilvl w:val="0"/>
          <w:numId w:val="47"/>
        </w:numPr>
        <w:tabs>
          <w:tab w:val="clear" w:pos="1440"/>
          <w:tab w:val="num" w:pos="567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zariadenia, ktoré umožňujú vyhľadávanie akademických záznamov, správu faktúr alebo iné online procesy.</w:t>
      </w:r>
    </w:p>
    <w:p w14:paraId="6FB062A9" w14:textId="77777777" w:rsidR="00E526B5" w:rsidRPr="000F0A63" w:rsidRDefault="00E526B5" w:rsidP="000F4434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</w:p>
    <w:p w14:paraId="5CC5D46B" w14:textId="77777777" w:rsidR="00E526B5" w:rsidRPr="000F0A63" w:rsidRDefault="00E526B5" w:rsidP="000F4434">
      <w:pPr>
        <w:numPr>
          <w:ilvl w:val="0"/>
          <w:numId w:val="48"/>
        </w:numPr>
        <w:tabs>
          <w:tab w:val="clear" w:pos="1440"/>
          <w:tab w:val="num" w:pos="567"/>
        </w:tabs>
        <w:ind w:left="0" w:firstLine="0"/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Webové sídla a aplikácie pre mobilné zariadenia, ktoré poskytujú informácie o škole, zariadeniach a ponukách vzdelávania.</w:t>
      </w:r>
    </w:p>
    <w:p w14:paraId="2C7303C9" w14:textId="77777777" w:rsidR="00E526B5" w:rsidRPr="000F0A63" w:rsidRDefault="00E526B5" w:rsidP="00E526B5">
      <w:pPr>
        <w:tabs>
          <w:tab w:val="left" w:pos="28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5364F39C" w14:textId="77777777" w:rsidR="00E526B5" w:rsidRPr="000F0A63" w:rsidRDefault="00E526B5" w:rsidP="000F4434">
      <w:pPr>
        <w:keepNext/>
        <w:numPr>
          <w:ilvl w:val="0"/>
          <w:numId w:val="28"/>
        </w:numPr>
        <w:tabs>
          <w:tab w:val="left" w:pos="284"/>
        </w:tabs>
        <w:ind w:left="0" w:firstLine="0"/>
        <w:jc w:val="both"/>
        <w:outlineLvl w:val="1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Zdravotné služby</w:t>
      </w:r>
    </w:p>
    <w:p w14:paraId="62E28D59" w14:textId="77777777" w:rsidR="00E526B5" w:rsidRPr="000F0A63" w:rsidRDefault="00E526B5" w:rsidP="00E526B5">
      <w:pPr>
        <w:tabs>
          <w:tab w:val="left" w:pos="284"/>
        </w:tabs>
        <w:jc w:val="both"/>
        <w:rPr>
          <w:bCs/>
          <w:sz w:val="22"/>
          <w:szCs w:val="22"/>
          <w:rFonts w:cs="Arial"/>
        </w:rPr>
      </w:pPr>
      <w:r>
        <w:rPr>
          <w:sz w:val="22"/>
        </w:rPr>
        <w:t xml:space="preserve">Zdravotné strediská s počtom lôžok rovným alebo väčším ako 50 musia spĺňať tieto termíny a podmienky:</w:t>
      </w:r>
      <w:r>
        <w:rPr>
          <w:sz w:val="22"/>
        </w:rPr>
        <w:t xml:space="preserve"> </w:t>
      </w:r>
    </w:p>
    <w:p w14:paraId="28557BD4" w14:textId="77777777" w:rsidR="00E526B5" w:rsidRPr="000F0A63" w:rsidRDefault="00E526B5" w:rsidP="000F4434">
      <w:pPr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bCs/>
          <w:iCs/>
          <w:sz w:val="22"/>
          <w:szCs w:val="22"/>
          <w:rFonts w:cs="Arial"/>
        </w:rPr>
      </w:pPr>
      <w:r>
        <w:rPr>
          <w:sz w:val="22"/>
        </w:rPr>
        <w:t xml:space="preserve">3 roky od nadobudnutia účinnosti tohto kódexu:</w:t>
      </w:r>
    </w:p>
    <w:p w14:paraId="727C4E74" w14:textId="77777777" w:rsidR="00E526B5" w:rsidRPr="000F0A63" w:rsidRDefault="00E526B5" w:rsidP="00E526B5">
      <w:pPr>
        <w:tabs>
          <w:tab w:val="left" w:pos="284"/>
        </w:tabs>
        <w:jc w:val="both"/>
        <w:rPr>
          <w:sz w:val="22"/>
          <w:szCs w:val="22"/>
          <w:rFonts w:cs="Arial"/>
        </w:rPr>
      </w:pPr>
      <w:r>
        <w:rPr>
          <w:sz w:val="22"/>
        </w:rPr>
        <w:t xml:space="preserve">Mať infraštruktúru, mobilné zariadenia a protokoly, ktoré slúžia nepočujúcim prostredníctvom technológie tlmočenia na diaľku v katalánskom posunkovom jazyku s kapacitou najmenej 2 % lôžok.</w:t>
      </w:r>
    </w:p>
    <w:p w14:paraId="3ECFE7A1" w14:textId="77777777" w:rsidR="00E526B5" w:rsidRPr="00CC0ADF" w:rsidRDefault="00E526B5">
      <w:pPr>
        <w:rPr>
          <w:lang w:val="es-ES"/>
        </w:rPr>
      </w:pPr>
    </w:p>
    <w:sectPr w:rsidR="00E526B5" w:rsidRPr="00CC0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3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605A"/>
    <w:multiLevelType w:val="hybridMultilevel"/>
    <w:tmpl w:val="D1E01F3C"/>
    <w:lvl w:ilvl="0" w:tplc="941A511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A33B58"/>
    <w:multiLevelType w:val="multilevel"/>
    <w:tmpl w:val="E1D402DA"/>
    <w:lvl w:ilvl="0">
      <w:start w:val="13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3B4DF6"/>
    <w:multiLevelType w:val="multilevel"/>
    <w:tmpl w:val="1D50C8A4"/>
    <w:lvl w:ilvl="0">
      <w:start w:val="1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D921D0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C5445"/>
    <w:multiLevelType w:val="multilevel"/>
    <w:tmpl w:val="23D628B2"/>
    <w:lvl w:ilvl="0">
      <w:start w:val="13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AC23A12"/>
    <w:multiLevelType w:val="hybridMultilevel"/>
    <w:tmpl w:val="CC961E28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15D326C"/>
    <w:multiLevelType w:val="multilevel"/>
    <w:tmpl w:val="EBD25D6A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i w:val="0"/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60598B"/>
    <w:multiLevelType w:val="multilevel"/>
    <w:tmpl w:val="EBD25D6A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i w:val="0"/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5834F6A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7BA5079"/>
    <w:multiLevelType w:val="hybridMultilevel"/>
    <w:tmpl w:val="8B5CB6C8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E26"/>
    <w:multiLevelType w:val="multilevel"/>
    <w:tmpl w:val="131C83AE"/>
    <w:lvl w:ilvl="0">
      <w:start w:val="1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C573874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0323F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AE52EE"/>
    <w:multiLevelType w:val="hybridMultilevel"/>
    <w:tmpl w:val="22428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E0181"/>
    <w:multiLevelType w:val="hybridMultilevel"/>
    <w:tmpl w:val="4B2EB64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1DDB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7" w15:restartNumberingAfterBreak="0">
    <w:nsid w:val="324416A9"/>
    <w:multiLevelType w:val="multilevel"/>
    <w:tmpl w:val="329032A2"/>
    <w:lvl w:ilvl="0">
      <w:start w:val="13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544EB2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9" w15:restartNumberingAfterBreak="0">
    <w:nsid w:val="36B90793"/>
    <w:multiLevelType w:val="multilevel"/>
    <w:tmpl w:val="C7549A48"/>
    <w:lvl w:ilvl="0">
      <w:start w:val="1"/>
      <w:numFmt w:val="lowerLetter"/>
      <w:lvlText w:val="%1)"/>
      <w:lvlJc w:val="left"/>
      <w:pPr>
        <w:tabs>
          <w:tab w:val="num" w:pos="372"/>
        </w:tabs>
        <w:ind w:left="1080" w:hanging="360"/>
      </w:pPr>
      <w:rPr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E92ABC"/>
    <w:multiLevelType w:val="multilevel"/>
    <w:tmpl w:val="D00CE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18" w:hanging="79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/>
        <w:strike w:val="0"/>
        <w:d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401BDB"/>
    <w:multiLevelType w:val="multilevel"/>
    <w:tmpl w:val="7CDC686E"/>
    <w:lvl w:ilvl="0">
      <w:start w:val="1"/>
      <w:numFmt w:val="lowerLetter"/>
      <w:lvlText w:val="%1)"/>
      <w:lvlJc w:val="left"/>
      <w:pPr>
        <w:tabs>
          <w:tab w:val="num" w:pos="-168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</w:lvl>
  </w:abstractNum>
  <w:abstractNum w:abstractNumId="22" w15:restartNumberingAfterBreak="0">
    <w:nsid w:val="3AC73415"/>
    <w:multiLevelType w:val="multilevel"/>
    <w:tmpl w:val="9EA805DC"/>
    <w:lvl w:ilvl="0">
      <w:start w:val="1"/>
      <w:numFmt w:val="upperLetter"/>
      <w:pStyle w:val="Heading1"/>
      <w:lvlText w:val="%1"/>
      <w:lvlJc w:val="left"/>
      <w:pPr>
        <w:tabs>
          <w:tab w:val="num" w:pos="3411"/>
        </w:tabs>
        <w:ind w:left="3411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555"/>
        </w:tabs>
        <w:ind w:left="3555" w:hanging="576"/>
      </w:pPr>
      <w:rPr>
        <w:rFonts w:hint="default"/>
      </w:rPr>
    </w:lvl>
    <w:lvl w:ilvl="2">
      <w:start w:val="1"/>
      <w:numFmt w:val="decimal"/>
      <w:pStyle w:val="Heading3"/>
      <w:lvlText w:val="Artículo %3."/>
      <w:lvlJc w:val="left"/>
      <w:pPr>
        <w:tabs>
          <w:tab w:val="num" w:pos="4692"/>
        </w:tabs>
        <w:ind w:left="4692" w:hanging="720"/>
      </w:pPr>
      <w:rPr>
        <w:rFonts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pStyle w:val="Heading4"/>
      <w:lvlText w:val="%3.%4"/>
      <w:lvlJc w:val="left"/>
      <w:pPr>
        <w:tabs>
          <w:tab w:val="num" w:pos="4269"/>
        </w:tabs>
        <w:ind w:left="4269" w:hanging="86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87"/>
        </w:tabs>
        <w:ind w:left="3987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131"/>
        </w:tabs>
        <w:ind w:left="413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275"/>
        </w:tabs>
        <w:ind w:left="427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419"/>
        </w:tabs>
        <w:ind w:left="4419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Artículo%9."/>
      <w:lvlJc w:val="left"/>
      <w:pPr>
        <w:ind w:left="2979" w:firstLine="0"/>
      </w:pPr>
      <w:rPr>
        <w:rFonts w:hint="default"/>
        <w:sz w:val="22"/>
        <w:szCs w:val="22"/>
      </w:rPr>
    </w:lvl>
  </w:abstractNum>
  <w:abstractNum w:abstractNumId="23" w15:restartNumberingAfterBreak="0">
    <w:nsid w:val="40CD4004"/>
    <w:multiLevelType w:val="hybridMultilevel"/>
    <w:tmpl w:val="E4D09A10"/>
    <w:lvl w:ilvl="0" w:tplc="555049A8">
      <w:start w:val="1"/>
      <w:numFmt w:val="decimal"/>
      <w:lvlText w:val="c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4" w15:restartNumberingAfterBreak="0">
    <w:nsid w:val="422C517C"/>
    <w:multiLevelType w:val="multilevel"/>
    <w:tmpl w:val="9D60F7D8"/>
    <w:lvl w:ilvl="0">
      <w:start w:val="19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abstractNum w:abstractNumId="25" w15:restartNumberingAfterBreak="0">
    <w:nsid w:val="43030EC9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52010D7"/>
    <w:multiLevelType w:val="hybridMultilevel"/>
    <w:tmpl w:val="5E8A3040"/>
    <w:lvl w:ilvl="0" w:tplc="1A9059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D5501178">
      <w:start w:val="1"/>
      <w:numFmt w:val="decimal"/>
      <w:lvlText w:val="a%2.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E0782C"/>
    <w:multiLevelType w:val="hybridMultilevel"/>
    <w:tmpl w:val="D1E01F3C"/>
    <w:lvl w:ilvl="0" w:tplc="941A511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29F5C81"/>
    <w:multiLevelType w:val="hybridMultilevel"/>
    <w:tmpl w:val="9C7EF980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D5501178">
      <w:start w:val="1"/>
      <w:numFmt w:val="decimal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43B0E"/>
    <w:multiLevelType w:val="hybridMultilevel"/>
    <w:tmpl w:val="9C7EF980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D5501178">
      <w:start w:val="1"/>
      <w:numFmt w:val="decimal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14104A"/>
    <w:multiLevelType w:val="hybridMultilevel"/>
    <w:tmpl w:val="ED84A2EE"/>
    <w:lvl w:ilvl="0" w:tplc="555049A8">
      <w:start w:val="1"/>
      <w:numFmt w:val="decimal"/>
      <w:lvlText w:val="c%1."/>
      <w:lvlJc w:val="left"/>
      <w:pPr>
        <w:ind w:left="12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D4858AE"/>
    <w:multiLevelType w:val="multilevel"/>
    <w:tmpl w:val="A106E34C"/>
    <w:lvl w:ilvl="0">
      <w:start w:val="1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ECE4537"/>
    <w:multiLevelType w:val="multilevel"/>
    <w:tmpl w:val="02560046"/>
    <w:lvl w:ilvl="0">
      <w:start w:val="1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13915AA"/>
    <w:multiLevelType w:val="multilevel"/>
    <w:tmpl w:val="B344D3D6"/>
    <w:lvl w:ilvl="0">
      <w:start w:val="9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1B11D9B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161688"/>
    <w:multiLevelType w:val="hybridMultilevel"/>
    <w:tmpl w:val="271852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42AEC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7AC0D54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8" w15:restartNumberingAfterBreak="0">
    <w:nsid w:val="6B101FD6"/>
    <w:multiLevelType w:val="multilevel"/>
    <w:tmpl w:val="363C2194"/>
    <w:lvl w:ilvl="0">
      <w:start w:val="1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A56EFC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6ED4087D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1" w15:restartNumberingAfterBreak="0">
    <w:nsid w:val="70663A9D"/>
    <w:multiLevelType w:val="hybridMultilevel"/>
    <w:tmpl w:val="2B2A5370"/>
    <w:lvl w:ilvl="0" w:tplc="818C5BC8">
      <w:start w:val="1"/>
      <w:numFmt w:val="decimal"/>
      <w:lvlText w:val="b%1."/>
      <w:lvlJc w:val="left"/>
      <w:pPr>
        <w:ind w:left="17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86" w:hanging="360"/>
      </w:pPr>
    </w:lvl>
    <w:lvl w:ilvl="2" w:tplc="0403001B" w:tentative="1">
      <w:start w:val="1"/>
      <w:numFmt w:val="lowerRoman"/>
      <w:lvlText w:val="%3."/>
      <w:lvlJc w:val="right"/>
      <w:pPr>
        <w:ind w:left="3206" w:hanging="180"/>
      </w:pPr>
    </w:lvl>
    <w:lvl w:ilvl="3" w:tplc="0403000F" w:tentative="1">
      <w:start w:val="1"/>
      <w:numFmt w:val="decimal"/>
      <w:lvlText w:val="%4."/>
      <w:lvlJc w:val="left"/>
      <w:pPr>
        <w:ind w:left="3926" w:hanging="360"/>
      </w:pPr>
    </w:lvl>
    <w:lvl w:ilvl="4" w:tplc="04030019" w:tentative="1">
      <w:start w:val="1"/>
      <w:numFmt w:val="lowerLetter"/>
      <w:lvlText w:val="%5."/>
      <w:lvlJc w:val="left"/>
      <w:pPr>
        <w:ind w:left="4646" w:hanging="360"/>
      </w:pPr>
    </w:lvl>
    <w:lvl w:ilvl="5" w:tplc="0403001B" w:tentative="1">
      <w:start w:val="1"/>
      <w:numFmt w:val="lowerRoman"/>
      <w:lvlText w:val="%6."/>
      <w:lvlJc w:val="right"/>
      <w:pPr>
        <w:ind w:left="5366" w:hanging="180"/>
      </w:pPr>
    </w:lvl>
    <w:lvl w:ilvl="6" w:tplc="0403000F" w:tentative="1">
      <w:start w:val="1"/>
      <w:numFmt w:val="decimal"/>
      <w:lvlText w:val="%7."/>
      <w:lvlJc w:val="left"/>
      <w:pPr>
        <w:ind w:left="6086" w:hanging="360"/>
      </w:pPr>
    </w:lvl>
    <w:lvl w:ilvl="7" w:tplc="04030019" w:tentative="1">
      <w:start w:val="1"/>
      <w:numFmt w:val="lowerLetter"/>
      <w:lvlText w:val="%8."/>
      <w:lvlJc w:val="left"/>
      <w:pPr>
        <w:ind w:left="6806" w:hanging="360"/>
      </w:pPr>
    </w:lvl>
    <w:lvl w:ilvl="8" w:tplc="0403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2" w15:restartNumberingAfterBreak="0">
    <w:nsid w:val="72B145D2"/>
    <w:multiLevelType w:val="hybridMultilevel"/>
    <w:tmpl w:val="35AEBE2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333407D"/>
    <w:multiLevelType w:val="hybridMultilevel"/>
    <w:tmpl w:val="8B5CB6C8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7257"/>
    <w:multiLevelType w:val="hybridMultilevel"/>
    <w:tmpl w:val="5E8A3040"/>
    <w:lvl w:ilvl="0" w:tplc="1A9059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D5501178">
      <w:start w:val="1"/>
      <w:numFmt w:val="decimal"/>
      <w:lvlText w:val="a%2.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AE2375"/>
    <w:multiLevelType w:val="hybridMultilevel"/>
    <w:tmpl w:val="168C4606"/>
    <w:lvl w:ilvl="0" w:tplc="D5501178">
      <w:start w:val="1"/>
      <w:numFmt w:val="decimal"/>
      <w:lvlText w:val="a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F3A8D"/>
    <w:multiLevelType w:val="multilevel"/>
    <w:tmpl w:val="C6369464"/>
    <w:lvl w:ilvl="0">
      <w:start w:val="13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7C923B88"/>
    <w:multiLevelType w:val="multilevel"/>
    <w:tmpl w:val="269A4CD6"/>
    <w:lvl w:ilvl="0">
      <w:start w:val="9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1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24" w:hanging="1800"/>
      </w:pPr>
      <w:rPr>
        <w:rFonts w:hint="default"/>
      </w:rPr>
    </w:lvl>
  </w:abstractNum>
  <w:abstractNum w:abstractNumId="48" w15:restartNumberingAfterBreak="0">
    <w:nsid w:val="7D405151"/>
    <w:multiLevelType w:val="hybridMultilevel"/>
    <w:tmpl w:val="6CD0DB8E"/>
    <w:lvl w:ilvl="0" w:tplc="818C5BC8">
      <w:start w:val="1"/>
      <w:numFmt w:val="decimal"/>
      <w:lvlText w:val="b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412B6"/>
    <w:multiLevelType w:val="hybridMultilevel"/>
    <w:tmpl w:val="10BC3C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2753">
    <w:abstractNumId w:val="22"/>
    <w:lvlOverride w:ilvl="0">
      <w:lvl w:ilvl="0">
        <w:start w:val="1"/>
        <w:numFmt w:val="upperLetter"/>
        <w:pStyle w:val="Heading1"/>
        <w:lvlText w:val="%1"/>
        <w:lvlJc w:val="left"/>
        <w:pPr>
          <w:tabs>
            <w:tab w:val="num" w:pos="3411"/>
          </w:tabs>
          <w:ind w:left="341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3555"/>
          </w:tabs>
          <w:ind w:left="355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Artículo %3."/>
        <w:lvlJc w:val="left"/>
        <w:pPr>
          <w:tabs>
            <w:tab w:val="num" w:pos="862"/>
          </w:tabs>
          <w:ind w:left="862" w:hanging="720"/>
        </w:pPr>
        <w:rPr>
          <w:rFonts w:ascii="Arial" w:hAnsi="Arial"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Heading4"/>
        <w:lvlText w:val="%3.%4"/>
        <w:lvlJc w:val="left"/>
        <w:pPr>
          <w:tabs>
            <w:tab w:val="num" w:pos="1290"/>
          </w:tabs>
          <w:ind w:left="1290" w:hanging="864"/>
        </w:pPr>
        <w:rPr>
          <w:rFonts w:ascii="Arial" w:hAnsi="Arial" w:cs="Arial"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3987"/>
          </w:tabs>
          <w:ind w:left="3987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4131"/>
          </w:tabs>
          <w:ind w:left="4131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4275"/>
          </w:tabs>
          <w:ind w:left="4275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4419"/>
          </w:tabs>
          <w:ind w:left="4419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suff w:val="space"/>
        <w:lvlText w:val="Artículo%9."/>
        <w:lvlJc w:val="left"/>
        <w:pPr>
          <w:ind w:left="2979" w:firstLine="0"/>
        </w:pPr>
        <w:rPr>
          <w:rFonts w:hint="default"/>
          <w:sz w:val="22"/>
          <w:szCs w:val="22"/>
        </w:rPr>
      </w:lvl>
    </w:lvlOverride>
  </w:num>
  <w:num w:numId="2" w16cid:durableId="718093796">
    <w:abstractNumId w:val="33"/>
  </w:num>
  <w:num w:numId="3" w16cid:durableId="583103481">
    <w:abstractNumId w:val="47"/>
  </w:num>
  <w:num w:numId="4" w16cid:durableId="270474763">
    <w:abstractNumId w:val="19"/>
  </w:num>
  <w:num w:numId="5" w16cid:durableId="919604255">
    <w:abstractNumId w:val="8"/>
  </w:num>
  <w:num w:numId="6" w16cid:durableId="695890123">
    <w:abstractNumId w:val="49"/>
  </w:num>
  <w:num w:numId="7" w16cid:durableId="1926382303">
    <w:abstractNumId w:val="7"/>
  </w:num>
  <w:num w:numId="8" w16cid:durableId="1009717288">
    <w:abstractNumId w:val="38"/>
  </w:num>
  <w:num w:numId="9" w16cid:durableId="1687365737">
    <w:abstractNumId w:val="32"/>
  </w:num>
  <w:num w:numId="10" w16cid:durableId="1113400361">
    <w:abstractNumId w:val="9"/>
  </w:num>
  <w:num w:numId="11" w16cid:durableId="1843080803">
    <w:abstractNumId w:val="3"/>
  </w:num>
  <w:num w:numId="12" w16cid:durableId="1537085568">
    <w:abstractNumId w:val="36"/>
  </w:num>
  <w:num w:numId="13" w16cid:durableId="917178159">
    <w:abstractNumId w:val="31"/>
  </w:num>
  <w:num w:numId="14" w16cid:durableId="1620529355">
    <w:abstractNumId w:val="34"/>
  </w:num>
  <w:num w:numId="15" w16cid:durableId="1476072087">
    <w:abstractNumId w:val="2"/>
  </w:num>
  <w:num w:numId="16" w16cid:durableId="1743017668">
    <w:abstractNumId w:val="42"/>
  </w:num>
  <w:num w:numId="17" w16cid:durableId="811026061">
    <w:abstractNumId w:val="46"/>
  </w:num>
  <w:num w:numId="18" w16cid:durableId="1956474413">
    <w:abstractNumId w:val="17"/>
  </w:num>
  <w:num w:numId="19" w16cid:durableId="256183655">
    <w:abstractNumId w:val="39"/>
  </w:num>
  <w:num w:numId="20" w16cid:durableId="390421390">
    <w:abstractNumId w:val="11"/>
  </w:num>
  <w:num w:numId="21" w16cid:durableId="373964347">
    <w:abstractNumId w:val="27"/>
  </w:num>
  <w:num w:numId="22" w16cid:durableId="521018600">
    <w:abstractNumId w:val="1"/>
  </w:num>
  <w:num w:numId="23" w16cid:durableId="1547259518">
    <w:abstractNumId w:val="5"/>
  </w:num>
  <w:num w:numId="24" w16cid:durableId="1823034120">
    <w:abstractNumId w:val="24"/>
  </w:num>
  <w:num w:numId="25" w16cid:durableId="187523253">
    <w:abstractNumId w:val="35"/>
  </w:num>
  <w:num w:numId="26" w16cid:durableId="1018315895">
    <w:abstractNumId w:val="21"/>
  </w:num>
  <w:num w:numId="27" w16cid:durableId="86314018">
    <w:abstractNumId w:val="15"/>
  </w:num>
  <w:num w:numId="28" w16cid:durableId="841817771">
    <w:abstractNumId w:val="20"/>
  </w:num>
  <w:num w:numId="29" w16cid:durableId="845435210">
    <w:abstractNumId w:val="44"/>
  </w:num>
  <w:num w:numId="30" w16cid:durableId="1216969531">
    <w:abstractNumId w:val="28"/>
  </w:num>
  <w:num w:numId="31" w16cid:durableId="1661931748">
    <w:abstractNumId w:val="6"/>
  </w:num>
  <w:num w:numId="32" w16cid:durableId="593899597">
    <w:abstractNumId w:val="0"/>
  </w:num>
  <w:num w:numId="33" w16cid:durableId="748118081">
    <w:abstractNumId w:val="16"/>
  </w:num>
  <w:num w:numId="34" w16cid:durableId="1750420613">
    <w:abstractNumId w:val="29"/>
  </w:num>
  <w:num w:numId="35" w16cid:durableId="1534805617">
    <w:abstractNumId w:val="13"/>
  </w:num>
  <w:num w:numId="36" w16cid:durableId="651521266">
    <w:abstractNumId w:val="40"/>
  </w:num>
  <w:num w:numId="37" w16cid:durableId="1129936482">
    <w:abstractNumId w:val="18"/>
  </w:num>
  <w:num w:numId="38" w16cid:durableId="1697923045">
    <w:abstractNumId w:val="30"/>
  </w:num>
  <w:num w:numId="39" w16cid:durableId="2129003545">
    <w:abstractNumId w:val="26"/>
  </w:num>
  <w:num w:numId="40" w16cid:durableId="1399785119">
    <w:abstractNumId w:val="45"/>
  </w:num>
  <w:num w:numId="41" w16cid:durableId="577634730">
    <w:abstractNumId w:val="37"/>
  </w:num>
  <w:num w:numId="42" w16cid:durableId="329721675">
    <w:abstractNumId w:val="14"/>
  </w:num>
  <w:num w:numId="43" w16cid:durableId="675576830">
    <w:abstractNumId w:val="43"/>
  </w:num>
  <w:num w:numId="44" w16cid:durableId="80835361">
    <w:abstractNumId w:val="41"/>
  </w:num>
  <w:num w:numId="45" w16cid:durableId="95253236">
    <w:abstractNumId w:val="25"/>
  </w:num>
  <w:num w:numId="46" w16cid:durableId="1550342143">
    <w:abstractNumId w:val="4"/>
  </w:num>
  <w:num w:numId="47" w16cid:durableId="566258002">
    <w:abstractNumId w:val="10"/>
  </w:num>
  <w:num w:numId="48" w16cid:durableId="1322854315">
    <w:abstractNumId w:val="48"/>
  </w:num>
  <w:num w:numId="49" w16cid:durableId="1916628148">
    <w:abstractNumId w:val="12"/>
  </w:num>
  <w:num w:numId="50" w16cid:durableId="2058579628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DF"/>
    <w:rsid w:val="000B6FCF"/>
    <w:rsid w:val="000F4434"/>
    <w:rsid w:val="003920DF"/>
    <w:rsid w:val="005917F0"/>
    <w:rsid w:val="00B670F2"/>
    <w:rsid w:val="00CC0ADF"/>
    <w:rsid w:val="00CF1E0D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1693"/>
  <w15:chartTrackingRefBased/>
  <w15:docId w15:val="{8675E010-830B-4FAB-ACB8-2339C25E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D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ca-E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0ADF"/>
    <w:pPr>
      <w:keepNext/>
      <w:numPr>
        <w:numId w:val="1"/>
      </w:numPr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C0ADF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C0ADF"/>
    <w:pPr>
      <w:keepNext/>
      <w:numPr>
        <w:ilvl w:val="2"/>
        <w:numId w:val="1"/>
      </w:numPr>
      <w:tabs>
        <w:tab w:val="clear" w:pos="862"/>
        <w:tab w:val="num" w:pos="4692"/>
      </w:tabs>
      <w:spacing w:before="240" w:after="60"/>
      <w:ind w:left="4692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C0ADF"/>
    <w:pPr>
      <w:keepNext/>
      <w:numPr>
        <w:ilvl w:val="3"/>
        <w:numId w:val="1"/>
      </w:numPr>
      <w:tabs>
        <w:tab w:val="clear" w:pos="1290"/>
        <w:tab w:val="num" w:pos="4269"/>
      </w:tabs>
      <w:spacing w:before="240" w:after="60"/>
      <w:ind w:left="4269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C0ADF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C0ADF"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C0AD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C0ADF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CC0AD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0ADF"/>
    <w:rPr>
      <w:rFonts w:ascii="Arial" w:eastAsia="Times New Roman" w:hAnsi="Arial" w:cs="Times New Roman"/>
      <w:b/>
      <w:bCs/>
      <w:caps/>
      <w:kern w:val="32"/>
      <w:sz w:val="28"/>
      <w:szCs w:val="32"/>
      <w:lang w:eastAsia="ca-ES"/>
      <w14:ligatures w14:val="none"/>
    </w:rPr>
  </w:style>
  <w:style w:type="character" w:customStyle="1" w:styleId="Heading2Char">
    <w:name w:val="Heading 2 Char"/>
    <w:basedOn w:val="DefaultParagraphFont"/>
    <w:link w:val="Heading2"/>
    <w:rsid w:val="00CC0ADF"/>
    <w:rPr>
      <w:rFonts w:ascii="Arial" w:eastAsia="Times New Roman" w:hAnsi="Arial" w:cs="Times New Roman"/>
      <w:b/>
      <w:bCs/>
      <w:iCs/>
      <w:kern w:val="0"/>
      <w:sz w:val="24"/>
      <w:szCs w:val="28"/>
      <w:lang w:eastAsia="ca-ES"/>
      <w14:ligatures w14:val="none"/>
    </w:rPr>
  </w:style>
  <w:style w:type="character" w:customStyle="1" w:styleId="Heading3Char">
    <w:name w:val="Heading 3 Char"/>
    <w:basedOn w:val="DefaultParagraphFont"/>
    <w:link w:val="Heading3"/>
    <w:rsid w:val="00CC0ADF"/>
    <w:rPr>
      <w:rFonts w:ascii="Arial" w:eastAsia="Times New Roman" w:hAnsi="Arial" w:cs="Times New Roman"/>
      <w:b/>
      <w:bCs/>
      <w:kern w:val="0"/>
      <w:sz w:val="24"/>
      <w:szCs w:val="26"/>
      <w:lang w:eastAsia="ca-ES"/>
      <w14:ligatures w14:val="none"/>
    </w:rPr>
  </w:style>
  <w:style w:type="character" w:customStyle="1" w:styleId="Heading4Char">
    <w:name w:val="Heading 4 Char"/>
    <w:basedOn w:val="DefaultParagraphFont"/>
    <w:link w:val="Heading4"/>
    <w:rsid w:val="00CC0ADF"/>
    <w:rPr>
      <w:rFonts w:ascii="Arial" w:eastAsia="Times New Roman" w:hAnsi="Arial" w:cs="Times New Roman"/>
      <w:bCs/>
      <w:kern w:val="0"/>
      <w:sz w:val="24"/>
      <w:szCs w:val="28"/>
      <w:lang w:eastAsia="ca-ES"/>
      <w14:ligatures w14:val="none"/>
    </w:rPr>
  </w:style>
  <w:style w:type="character" w:customStyle="1" w:styleId="Heading5Char">
    <w:name w:val="Heading 5 Char"/>
    <w:basedOn w:val="DefaultParagraphFont"/>
    <w:link w:val="Heading5"/>
    <w:rsid w:val="00CC0ADF"/>
    <w:rPr>
      <w:rFonts w:ascii="Arial" w:eastAsia="Times New Roman" w:hAnsi="Arial" w:cs="Times New Roman"/>
      <w:bCs/>
      <w:iCs/>
      <w:kern w:val="0"/>
      <w:sz w:val="24"/>
      <w:szCs w:val="26"/>
      <w:lang w:eastAsia="ca-ES"/>
      <w14:ligatures w14:val="none"/>
    </w:rPr>
  </w:style>
  <w:style w:type="character" w:customStyle="1" w:styleId="Heading6Char">
    <w:name w:val="Heading 6 Char"/>
    <w:basedOn w:val="DefaultParagraphFont"/>
    <w:link w:val="Heading6"/>
    <w:rsid w:val="00CC0ADF"/>
    <w:rPr>
      <w:rFonts w:ascii="Arial" w:eastAsia="Times New Roman" w:hAnsi="Arial" w:cs="Times New Roman"/>
      <w:bCs/>
      <w:kern w:val="0"/>
      <w:sz w:val="24"/>
      <w:lang w:eastAsia="ca-ES"/>
      <w14:ligatures w14:val="none"/>
    </w:rPr>
  </w:style>
  <w:style w:type="character" w:customStyle="1" w:styleId="Heading7Char">
    <w:name w:val="Heading 7 Char"/>
    <w:basedOn w:val="DefaultParagraphFont"/>
    <w:link w:val="Heading7"/>
    <w:rsid w:val="00CC0ADF"/>
    <w:rPr>
      <w:rFonts w:ascii="Arial" w:eastAsia="Times New Roman" w:hAnsi="Arial" w:cs="Times New Roman"/>
      <w:kern w:val="0"/>
      <w:sz w:val="24"/>
      <w:szCs w:val="24"/>
      <w:lang w:eastAsia="ca-ES"/>
      <w14:ligatures w14:val="none"/>
    </w:rPr>
  </w:style>
  <w:style w:type="character" w:customStyle="1" w:styleId="Heading8Char">
    <w:name w:val="Heading 8 Char"/>
    <w:basedOn w:val="DefaultParagraphFont"/>
    <w:link w:val="Heading8"/>
    <w:rsid w:val="00CC0ADF"/>
    <w:rPr>
      <w:rFonts w:ascii="Arial" w:eastAsia="Times New Roman" w:hAnsi="Arial" w:cs="Times New Roman"/>
      <w:iCs/>
      <w:kern w:val="0"/>
      <w:sz w:val="24"/>
      <w:szCs w:val="24"/>
      <w:lang w:eastAsia="ca-ES"/>
      <w14:ligatures w14:val="none"/>
    </w:rPr>
  </w:style>
  <w:style w:type="character" w:customStyle="1" w:styleId="Heading9Char">
    <w:name w:val="Heading 9 Char"/>
    <w:basedOn w:val="DefaultParagraphFont"/>
    <w:link w:val="Heading9"/>
    <w:rsid w:val="00CC0ADF"/>
    <w:rPr>
      <w:rFonts w:ascii="Arial" w:eastAsia="Times New Roman" w:hAnsi="Arial" w:cs="Times New Roman"/>
      <w:kern w:val="0"/>
      <w:sz w:val="24"/>
      <w:lang w:eastAsia="ca-ES"/>
      <w14:ligatures w14:val="none"/>
    </w:rPr>
  </w:style>
  <w:style w:type="paragraph" w:styleId="ListParagraph">
    <w:name w:val="List Paragraph"/>
    <w:basedOn w:val="Normal"/>
    <w:uiPriority w:val="34"/>
    <w:qFormat/>
    <w:rsid w:val="00CC0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Brili</dc:creator>
  <cp:keywords/>
  <dc:description/>
  <cp:lastModifiedBy>Liana Brili</cp:lastModifiedBy>
  <cp:revision>3</cp:revision>
  <dcterms:created xsi:type="dcterms:W3CDTF">2023-04-26T07:42:00Z</dcterms:created>
  <dcterms:modified xsi:type="dcterms:W3CDTF">2023-05-02T16:13:00Z</dcterms:modified>
</cp:coreProperties>
</file>