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Návrh právneho predpisu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Predpisy Švédskej chemickej agentúry (KIFS 2017:7) o chemických výrobkoch a biotechnologických organizmoch</w:t>
      </w:r>
    </w:p>
    <w:p w14:paraId="7AFDF2AB" w14:textId="7BEF76B0" w:rsidR="009F020D" w:rsidRDefault="009F020D" w:rsidP="009F020D">
      <w:r>
        <w:t xml:space="preserve">Kapitola 4</w:t>
      </w:r>
      <w:r>
        <w:t xml:space="preserve"> </w:t>
      </w:r>
    </w:p>
    <w:p w14:paraId="794D3BB0" w14:textId="540B037C" w:rsidR="009F020D" w:rsidRDefault="009F020D" w:rsidP="009F020D">
      <w:r>
        <w:t xml:space="preserve">§ 3 Ustanovenia § 7 a § 9 – § 14 nariadenia (2008:245) sa nevzťahujú na hydroxid sodný a hydroxid draselný ako látky alebo zahrnuté v zmesiach.</w:t>
      </w:r>
      <w:r>
        <w:t xml:space="preserve"> </w:t>
      </w:r>
      <w:r>
        <w:t xml:space="preserve">Ustanovenia sa nevzťahujú ani na výbušniny, vykurovacie oleje alebo palivá určené na prevádzku motorov.</w:t>
      </w:r>
      <w:r>
        <w:t xml:space="preserve">  </w:t>
      </w:r>
    </w:p>
    <w:p w14:paraId="22F7CF4B" w14:textId="77777777" w:rsidR="009F020D" w:rsidRDefault="009F020D" w:rsidP="009F020D">
      <w:r>
        <w:t xml:space="preserve">§ 3a Odchylne od § 3 sa však vyžaduje povolenie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na manipuláciu, ktorá nie je profesionálna podľa § 7 ods. 1 nariadenia (2008:245), s hydroxidom sodným a hydroxidom draselným ako látkami alebo zahrnutými v zmesiach, ktoré sú určené na čistenie odtokov.</w:t>
      </w:r>
      <w:r>
        <w:t xml:space="preserve"> </w:t>
      </w:r>
      <w:r>
        <w:t xml:space="preserve">Na uvedené výrobky sa vzťahujú aj ustanovenia § 9 ods. 2 nariadenia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