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5. aprilli 2024. aasta dekreet nr 2024-316 elektri- ja elektroonikaseadmete vastupidavusindeksi kohta</w:t>
      </w:r>
    </w:p>
    <w:p w14:paraId="16D700DD"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NOR: TRED2329205D</w:t>
      </w:r>
    </w:p>
    <w:p w14:paraId="7D920524" w14:textId="192AB7B9"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https://www.legifrance.gouv.fr/eli/decret/2024/4/5/TRED2329205D/jo/texte</w:t>
        </w:r>
      </w:hyperlink>
    </w:p>
    <w:p w14:paraId="6CAA6AAE" w14:textId="783AAEE7"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Alias: </w:t>
      </w:r>
      <w:hyperlink r:id="rId5" w:history="1">
        <w:r>
          <w:rPr>
            <w:rStyle w:val="Hyperlink"/>
            <w:rFonts w:ascii="Times New Roman" w:hAnsi="Times New Roman"/>
            <w:sz w:val="24"/>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JORF nr 0082, 7. aprill 2024. a.</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Tekst nr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Sihtrühmad: elektri- ja elektroonikaseadmete tootjad, importijad, turustajad või muud levitajad ning samade seadmete müüjad, samuti need, kes kasutavad Prantsusmaal oma äritegevuse raames veebisaiti, platvormi või muud veebipõhist turustamiskanalit. </w:t>
      </w:r>
      <w:r>
        <w:rPr>
          <w:rFonts w:ascii="Times New Roman" w:hAnsi="Times New Roman"/>
          <w:sz w:val="24"/>
        </w:rPr>
        <w:br/>
        <w:t xml:space="preserve">Teema: keskkonnaseadustiku artiklis L. 541-9-2 määratletud vastupidavusindeksi rakenduseeskirjad. </w:t>
      </w:r>
      <w:r>
        <w:rPr>
          <w:rFonts w:ascii="Times New Roman" w:hAnsi="Times New Roman"/>
          <w:sz w:val="24"/>
        </w:rPr>
        <w:br/>
        <w:t xml:space="preserve">Jõustumine: tekst jõustub avaldamisele järgneval päeval. </w:t>
      </w:r>
      <w:r>
        <w:rPr>
          <w:rFonts w:ascii="Times New Roman" w:hAnsi="Times New Roman"/>
          <w:sz w:val="24"/>
        </w:rPr>
        <w:br/>
        <w:t xml:space="preserve">Teatis: käesolevas dekreedis määratletakse keskkonnaseadustiku artikli L. 541–9-2 rakenduseeskirjad, mis näevad ette vastupidavusindeksi kasutuselevõtmise teatavate elektri- ja elektroonikaseadmete kategooriate puhul. Selles täpsustatakse eelkõige selle indeksi koostamiseks kasutatud arvutuste kriteeriumid ja parameetrid ning selle edastamise ja esitamisega seotud kohustuste üldine raamistik. </w:t>
      </w:r>
      <w:r>
        <w:rPr>
          <w:rFonts w:ascii="Times New Roman" w:hAnsi="Times New Roman"/>
          <w:sz w:val="24"/>
        </w:rPr>
        <w:br/>
        <w:t xml:space="preserve">Viited: käesoleva dekreediga saab tutvuda Prantsuse õigusaktide andmebaasis Légifrance (https://www.legifrance.gouv.fr).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Peaminister,</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seoses majandus-, rahandus-, tööstus- ja digitaalse suveräänsuse ministri ning ökoloogilise ülemineku ja territoriaalse ühtekuuluvuse ministri aruandega,</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võttes arvesse Euroopa Parlamendi ja nõukogu 9. septembri 2015. aasta direktiivi (EL) 2015/1535, millega nähakse ette tehnilistest eeskirjadest ning infoühiskonna teenuste eeskirjadest teatamise kord, koos 2. augustil 2023. aastal Euroopa Komisjonile saadetud teatisega 2023/477-481/FR ning 27. oktoobri 2023. aasta ja 5. veebruari 2024. aasta vastusega neile,</w:t>
      </w:r>
      <w:r>
        <w:rPr>
          <w:rFonts w:ascii="Times New Roman" w:hAnsi="Times New Roman"/>
          <w:sz w:val="24"/>
        </w:rPr>
        <w:br/>
        <w:t>võttes arvesse keskkonnaseadustikku, eelkõige artikleid L. 541-9-1, L. 541-9-2, L. 541-9-4 ja L. 541-9-4-1,</w:t>
      </w:r>
      <w:r>
        <w:rPr>
          <w:rFonts w:ascii="Times New Roman" w:hAnsi="Times New Roman"/>
          <w:sz w:val="24"/>
        </w:rPr>
        <w:br/>
        <w:t>võttes arvesse üldsuse ja haldusasutuste vaheliste suhete koodeksit, eriti selle III raamatut,</w:t>
      </w:r>
      <w:r>
        <w:rPr>
          <w:rFonts w:ascii="Times New Roman" w:hAnsi="Times New Roman"/>
          <w:sz w:val="24"/>
        </w:rPr>
        <w:br/>
        <w:t>võttes arvesse keskkonnaseadustiku artikli L. 123-19-1 kohaselt 2023.aasta 5. septembri ja 13. oktoobri vahel toimunud avaliku arutelu käigus tehtud tähelepanekuid,</w:t>
      </w:r>
      <w:r>
        <w:rPr>
          <w:rFonts w:ascii="Times New Roman" w:hAnsi="Times New Roman"/>
          <w:sz w:val="24"/>
        </w:rPr>
        <w:br/>
        <w:t>olles kuulanud ära riiginõukogu (avalike tööde osakonna) arvamuse,</w:t>
      </w:r>
      <w:r>
        <w:rPr>
          <w:rFonts w:ascii="Times New Roman" w:hAnsi="Times New Roman"/>
          <w:sz w:val="24"/>
        </w:rPr>
        <w:br/>
        <w:t>võtab vastu järgmise dekreedi.</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1</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Keskkonnaseadustiku reguleeriva osa 9. jao I peatüki V raamatu IV jaotisesse lisatakse lõige 2 järgmiselt: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Alajaotis 2</w:t>
      </w:r>
      <w:r>
        <w:rPr>
          <w:rFonts w:ascii="Times New Roman" w:hAnsi="Times New Roman"/>
          <w:sz w:val="24"/>
        </w:rPr>
        <w:br/>
        <w:t xml:space="preserve">„Elektri- ja elektroonikaseadmetele rakendatava vastupidavusindeksi esitamine.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541-215. Käesolevat alajaotist kohaldatakse uute elektri- ja elektroonikaseadmete kategooriate suhtes, mis on määratletud keskkonna- ja majandusministrite korraldusega.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541-216. Tootjate või importijate poolt artikli L. 541-9-2 II osa kohaselt kehtestatud vastupidavusindeks koosneb punktisummast, mis määratakse iga seadmemudeli kohta vastavalt allpool sätestatud menetlustele. See punktisumma on mõeldud tarbijatele uute seadmete ostmise ajal teatavaks tegemiseks. </w:t>
      </w:r>
      <w:r>
        <w:rPr>
          <w:rFonts w:ascii="Times New Roman" w:hAnsi="Times New Roman"/>
          <w:sz w:val="24"/>
        </w:rPr>
        <w:br/>
        <w:t xml:space="preserve">„ Vastupidavusindeks asendab artikli R. 541-9-2 I osas sätestatud parandatavuse indeksit alates vastava seadmekategooria vastupidavusindeksi kohustuse jõustumisest.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541-217. Käesolevas alajaotises kasutatakse järgmisi mõisteid: </w:t>
      </w:r>
      <w:r>
        <w:rPr>
          <w:rFonts w:ascii="Times New Roman" w:hAnsi="Times New Roman"/>
          <w:sz w:val="24"/>
        </w:rPr>
        <w:br/>
        <w:t xml:space="preserve">„1. „turul kättesaadavaks tegemine“ – riigisisesel turul levitamiseks või kasutamiseks mõeldud seadmete tasu eest või tasuta tarnimine äritegevuse käigus; </w:t>
      </w:r>
      <w:r>
        <w:rPr>
          <w:rFonts w:ascii="Times New Roman" w:hAnsi="Times New Roman"/>
          <w:sz w:val="24"/>
        </w:rPr>
        <w:br/>
        <w:t xml:space="preserve">„2. „turule laskmine“ – seadmete esmakordne kättesaadavaks tegemine riigisisesel turul; </w:t>
      </w:r>
      <w:r>
        <w:rPr>
          <w:rFonts w:ascii="Times New Roman" w:hAnsi="Times New Roman"/>
          <w:sz w:val="24"/>
        </w:rPr>
        <w:br/>
        <w:t xml:space="preserve">„3. „tootja“ – iga füüsiline või juriidiline isik, kes toodab või laseb seadmeid projekteerida ja turustada oma nime või kaubamärgi all; </w:t>
      </w:r>
      <w:r>
        <w:rPr>
          <w:rFonts w:ascii="Times New Roman" w:hAnsi="Times New Roman"/>
          <w:sz w:val="24"/>
        </w:rPr>
        <w:br/>
        <w:t xml:space="preserve">„4. „importija“ – iga füüsiline või juriidiline isik, kes laseb seadmeid turule Euroopa Liidu liikmesriikidest või kolmandatest riikidest; </w:t>
      </w:r>
      <w:r>
        <w:rPr>
          <w:rFonts w:ascii="Times New Roman" w:hAnsi="Times New Roman"/>
          <w:sz w:val="24"/>
        </w:rPr>
        <w:br/>
        <w:t xml:space="preserve">„5. „turustaja“ – iga tarneahelas osalev füüsiline või juriidiline isik, välja arvatud tootja või importija, kes pakub seadmeid müügiks siseturul; </w:t>
      </w:r>
      <w:r>
        <w:rPr>
          <w:rFonts w:ascii="Times New Roman" w:hAnsi="Times New Roman"/>
          <w:sz w:val="24"/>
        </w:rPr>
        <w:br/>
        <w:t xml:space="preserve">„6. „müüja“ – iga füüsiline või juriidiline isik, kes teeb äritegevuse käigus tarbijatele seadmeid, sealhulgas kaugmüügi teel, turul kättesaadavaks; </w:t>
      </w:r>
      <w:r>
        <w:rPr>
          <w:rFonts w:ascii="Times New Roman" w:hAnsi="Times New Roman"/>
          <w:sz w:val="24"/>
        </w:rPr>
        <w:br/>
        <w:t xml:space="preserve">„7. „kaugmüük“ – kutselise müüja ja tarbija vahel sõlmitud leping, mis sõlmitakse korraldatud müügisüsteemi alusel sidevahendi abil ilma kaupleja ja tarbija üheaegse füüsilise kohalolekuta, kasutades eranditult üht või mitut kaugsidevahendit kuni lepingu sõlmimiseni; </w:t>
      </w:r>
      <w:r>
        <w:rPr>
          <w:rFonts w:ascii="Times New Roman" w:hAnsi="Times New Roman"/>
          <w:sz w:val="24"/>
        </w:rPr>
        <w:br/>
        <w:t xml:space="preserve">„8. „ mudel“ – seadme versioon, mille kõigil ühikutel on indeksi arvutamiseks samad asjakohased tehnilised omadused. </w:t>
      </w:r>
      <w:r>
        <w:rPr>
          <w:rFonts w:ascii="Times New Roman" w:hAnsi="Times New Roman"/>
          <w:sz w:val="24"/>
        </w:rPr>
        <w:br/>
        <w:t xml:space="preserve">„9. „Samaväärsed mudelid“ – mudelite rühm, millel on samad tehnilised omadused, mis on olulised tehtava töökindluse katse jaoks ja mille on turule lasknud või kasutusele võtnud sama tootja, importija või muul viisil turule laskmine teise mudelina, millel on muu mudeli võrdlusalus.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br/>
        <w:t xml:space="preserve">„ Artikkel R. 541-218.-I. Tootjad või importijad kehtestavad iga nende poolt turule lastavate seadmete mudeli jaoks vastupidavusindeksi ja parameetrid, mis võimaldasid selle kindlaks määrata vastavalt keskkonna- ja majandusministrite korralduses sätestatud korrale. </w:t>
      </w:r>
      <w:r>
        <w:rPr>
          <w:rFonts w:ascii="Times New Roman" w:hAnsi="Times New Roman"/>
          <w:sz w:val="24"/>
        </w:rPr>
        <w:br/>
        <w:t xml:space="preserve">„II. Tootjad või importijad edastavad elektrooniliselt ja tasuta ning turustajatele või müüjatele seadmete nimekirja kandmise ja tarnimise ajal iga turule lastud seadmemudeli kohta järgmise:  </w:t>
      </w:r>
      <w:r>
        <w:rPr>
          <w:rFonts w:ascii="Times New Roman" w:hAnsi="Times New Roman"/>
          <w:sz w:val="24"/>
        </w:rPr>
        <w:br/>
        <w:t xml:space="preserve">„1. vastupidavusindeks vastavalt I osas nimetatud korralduses sätestatud tingimustele ja </w:t>
      </w:r>
      <w:r>
        <w:rPr>
          <w:rFonts w:ascii="Times New Roman" w:hAnsi="Times New Roman"/>
          <w:sz w:val="24"/>
        </w:rPr>
        <w:lastRenderedPageBreak/>
        <w:t xml:space="preserve">märkidele; </w:t>
      </w:r>
      <w:r>
        <w:rPr>
          <w:rFonts w:ascii="Times New Roman" w:hAnsi="Times New Roman"/>
          <w:sz w:val="24"/>
        </w:rPr>
        <w:br/>
        <w:t xml:space="preserve">„2. vastupidavusindeksi punktisumma jaoks arvesse võetud elementide üksikasju sisaldav tabel vastavalt I osas nimetatud korraldusega sätestatud esitlusvormile.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 Kui turustaja ei ole müüjaga sama isik, edastab turustaja II osa punktides 1 ja 2 osutatud tingimustel müüjale tasuta indeksi ja II osas viidatud tabeli elektri- ja elektroonikaseadmete nimekirja kandmise ja tarnimise ajal. </w:t>
      </w:r>
      <w:r>
        <w:rPr>
          <w:rFonts w:ascii="Times New Roman" w:hAnsi="Times New Roman"/>
          <w:sz w:val="24"/>
        </w:rPr>
        <w:br/>
        <w:t xml:space="preserve">„ IV. Indeksi võib lisaks kinnitada otse igale seadmele või pakendile märgistamise või tähistamise teel, järgides selleks I osas nimetatud ettenähtud märke.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II osas osutatud teave tehakse üldsusele elektrooniliselt kättesaadavaks ja tootjad või importijad edastavad selle tasuta viie tööpäeva jooksul kõigile isikutele, kes seda taotlevad vähemalt kahe aasta jooksul pärast seadmemudeli viimase seadme turule laskmist.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541-219. Haldusasutus tagab tsentraliseeritud juurdepääsu artikli R. 541-218 II osas osutatud teabele allpool sätestatud tingimustel. </w:t>
      </w:r>
      <w:r>
        <w:rPr>
          <w:rFonts w:ascii="Times New Roman" w:hAnsi="Times New Roman"/>
          <w:sz w:val="24"/>
        </w:rPr>
        <w:br/>
        <w:t xml:space="preserve">„ Iga seadmekategooria kohta esitatakse indeks, arvutusparameetrid, mis võimaldasid selle kindlaks määrata, välja arvatud varuosade hinnaga seotud parameetrid, ning teave mudelite kindlaksmääramise ja punktisummade arvutamise meetodite kohta üldsuse ja ametiasutuste vaheliste suhete seadustiku artiklis R. 321-8 osutatud ühtses osakondadevahelises portaalis. </w:t>
      </w:r>
      <w:r>
        <w:rPr>
          <w:rFonts w:ascii="Times New Roman" w:hAnsi="Times New Roman"/>
          <w:sz w:val="24"/>
        </w:rPr>
        <w:br/>
        <w:t xml:space="preserve">„ Andmed edastatakse ja avalikustatakse tootja või importija vastutusel vastavalt selles portaalis saadaolevale andmekavale. Keskkonna- ja majandusministrite korralduses täpsustatakse vajaduse korral andmekava rakendamise tehniline kord. </w:t>
      </w:r>
      <w:r>
        <w:rPr>
          <w:rFonts w:ascii="Times New Roman" w:hAnsi="Times New Roman"/>
          <w:sz w:val="24"/>
        </w:rPr>
        <w:br/>
        <w:t xml:space="preserve">„ Neid andmeid saab taaskasutada üldsuse ja haldusasutuste vaheliste suhete seadustiku III raamatu II jaotises sätestatud tingimustel ning sama seadustiku artikli D. 323-2-1 I osa punktis 1 nimetatud avatud litsentsi tingimuste kohaselt. </w:t>
      </w:r>
      <w:r>
        <w:rPr>
          <w:rFonts w:ascii="Times New Roman" w:hAnsi="Times New Roman"/>
          <w:sz w:val="24"/>
        </w:rPr>
        <w:br/>
        <w:t xml:space="preserve">„ Kui mudeli vastupidavusindeksi punktisumma arvutamist ajakohastatakse, ajakohastatakse neid andmeid ajavahemiku jooksul, mis ei ole pikem kui üks kuu.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541-220.-I. Kui seadet pakutakse müügiks kauplustes, peab müüja artikli R. 541-218 I osas nimetatud korraldusega ettenähtud viisil ja märgistusega iga müügiks pakutava seadme peal või selle vahetus läheduses nähtavalt, loetavalt ja kergesti ligipääsetaval viisil esitama vastupidavusindeksi. </w:t>
      </w:r>
      <w:r>
        <w:rPr>
          <w:rFonts w:ascii="Times New Roman" w:hAnsi="Times New Roman"/>
          <w:sz w:val="24"/>
        </w:rPr>
        <w:br/>
        <w:t xml:space="preserve">„ II. Kui seadet pakutakse müügiks kaugmüügi teel, siis müüja esitab vastupidavusindeksi nähtaval, loetavalt ja kergesti ligipääsetaval viisil seadmete esitlemisel ja kõikidel veebisaitidel, millel pakutakse seadmete ostmist, asjaomase hinna märkimise lähedal, artikli R. 541-218 I osas nimetatud korralduses ettenähtud viisil ja märgistusega. See kohustus ei kehti tellimuste ja maksete kokkuvõtte lehekülgedel. </w:t>
      </w:r>
      <w:r>
        <w:rPr>
          <w:rFonts w:ascii="Times New Roman" w:hAnsi="Times New Roman"/>
          <w:sz w:val="24"/>
        </w:rPr>
        <w:br/>
        <w:t xml:space="preserve">„ III. Müüja teeb tarbijatele asjakohase menetluse käigus kättesaadavaks ka artikli R. 541-218 II osa punktis 2 nimetatud tabeli. Kui seadet pakutakse müügiks kaupluses, peab tarbijale riiulil olema esitatud teave tabeli olemasolust ja võimalusest sellele juurde pääseda. Kliendi soovil tuleb koopia väljastada paberkandjal või elektrooniliselt vastavalt kliendi valikule. Kui seadet pakutakse müügiks internetis, peab see tabel olema kättesaadav otse veebisaidilt, kus vastupidavusindeks on esitatud.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R. 541-221.-I. Vastupidavusindeks arvutatakse järgmiste kriteeriumide ja parameetrite alusel: </w:t>
      </w:r>
      <w:r>
        <w:rPr>
          <w:rFonts w:ascii="Times New Roman" w:hAnsi="Times New Roman"/>
          <w:sz w:val="24"/>
        </w:rPr>
        <w:br/>
      </w:r>
      <w:r>
        <w:rPr>
          <w:rFonts w:ascii="Times New Roman" w:hAnsi="Times New Roman"/>
          <w:sz w:val="24"/>
        </w:rPr>
        <w:lastRenderedPageBreak/>
        <w:t xml:space="preserve">„1. seadmete parandatavuse skaalal 0–10 määratud punktisumma, võttes eelkõige arvesse tehnilise dokumentatsiooni kättesaadavust, lahtivõtmise lihtsust, varuosade kättesaadavust ja hinda; </w:t>
      </w:r>
      <w:r>
        <w:rPr>
          <w:rFonts w:ascii="Times New Roman" w:hAnsi="Times New Roman"/>
          <w:sz w:val="24"/>
        </w:rPr>
        <w:br/>
        <w:t xml:space="preserve">„2. seadmete töökindluse skaalal 0–10 määratud punktisumma, võttes muu hulgas arvesse stressi ja kulumiskindlust, hooldus- ja teenindusmugavust ning müügigarantii ja kvaliteediprotsessi olemasolu; </w:t>
      </w:r>
      <w:r>
        <w:rPr>
          <w:rFonts w:ascii="Times New Roman" w:hAnsi="Times New Roman"/>
          <w:sz w:val="24"/>
        </w:rPr>
        <w:br/>
        <w:t xml:space="preserve">„3. vajaduse korral skaalal 0–10 määratud punktisumma, mis on seotud seadme tarkvara- ja riistvarauuendustega; </w:t>
      </w:r>
      <w:r>
        <w:rPr>
          <w:rFonts w:ascii="Times New Roman" w:hAnsi="Times New Roman"/>
          <w:sz w:val="24"/>
        </w:rPr>
        <w:br/>
        <w:t xml:space="preserve">„ Vastupidavusindeks arvutatakse punktides 1 ja 2 ning vajaduse korral punktis 3 nimetatud punktisummade põhjal. Seda väljendatakse üldise punktisummana skaalal 0–10. </w:t>
      </w:r>
      <w:r>
        <w:rPr>
          <w:rFonts w:ascii="Times New Roman" w:hAnsi="Times New Roman"/>
          <w:sz w:val="24"/>
        </w:rPr>
        <w:br/>
        <w:t xml:space="preserve">„ II. Keskkonna- ja majandusministrite korralduses täpsustatakse iga asjaomase seadme kategooria puhul kõik arvessevõetavad kriteeriumid ja alamkriteeriumid ning indeksi arvutamise meetodid. </w:t>
      </w:r>
      <w:r>
        <w:rPr>
          <w:rFonts w:ascii="Times New Roman" w:hAnsi="Times New Roman"/>
          <w:sz w:val="24"/>
        </w:rPr>
        <w:br/>
        <w:t>„ III. Artikli R. 541-218 I osas osutatud korraldusega võib ette näha, et teatavad seadmete töökindlusega seotud kriteeriumid või alamkriteeriumid võib kehtestada ühe mudeli alusel mudelite kogumi jaoks, mida võib pidada samaväärseteks.“</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2</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Keskkonnaseadustiku artikkel R. 541-211 asendatakse järgmisega: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Artikkel R. 541-211. Käesolevas lõikes kasutatakse artikli R. 541-217 punktides 1–8 sätestatud mõisteid.“</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3</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Keskkonnaseadustiku reguleeriva osa V raamatu IV jaotise I peatüki 9. jao lõiked 2.3 ja 4 muudetakse vastavalt sama paragrahvi lõigeteks 3, 4 ja 5. </w:t>
      </w:r>
      <w:r>
        <w:rPr>
          <w:rFonts w:ascii="Times New Roman" w:hAnsi="Times New Roman"/>
          <w:sz w:val="24"/>
        </w:rPr>
        <w:br/>
        <w:t xml:space="preserve">Keskkonnaseadustiku artiklid D. 541-215 kuni D. 541-219 muutuvad sama seadustiku artikliteks D. 541-222 kuni D. 541-226, keskkonnaseadustiku artiklid R. 541-220 kuni R. 541-223 muutuvad vastavalt sama seadustiku artikliteks R. 541-227 kuni R. 541-230 ja keskkonnaseadustiku artiklid D. 541-225 kuni D. 541-232-1 vastavalt sama seadustiku artikliteks D. 541-231 kuni D. 541-239. </w:t>
      </w:r>
      <w:r>
        <w:rPr>
          <w:rFonts w:ascii="Times New Roman" w:hAnsi="Times New Roman"/>
          <w:sz w:val="24"/>
        </w:rPr>
        <w:br/>
        <w:t>Kehtivates määrustes muudetakse vastavalt viiteid keskkonnaseadustiku artiklite D. 541-215 kuni D. 541-232-1 sätetele.</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4</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Käesoleva dekreedi kohaldamise eest vastutavad majandus-, rahandus-, tööstus- ja digitaalse suveräänsuse minister ja ökoloogilise ülemineku ja territoriaalse ühtekuuluvuse minister ning dekreet avaldatakse Prantsuse Vabariigi Teatajas.</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Koostatud 5. aprillil 2024.</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Gabriel Attal</w:t>
      </w:r>
      <w:r>
        <w:rPr>
          <w:rFonts w:ascii="Times New Roman" w:hAnsi="Times New Roman"/>
          <w:sz w:val="24"/>
        </w:rPr>
        <w:br/>
        <w:t>Peaministri nimel:</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ökoloogilise ülemineku ja territoriaalse ühtekuuluvuse minister,</w:t>
      </w:r>
      <w:r>
        <w:rPr>
          <w:rFonts w:ascii="Times New Roman" w:hAnsi="Times New Roman"/>
          <w:sz w:val="24"/>
        </w:rPr>
        <w:br/>
        <w:t>Christophe Béchu</w:t>
      </w:r>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majandus-, rahandus-, tööstus- ja digitaalse suveräänsuse minister,</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23656E"/>
    <w:rsid w:val="00366729"/>
    <w:rsid w:val="005B6A3A"/>
    <w:rsid w:val="007B3CEE"/>
    <w:rsid w:val="00956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9799</Characters>
  <Application>Microsoft Office Word</Application>
  <DocSecurity>0</DocSecurity>
  <Lines>188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2024-05-06T08:41:00Z</dcterms:created>
  <dcterms:modified xsi:type="dcterms:W3CDTF">2024-05-06T08:41:00Z</dcterms:modified>
</cp:coreProperties>
</file>