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EEE5" w14:textId="77777777" w:rsidR="0023656E" w:rsidRDefault="00956B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Uredba br. 2024-316 od 5. travnja 2024. o indeksu trajnosti električne i elektroničke opreme</w:t>
      </w:r>
    </w:p>
    <w:p w14:paraId="16D700DD" w14:textId="77777777" w:rsid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Oznaka NOR: TRED2329205D</w:t>
      </w:r>
    </w:p>
    <w:p w14:paraId="7D920524" w14:textId="192AB7B9" w:rsidR="007B3CEE" w:rsidRP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ELI: </w:t>
      </w:r>
      <w:hyperlink r:id="rId4" w:history="1">
        <w:r>
          <w:rPr>
            <w:rStyle w:val="Hyperlink"/>
            <w:rFonts w:ascii="Times New Roman" w:hAnsi="Times New Roman"/>
            <w:sz w:val="24"/>
          </w:rPr>
          <w:t>https://www.legifrance.gouv.fr/eli/decret/2024/4/5/TRED2329205D/jo/texte</w:t>
        </w:r>
      </w:hyperlink>
    </w:p>
    <w:p w14:paraId="6CAA6AAE" w14:textId="783AAEE7" w:rsidR="007B3CEE" w:rsidRP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Alias: </w:t>
      </w:r>
      <w:hyperlink r:id="rId5" w:history="1">
        <w:r>
          <w:rPr>
            <w:rStyle w:val="Hyperlink"/>
            <w:rFonts w:ascii="Times New Roman" w:hAnsi="Times New Roman"/>
            <w:sz w:val="24"/>
          </w:rPr>
          <w:t>https://www.legifrance.gouv.fr/eli/decret/2024/4/5/2024-316/jo/texte</w:t>
        </w:r>
      </w:hyperlink>
    </w:p>
    <w:p w14:paraId="2AC6BE26" w14:textId="77777777" w:rsid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JORF br. 0082 od 7. travnja 2024.</w:t>
      </w:r>
    </w:p>
    <w:p w14:paraId="7693BB8D" w14:textId="7098A389" w:rsidR="0023656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Tekst br. 21</w:t>
      </w:r>
    </w:p>
    <w:p w14:paraId="1C8F13CD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Zainteresirane strane: proizvođači, uvoznici, distributeri ili drugi subjekti koji stavljaju na tržište električnu i elektroničku opremu i prodavači te opreme, kao i osobe koje se služe internetskom stranicom, platformom ili bilo kojim drugim distribucijskim kanalom na internetu u okviru svoje poslovne djelatnosti u Francuskoj. </w:t>
      </w:r>
      <w:r>
        <w:rPr>
          <w:rFonts w:ascii="Times New Roman" w:hAnsi="Times New Roman"/>
          <w:sz w:val="24"/>
        </w:rPr>
        <w:br/>
        <w:t xml:space="preserve">Predmet: provedbena pravila indeksa trajnosti iz članka L. 541.-9.-2. Zakonika o okolišu. </w:t>
      </w:r>
      <w:r>
        <w:rPr>
          <w:rFonts w:ascii="Times New Roman" w:hAnsi="Times New Roman"/>
          <w:sz w:val="24"/>
        </w:rPr>
        <w:br/>
        <w:t xml:space="preserve">Stupanje na snagu: tekst stupa na snagu sljedećeg dana od dana objave. </w:t>
      </w:r>
      <w:r>
        <w:rPr>
          <w:rFonts w:ascii="Times New Roman" w:hAnsi="Times New Roman"/>
          <w:sz w:val="24"/>
        </w:rPr>
        <w:br/>
        <w:t xml:space="preserve">Obavijest: uredbom se utvrđuju provedbena pravila iz članka L. 541.-9.-2. Zakonika o okolišu, kojim se predviđa uvođenje indeksa trajnosti za određene kategorije električne i elektroničke opreme. U njemu će se posebno navesti kriteriji i parametri izračuna upotrijebljeni za utvrđivanje tog indeksa, kao i opći okvir obveza povezanih s njegovom komunikacijom i prikazivanjem. </w:t>
      </w:r>
      <w:r>
        <w:rPr>
          <w:rFonts w:ascii="Times New Roman" w:hAnsi="Times New Roman"/>
          <w:sz w:val="24"/>
        </w:rPr>
        <w:br/>
        <w:t xml:space="preserve">Upućivanja: uredba se može pronaći na internetskim stranicama </w:t>
      </w:r>
      <w:proofErr w:type="spellStart"/>
      <w:r>
        <w:rPr>
          <w:rFonts w:ascii="Times New Roman" w:hAnsi="Times New Roman"/>
          <w:sz w:val="24"/>
        </w:rPr>
        <w:t>Légifrance</w:t>
      </w:r>
      <w:proofErr w:type="spellEnd"/>
      <w:r>
        <w:rPr>
          <w:rFonts w:ascii="Times New Roman" w:hAnsi="Times New Roman"/>
          <w:sz w:val="24"/>
        </w:rPr>
        <w:t xml:space="preserve"> (https://www.legifrance.gouv.fr). </w:t>
      </w:r>
    </w:p>
    <w:p w14:paraId="286486BA" w14:textId="77777777" w:rsidR="00366729" w:rsidRDefault="00956BE5" w:rsidP="0036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Predsjednica Vlade,</w:t>
      </w:r>
    </w:p>
    <w:p w14:paraId="4F0D4103" w14:textId="77777777" w:rsidR="00366729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prema izvješću ministra gospodarstva, financija i industrijskog i digitalnog suvereniteta te ministra ekološke tranzicije i teritorijalne kohezije,</w:t>
      </w:r>
    </w:p>
    <w:p w14:paraId="37F75173" w14:textId="442EB61D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uzimajući u obzir Direktivu (EU) 2015/1535 Europskog parlamenta i Vijeća od 9. rujna 2015. o utvrđivanju postupka pružanja informacija u području tehničkih propisa i pravila o uslugama informacijskog društva, zajedno s obavijesti br. 2023/477-481/FR koja je poslana Europskoj komisiji 2. kolovoza 2023. te odgovorima od 27. listopada 2023. i 5. veljače 2024.,</w:t>
      </w:r>
      <w:r>
        <w:rPr>
          <w:rFonts w:ascii="Times New Roman" w:hAnsi="Times New Roman"/>
          <w:sz w:val="24"/>
        </w:rPr>
        <w:br/>
        <w:t>uzimajući u obzir Zakonik o okolišu, a posebno članke L. 541.-9.-1., L. 541.-9.-2., L. 541.-9.-4. i L. 541.-9.-4.-1.,</w:t>
      </w:r>
      <w:r>
        <w:rPr>
          <w:rFonts w:ascii="Times New Roman" w:hAnsi="Times New Roman"/>
          <w:sz w:val="24"/>
        </w:rPr>
        <w:br/>
        <w:t>uzimajući u obzir Zakonik o odnosu javnosti i uprave, a posebno njegovu knjigu III.,</w:t>
      </w:r>
      <w:r>
        <w:rPr>
          <w:rFonts w:ascii="Times New Roman" w:hAnsi="Times New Roman"/>
          <w:sz w:val="24"/>
        </w:rPr>
        <w:br/>
        <w:t>uzimajući u obzir primjedbe iznesene tijekom javnog savjetovanja provedenog od 5. rujna do 13. listopada 2023., u skladu s člankom L. 123.-19.-1. Zakonika o okolišu,</w:t>
      </w:r>
      <w:r>
        <w:rPr>
          <w:rFonts w:ascii="Times New Roman" w:hAnsi="Times New Roman"/>
          <w:sz w:val="24"/>
        </w:rPr>
        <w:br/>
        <w:t>nakon savjetovanja s Državnim vijećem (Odjel za javne radove),</w:t>
      </w:r>
      <w:r>
        <w:rPr>
          <w:rFonts w:ascii="Times New Roman" w:hAnsi="Times New Roman"/>
          <w:sz w:val="24"/>
        </w:rPr>
        <w:br/>
        <w:t>donosi:</w:t>
      </w:r>
    </w:p>
    <w:p w14:paraId="25FC888A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1.</w:t>
      </w:r>
    </w:p>
    <w:p w14:paraId="640ECEDA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U glavi IV. knjige V. poglavlja I. odjeljka 9. regulatornog dijela Zakonika o okolišu dodaje se pododjeljak 2. kako slijedi: </w:t>
      </w:r>
    </w:p>
    <w:p w14:paraId="27226E4B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„ Pododjeljak 2.</w:t>
      </w:r>
      <w:r>
        <w:rPr>
          <w:rFonts w:ascii="Times New Roman" w:hAnsi="Times New Roman"/>
          <w:sz w:val="24"/>
        </w:rPr>
        <w:br/>
        <w:t xml:space="preserve">„Prikaz indeksa trajnosti primjenjivog na električnu i elektroničku opremu </w:t>
      </w:r>
    </w:p>
    <w:p w14:paraId="6EEDF8B4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Članak R. 541.-215. – Ovaj se pododjeljak primjenjuje na kategorije nove električne i elektroničke opreme utvrđene odlukom ministara nadležnih za okoliš i gospodarstvo. </w:t>
      </w:r>
    </w:p>
    <w:p w14:paraId="3A6AF9D7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Članak R. 541.-216. – Indeks trajnosti koji utvrđuju proizvođači ili uvoznici u skladu s člankom L. 541.-9.-2. sastoji se od ocjene utvrđene za svaki model opreme u skladu s postupcima navedenima u nastavku. Potrošači se informiraju o toj ocjeni u trenutku kupnje opreme. </w:t>
      </w:r>
      <w:r>
        <w:rPr>
          <w:rFonts w:ascii="Times New Roman" w:hAnsi="Times New Roman"/>
          <w:sz w:val="24"/>
        </w:rPr>
        <w:br/>
        <w:t xml:space="preserve">„ Indeks trajnosti zamjenjuje indeks mogućnosti popravka predviđen u članku L. 541.-9.-2. stavku I. od stupanja na snagu obveza u pogledu indeksa trajnosti za predmetnu kategoriju opreme. </w:t>
      </w:r>
    </w:p>
    <w:p w14:paraId="34FF8F0A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Članak R 541.-217. – Za potrebe ovog pododjeljka primjenjuju se sljedeće definicije: </w:t>
      </w:r>
      <w:r>
        <w:rPr>
          <w:rFonts w:ascii="Times New Roman" w:hAnsi="Times New Roman"/>
          <w:sz w:val="24"/>
        </w:rPr>
        <w:br/>
        <w:t xml:space="preserve">„1. „Stavljanje na raspolaganje na tržištu”: svaka isporuka, u okviru trgovačke djelatnosti, opreme namijenjene za distribuciju ili uporabu na nacionalnom tržištu, uz naknadu ili besplatno; </w:t>
      </w:r>
      <w:r>
        <w:rPr>
          <w:rFonts w:ascii="Times New Roman" w:hAnsi="Times New Roman"/>
          <w:sz w:val="24"/>
        </w:rPr>
        <w:br/>
        <w:t xml:space="preserve">„2. „Stavljanje na tržište”: prvo stavljanje opreme na raspolaganje na nacionalnom tržištu; </w:t>
      </w:r>
      <w:r>
        <w:rPr>
          <w:rFonts w:ascii="Times New Roman" w:hAnsi="Times New Roman"/>
          <w:sz w:val="24"/>
        </w:rPr>
        <w:br/>
        <w:t xml:space="preserve">„3. „Proizvođač”: svaka fizička ili pravna osoba koja proizvodi opremu ili je projektira i stavlja na tržište pod svojim imenom ili robnom markom; </w:t>
      </w:r>
      <w:r>
        <w:rPr>
          <w:rFonts w:ascii="Times New Roman" w:hAnsi="Times New Roman"/>
          <w:sz w:val="24"/>
        </w:rPr>
        <w:br/>
        <w:t xml:space="preserve">„4. „Uvoznik”: svaka fizička ili pravna osoba koja stavlja opremu na nacionalno tržište iz država članica Europske unije ili iz trećih zemalja; </w:t>
      </w:r>
      <w:r>
        <w:rPr>
          <w:rFonts w:ascii="Times New Roman" w:hAnsi="Times New Roman"/>
          <w:sz w:val="24"/>
        </w:rPr>
        <w:br/>
        <w:t xml:space="preserve">„5. „Distributer”: svaka fizička ili pravna osoba u opskrbnom lancu, osim proizvođača ili uvoznika, koja nudi opremu za prodaju na domaćem tržištu; </w:t>
      </w:r>
      <w:r>
        <w:rPr>
          <w:rFonts w:ascii="Times New Roman" w:hAnsi="Times New Roman"/>
          <w:sz w:val="24"/>
        </w:rPr>
        <w:br/>
        <w:t xml:space="preserve">„6. „Prodavatelj”: svaka fizička ili pravna osoba koja u okviru trgovačke djelatnosti stavlja na raspolaganje na tržištu opremu putem prodaje potrošačima, uključujući na daljinu; </w:t>
      </w:r>
      <w:r>
        <w:rPr>
          <w:rFonts w:ascii="Times New Roman" w:hAnsi="Times New Roman"/>
          <w:sz w:val="24"/>
        </w:rPr>
        <w:br/>
        <w:t xml:space="preserve">„7. „Prodaja na daljinu”: ugovor sklopljen na daljinu između profesionalnog prodavatelja i potrošača, u okviru organiziranog sustava prodaje, bez istodobne fizičke prisutnosti profesionalnog prodavatelja i potrošača, uz isključivu uporabu jedne ili više tehnika komunikacije na daljinu sve do sklapanja ugovora; </w:t>
      </w:r>
      <w:r>
        <w:rPr>
          <w:rFonts w:ascii="Times New Roman" w:hAnsi="Times New Roman"/>
          <w:sz w:val="24"/>
        </w:rPr>
        <w:br/>
        <w:t xml:space="preserve">„8. „ Model”: verzija opreme čije sve jedinice imaju iste tehničke značajke relevantne za izračun indeksa, </w:t>
      </w:r>
      <w:r>
        <w:rPr>
          <w:rFonts w:ascii="Times New Roman" w:hAnsi="Times New Roman"/>
          <w:sz w:val="24"/>
        </w:rPr>
        <w:br/>
        <w:t xml:space="preserve">„9. „Jednakovrijedni modeli”: skupina modela koja ima iste tehničke značajke relevantne za potrebe ispitivanja pouzdanosti koje treba provesti i koju na tržište stavlja ili u uporabu stavlja isti proizvođač, uvoznik ili drugo stavljanje na tržište kao drugi model s drugim upućivanjem na model. </w:t>
      </w:r>
    </w:p>
    <w:p w14:paraId="664ACBEA" w14:textId="77777777" w:rsidR="00366729" w:rsidRDefault="00956BE5" w:rsidP="00366729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Članak R. 541.-218. – I. – Proizvođači ili uvoznici utvrđuju, za svaki model opreme koju stavljaju na tržište, indeks trajnosti i parametre koji su omogućili njegovu uspostavu u skladu s postupcima utvrđenima odlukom ministara nadležnih za okoliš i gospodarstvo. </w:t>
      </w:r>
      <w:r>
        <w:rPr>
          <w:rFonts w:ascii="Times New Roman" w:hAnsi="Times New Roman"/>
          <w:sz w:val="24"/>
        </w:rPr>
        <w:br/>
        <w:t xml:space="preserve">„II. – Proizvođači ili uvoznici dužni su priopćiti u elektroničkom obliku i bez naknade distributerima ili prodavateljima u trenutku uvrštavanja na popis i isporuke opreme, za </w:t>
      </w:r>
      <w:r>
        <w:rPr>
          <w:rFonts w:ascii="Times New Roman" w:hAnsi="Times New Roman"/>
          <w:sz w:val="24"/>
        </w:rPr>
        <w:lastRenderedPageBreak/>
        <w:t xml:space="preserve">svaki model opreme stavljene na tržište:  </w:t>
      </w:r>
      <w:r>
        <w:rPr>
          <w:rFonts w:ascii="Times New Roman" w:hAnsi="Times New Roman"/>
          <w:sz w:val="24"/>
        </w:rPr>
        <w:br/>
        <w:t xml:space="preserve">„1. Indeks trajnosti u skladu s uvjetima i znakovima predviđenima odlukom iz stavka I.; </w:t>
      </w:r>
      <w:r>
        <w:rPr>
          <w:rFonts w:ascii="Times New Roman" w:hAnsi="Times New Roman"/>
          <w:sz w:val="24"/>
        </w:rPr>
        <w:br/>
        <w:t xml:space="preserve">„2. Tablicu koja sadržava pojedinosti o elementima koji su uzeti u obzir za ocjenu indeksa trajnosti, u skladu s formatom prikaza predviđenim odlukom iz stavka I. </w:t>
      </w:r>
    </w:p>
    <w:p w14:paraId="67E6F352" w14:textId="77777777" w:rsidR="00366729" w:rsidRDefault="00956BE5" w:rsidP="00366729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 III. – Ako nije ista osoba kao prodavatelj, distributer besplatno priopćava prodavatelju, pod uvjetima iz stavka II. točaka 1. i 2., indeks i tablicu iz stavka II., u trenutku uvrštavanja na popis i isporuke električne i elektroničke opreme. </w:t>
      </w:r>
      <w:r>
        <w:rPr>
          <w:rFonts w:ascii="Times New Roman" w:hAnsi="Times New Roman"/>
          <w:sz w:val="24"/>
        </w:rPr>
        <w:br/>
        <w:t xml:space="preserve">„ IV. – Indeks se može, dodatno, pričvrstiti izravno na svaki komad opreme ili na ambalažu stavljanjem naljepnice ili oznake, poštujući znakove propisane odlukom iz stavka I. </w:t>
      </w:r>
    </w:p>
    <w:p w14:paraId="4B1F359E" w14:textId="17C1264C" w:rsidR="0023656E" w:rsidRDefault="00956BE5" w:rsidP="00956BE5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 V. – Podaci iz stavka II. stavljaju se na raspolaganje javnosti elektroničkim putem, a proizvođači ili uvoznici u roku od pet radnih dana besplatno ih priopćavaju svakoj osobi koja ih zatraži u razdoblju od najmanje dvije godine nakon što je posljednja jedinica modela opreme stavljena na tržište. </w:t>
      </w:r>
    </w:p>
    <w:p w14:paraId="0758D714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Članak R. 541.-219. – Upravno tijelo osigurava centralizirani pristup informacijama iz članka R. 541.-218. stavka II. u skladu s uvjetima navedenima u nastavku. </w:t>
      </w:r>
      <w:r>
        <w:rPr>
          <w:rFonts w:ascii="Times New Roman" w:hAnsi="Times New Roman"/>
          <w:sz w:val="24"/>
        </w:rPr>
        <w:br/>
        <w:t xml:space="preserve">„ Za svaku kategoriju opreme, indeks, parametri izračuna koji su omogućili njegovo utvrđivanje, isključujući one koji se odnose na cijenu rezervnih dijelova, kao i informacije koje se odnose na identifikaciju modela i metode izračuna ocjena javno se objavljuju na jedinstvenom međuresornom portalu iz članka R. 321.-8. Zakonika o odnosu javnosti i uprave. </w:t>
      </w:r>
      <w:r>
        <w:rPr>
          <w:rFonts w:ascii="Times New Roman" w:hAnsi="Times New Roman"/>
          <w:sz w:val="24"/>
        </w:rPr>
        <w:br/>
        <w:t xml:space="preserve">„ Podaci se prenose i objavljuju pod odgovornošću proizvođača ili uvoznika u skladu s podatkovnim sustavom dostupnim na tom portalu. Odlukom ministara nadležnih za okoliš i gospodarstvo utvrđuju se, prema potrebi, tehnička rješenja za provedbu podatkovnog sustava. </w:t>
      </w:r>
      <w:r>
        <w:rPr>
          <w:rFonts w:ascii="Times New Roman" w:hAnsi="Times New Roman"/>
          <w:sz w:val="24"/>
        </w:rPr>
        <w:br/>
        <w:t xml:space="preserve">„ Ti se podaci mogu ponovno upotrijebiti pod uvjetima utvrđenima u knjizi III. glavi II. Zakonika o odnosu javnosti i uprave i pod uvjetima otvorene dozvole iz članka D. 323.-2.-1. stavka I. točke 1. istog zakonika. </w:t>
      </w:r>
      <w:r>
        <w:rPr>
          <w:rFonts w:ascii="Times New Roman" w:hAnsi="Times New Roman"/>
          <w:sz w:val="24"/>
        </w:rPr>
        <w:br/>
        <w:t xml:space="preserve">„ Ako se izračun ocjene indeksa trajnosti modela ažurira, ti se podaci ažuriraju u roku od najviše mjesec dana. </w:t>
      </w:r>
    </w:p>
    <w:p w14:paraId="763FC439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Članak R. 541.-220. – I. – Kada je oprema ponuđena na prodaju u trgovinama, prodavatelj prikazuje indeks trajnosti na način i s pomoću znaka u skladu s odlukom iz članka R. 541.-218. stavka I. na vidljiv, čitljiv i lako dostupan način, na svakoj opremi ponuđenoj na prodaju ili u neposrednoj blizini opreme. </w:t>
      </w:r>
      <w:r>
        <w:rPr>
          <w:rFonts w:ascii="Times New Roman" w:hAnsi="Times New Roman"/>
          <w:sz w:val="24"/>
        </w:rPr>
        <w:br/>
        <w:t xml:space="preserve">„ II. – Kada se oprema nudi na prodaju na daljinu, prodavatelj prikazuje indeks trajnosti na vidljiv, čitljiv i lako dostupan način u prezentaciji opreme i na svim internetskim stranicama na kojima se nudi kupnja opreme, blizu oznake njezine cijene, na način i s pomoću znaka u skladu s odlukom iz članka R. 541.-218. stavka I. Ova se obveza ne odnosi na stranice sa sažetkom narudžbe i plaćanja. </w:t>
      </w:r>
      <w:r>
        <w:rPr>
          <w:rFonts w:ascii="Times New Roman" w:hAnsi="Times New Roman"/>
          <w:sz w:val="24"/>
        </w:rPr>
        <w:br/>
        <w:t xml:space="preserve">„ III. – Prodavatelj potrošačima stavlja na raspolaganje i tablicu iz članka R. 541.-218. stavka II. točke 2., i to bilo kojim odgovarajućim postupkom. Ako se oprema nudi na prodaju u trgovini, prikaz na polici kojim se kupca informira da postoji tablica i mogućnost pristupa tablici. Na zahtjev kupca, primjerak se mora izdati u papirnatom ili elektroničkom obliku, prema izboru kupca. Ako se oprema nudi na prodaju na internetu, ta je tablica dostupna izravno s internetskih stranica na kojima se prikazuje indeks trajnosti. </w:t>
      </w:r>
    </w:p>
    <w:p w14:paraId="0757B420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 xml:space="preserve">„ Članak R. 541.-221. – I. – Indeks trajnosti izračunava se na temelju sljedećih kriterija i parametara: </w:t>
      </w:r>
      <w:r>
        <w:rPr>
          <w:rFonts w:ascii="Times New Roman" w:hAnsi="Times New Roman"/>
          <w:sz w:val="24"/>
        </w:rPr>
        <w:br/>
        <w:t xml:space="preserve">„1. Rezultat utvrđen na ljestvici od 0 do 10 o mogućnosti popravka opreme, posebno uzimajući u obzir dostupnost tehničke dokumentacije, jednostavnost rastavljanja, dostupnost i cijenu rezervnih dijelova; </w:t>
      </w:r>
      <w:r>
        <w:rPr>
          <w:rFonts w:ascii="Times New Roman" w:hAnsi="Times New Roman"/>
          <w:sz w:val="24"/>
        </w:rPr>
        <w:br/>
        <w:t xml:space="preserve">„2. Rezultat utvrđen na ljestvici od 0 do 10 o pouzdanosti opreme, uzimajući u obzir, među ostalim, otpornost na opterećenje i habanje, jednostavnost održavanja i servisiranja, kao i postojanje komercijalnog jamstva i postupka kvalitete; </w:t>
      </w:r>
      <w:r>
        <w:rPr>
          <w:rFonts w:ascii="Times New Roman" w:hAnsi="Times New Roman"/>
          <w:sz w:val="24"/>
        </w:rPr>
        <w:br/>
        <w:t xml:space="preserve">„3. Prema potrebi, ocjena utvrđena na ljestvici od 0 do 10 koja se odnosi na ažuriranje softvera i hardvera opreme; </w:t>
      </w:r>
      <w:r>
        <w:rPr>
          <w:rFonts w:ascii="Times New Roman" w:hAnsi="Times New Roman"/>
          <w:sz w:val="24"/>
        </w:rPr>
        <w:br/>
        <w:t xml:space="preserve">„ Indeks trajnosti izračunava se na temelju ocjena navedenih u točkama 1. i 2. te, prema potrebi, u točki 3. Izražava se kao globalni rezultat na ljestvici od 0 do 10. </w:t>
      </w:r>
      <w:r>
        <w:rPr>
          <w:rFonts w:ascii="Times New Roman" w:hAnsi="Times New Roman"/>
          <w:sz w:val="24"/>
        </w:rPr>
        <w:br/>
        <w:t xml:space="preserve">„ II. – Za svaku predmetnu kategoriju opreme, u odluci ministara okoliša i gospodarstva navode se svi kriteriji i </w:t>
      </w:r>
      <w:proofErr w:type="spellStart"/>
      <w:r>
        <w:rPr>
          <w:rFonts w:ascii="Times New Roman" w:hAnsi="Times New Roman"/>
          <w:sz w:val="24"/>
        </w:rPr>
        <w:t>potkriteriji</w:t>
      </w:r>
      <w:proofErr w:type="spellEnd"/>
      <w:r>
        <w:rPr>
          <w:rFonts w:ascii="Times New Roman" w:hAnsi="Times New Roman"/>
          <w:sz w:val="24"/>
        </w:rPr>
        <w:t xml:space="preserve"> uzeti u obzir i metode izračuna indeksa. </w:t>
      </w:r>
      <w:r>
        <w:rPr>
          <w:rFonts w:ascii="Times New Roman" w:hAnsi="Times New Roman"/>
          <w:sz w:val="24"/>
        </w:rPr>
        <w:br/>
        <w:t xml:space="preserve">„ III. – Odlukom iz članka R. 541.-218. stavka I. može se predvidjeti da se određeni kriteriji ili </w:t>
      </w:r>
      <w:proofErr w:type="spellStart"/>
      <w:r>
        <w:rPr>
          <w:rFonts w:ascii="Times New Roman" w:hAnsi="Times New Roman"/>
          <w:sz w:val="24"/>
        </w:rPr>
        <w:t>potkriteriji</w:t>
      </w:r>
      <w:proofErr w:type="spellEnd"/>
      <w:r>
        <w:rPr>
          <w:rFonts w:ascii="Times New Roman" w:hAnsi="Times New Roman"/>
          <w:sz w:val="24"/>
        </w:rPr>
        <w:t xml:space="preserve"> koji se odnose na pouzdanost opreme mogu utvrditi na jednom modelu za skup modela koji se mogu smatrati jednakovrijednima.”</w:t>
      </w:r>
    </w:p>
    <w:p w14:paraId="4AA5D504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2.</w:t>
      </w:r>
    </w:p>
    <w:p w14:paraId="56E9C66E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Članak R. 541.-211. Zakonika o okolišu zamjenjuje se sljedećim: </w:t>
      </w:r>
    </w:p>
    <w:p w14:paraId="616E4AD7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 Članak R. 541.-211. – Za potrebe ovog pododjeljka primjenjuju se definicije iz članka R. 541.-217. točaka od 1. do 8.”</w:t>
      </w:r>
    </w:p>
    <w:p w14:paraId="5F3A14FC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3.</w:t>
      </w:r>
    </w:p>
    <w:p w14:paraId="5244038D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Pododjeljci 2., 3. i 4. iz knjige V. glave IV. poglavlja I. odjeljka 9. regulatornog dijela Zakonika o okolišu postaju redom pododjeljci 3., 4. i 5. istog odjeljka. </w:t>
      </w:r>
      <w:r>
        <w:rPr>
          <w:rFonts w:ascii="Times New Roman" w:hAnsi="Times New Roman"/>
          <w:sz w:val="24"/>
        </w:rPr>
        <w:br/>
        <w:t xml:space="preserve">Članci D. 541.-215. do D. 541.-219. Zakonika o okolišu postaju članci D. 541.-222. do D. 541.-226. istog zakonika, članci R. 541.-220. do R. 541.-223. Zakonika o okolišu postaju članci R. 541.-227. do R. 541.-230. istog zakonika, a članci D. 541.-225. do D. 541.-232.-1. Zakonika o okolišu postaju članci D. 541.-231. do D. 541.-239. istog zakonika. </w:t>
      </w:r>
      <w:r>
        <w:rPr>
          <w:rFonts w:ascii="Times New Roman" w:hAnsi="Times New Roman"/>
          <w:sz w:val="24"/>
        </w:rPr>
        <w:br/>
        <w:t>U propisima koji su na snazi upućivanja na odredbe članaka D. 541.-215. do D. 541.-232.-1. Zakonika o okolišu mijenjaju se na odgovarajući način.</w:t>
      </w:r>
    </w:p>
    <w:p w14:paraId="164929AB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4.</w:t>
      </w:r>
    </w:p>
    <w:p w14:paraId="0FD038C0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Ministar gospodarstva, financija i industrijskog i digitalnog suvereniteta i ministar ekološke tranzicije i teritorijalne kohezije odgovorni su za primjenu ove Uredbe, koja će biti objavljena u Službenom listu Francuske Republike.</w:t>
      </w:r>
    </w:p>
    <w:p w14:paraId="421DD6FF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Sastavljeno 5. travnja 2024.</w:t>
      </w:r>
    </w:p>
    <w:p w14:paraId="0DCDC5CA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 xml:space="preserve">Gabriel </w:t>
      </w:r>
      <w:proofErr w:type="spellStart"/>
      <w:r>
        <w:rPr>
          <w:rFonts w:ascii="Times New Roman" w:hAnsi="Times New Roman"/>
          <w:sz w:val="24"/>
        </w:rPr>
        <w:t>Attal</w:t>
      </w:r>
      <w:proofErr w:type="spellEnd"/>
      <w:r>
        <w:rPr>
          <w:rFonts w:ascii="Times New Roman" w:hAnsi="Times New Roman"/>
          <w:sz w:val="24"/>
        </w:rPr>
        <w:br/>
        <w:t>Za predsjednicu Vlade:</w:t>
      </w:r>
    </w:p>
    <w:p w14:paraId="2A297EFF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Ministar ekološke tranzicije i teritorijalne kohezije,</w:t>
      </w:r>
      <w:r>
        <w:rPr>
          <w:rFonts w:ascii="Times New Roman" w:hAnsi="Times New Roman"/>
          <w:sz w:val="24"/>
        </w:rPr>
        <w:br/>
        <w:t xml:space="preserve">Christophe </w:t>
      </w:r>
      <w:proofErr w:type="spellStart"/>
      <w:r>
        <w:rPr>
          <w:rFonts w:ascii="Times New Roman" w:hAnsi="Times New Roman"/>
          <w:sz w:val="24"/>
        </w:rPr>
        <w:t>Béchu</w:t>
      </w:r>
      <w:proofErr w:type="spellEnd"/>
    </w:p>
    <w:p w14:paraId="14F9C159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Ministar gospodarstva, financija i industrijskog i digitalnog suvereniteta,</w:t>
      </w:r>
      <w:r>
        <w:rPr>
          <w:rFonts w:ascii="Times New Roman" w:hAnsi="Times New Roman"/>
          <w:sz w:val="24"/>
        </w:rPr>
        <w:br/>
        <w:t xml:space="preserve">Bruno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Maire</w:t>
      </w:r>
      <w:proofErr w:type="spellEnd"/>
    </w:p>
    <w:p w14:paraId="4C7B3C76" w14:textId="77777777" w:rsidR="0023656E" w:rsidRDefault="0023656E"/>
    <w:sectPr w:rsidR="0023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6E"/>
    <w:rsid w:val="0023656E"/>
    <w:rsid w:val="00366729"/>
    <w:rsid w:val="007B3CEE"/>
    <w:rsid w:val="00956BE5"/>
    <w:rsid w:val="00E0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403D"/>
  <w15:chartTrackingRefBased/>
  <w15:docId w15:val="{FD5B4176-1E84-4468-A5A1-BF138CC1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word-break-all">
    <w:name w:val="word-break-all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7B3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eli/decret/2024/4/5/2024-316/jo/texte" TargetMode="External"/><Relationship Id="rId4" Type="http://schemas.openxmlformats.org/officeDocument/2006/relationships/hyperlink" Target="https://www.legifrance.gouv.fr/eli/decret/2024/4/5/TRED2329205D/jo/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9531</Characters>
  <Application>Microsoft Office Word</Application>
  <DocSecurity>0</DocSecurity>
  <Lines>185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KARADEMIR Emma</dc:creator>
  <cp:keywords>class='Internal'</cp:keywords>
  <dc:description/>
  <cp:lastModifiedBy>Ragnhild Efraimsson</cp:lastModifiedBy>
  <cp:revision>2</cp:revision>
  <dcterms:created xsi:type="dcterms:W3CDTF">2024-05-06T08:42:00Z</dcterms:created>
  <dcterms:modified xsi:type="dcterms:W3CDTF">2024-05-06T08:42:00Z</dcterms:modified>
</cp:coreProperties>
</file>