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2024. gada 5. aprīļa Dekrēts Nr. 2024-316 par elektrisko un elektronisko iekārtu izturības indeksu</w:t>
      </w:r>
    </w:p>
    <w:p w14:paraId="16D700DD"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NOR: TRED2329205D</w:t>
      </w:r>
    </w:p>
    <w:p w14:paraId="7D920524" w14:textId="192AB7B9"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https://www.legifrance.gouv.fr/eli/decret/2024/4/5/TRED2329205D/jo/texte</w:t>
        </w:r>
      </w:hyperlink>
    </w:p>
    <w:p w14:paraId="6CAA6AAE" w14:textId="783AAEE7"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Aizstājvārds: </w:t>
      </w:r>
      <w:hyperlink r:id="rId5" w:history="1">
        <w:r>
          <w:rPr>
            <w:rStyle w:val="Hyperlink"/>
            <w:rFonts w:ascii="Times New Roman" w:hAnsi="Times New Roman"/>
            <w:sz w:val="24"/>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2024. gada 7. aprīļa JORF Nr. 0082</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Teksts Nr.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Mērķauditorija: elektrisko un elektronisko iekārtu ražotāji, importētāji, izplatītāji vai citi piegādātāji, kā arī šo iekārtu tirgotāji un personas, kas izmanto tīmekļa vietni, platformu vai jebkuru citu tiešsaistes izplatīšanas kanālu savas komercdarbības ietvaros Francijā. </w:t>
      </w:r>
      <w:r>
        <w:rPr>
          <w:rFonts w:ascii="Times New Roman" w:hAnsi="Times New Roman"/>
          <w:sz w:val="24"/>
        </w:rPr>
        <w:br/>
        <w:t xml:space="preserve">Priekšmets: Vides kodeksa L. 541–9–2. pantā definētā izturības indeksa ieviešanas noteikumi. </w:t>
      </w:r>
      <w:r>
        <w:rPr>
          <w:rFonts w:ascii="Times New Roman" w:hAnsi="Times New Roman"/>
          <w:sz w:val="24"/>
        </w:rPr>
        <w:br/>
        <w:t xml:space="preserve">Stāšanās spēkā: šis dokuments stāsies spēkā tā publicēšanas dienā. </w:t>
      </w:r>
      <w:r>
        <w:rPr>
          <w:rFonts w:ascii="Times New Roman" w:hAnsi="Times New Roman"/>
          <w:sz w:val="24"/>
        </w:rPr>
        <w:br/>
        <w:t xml:space="preserve">Paziņojums: Dekrēts definē Vides kodeksa L. 541–9-2. panta ieviešanas noteikumus, kas paredz izturības indeksa ieviešanu attiecībā uz noteiktām elektrisko un elektronisko iekārtu kategorijām. Dekrēts jo īpaši nosaka indeksa ieviešanai izmantoto aprēķinu kritērijus un parametrus, kā arī vispārējo saistību ietvaru attiecībā uz informācijas paziņošanu un norādīšanu. </w:t>
      </w:r>
      <w:r>
        <w:rPr>
          <w:rFonts w:ascii="Times New Roman" w:hAnsi="Times New Roman"/>
          <w:sz w:val="24"/>
        </w:rPr>
        <w:br/>
        <w:t xml:space="preserve">Atsauces: ar Dekrētu iespējams iepazīties Légifrance Interneta vietnē (https://www.legifrance.gouv.fr).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Premjerministre,</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Pamatojoties uz ekonomikas, finanšu un rūpniecības un digitālās suverenitātes ministra un ekoloģiskās pārejas un teritoriālās kohēzijas ministra ziņojumu;</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ņemot vērā Eiropas Parlamenta un Padomes 2015. gada 9. septembra Direktīvu (ES) 2015/1535 ar ko nosaka informācijas sniegšanas kārtību tehnisko noteikumu un Informācijas sabiedrības pakalpojumu noteikumu jomā, kopā ar Paziņojumu 2023/477-481/FR, kas nosūtīts Eiropas Komisijai 2023. gada 2. augustā, un 2023. gada 27. oktobra un 2024. gada 5. februāra atbildēm uz tiem;</w:t>
      </w:r>
      <w:r>
        <w:rPr>
          <w:rFonts w:ascii="Times New Roman" w:hAnsi="Times New Roman"/>
          <w:sz w:val="24"/>
        </w:rPr>
        <w:br/>
        <w:t>ņemot vērā Vides kodeksu, jo īpaši L. 541-9-1., L. 541-9-2., L. 541-9-4. un L. 541-9-4-1. pantu;</w:t>
      </w:r>
      <w:r>
        <w:rPr>
          <w:rFonts w:ascii="Times New Roman" w:hAnsi="Times New Roman"/>
          <w:sz w:val="24"/>
        </w:rPr>
        <w:br/>
        <w:t>ņemot vērā Sabiedrības un administrācijas attiecību kodeksu, jo īpaši tā III grāmatu;</w:t>
      </w:r>
      <w:r>
        <w:rPr>
          <w:rFonts w:ascii="Times New Roman" w:hAnsi="Times New Roman"/>
          <w:sz w:val="24"/>
        </w:rPr>
        <w:br/>
        <w:t>ņemot vērā novērojumus, kas izdarīti sabiedriskās apspriešanas laikā no 2023. gada 5. septembra līdz 13. oktobrim, ievērojot Vides kodeksa L. 123-19-1. pantu;</w:t>
      </w:r>
      <w:r>
        <w:rPr>
          <w:rFonts w:ascii="Times New Roman" w:hAnsi="Times New Roman"/>
          <w:sz w:val="24"/>
        </w:rPr>
        <w:br/>
        <w:t>pēc Valsts padomes (Sabiedrisko darbu nodaļas) viedokļa uzklausīšanas,</w:t>
      </w:r>
      <w:r>
        <w:rPr>
          <w:rFonts w:ascii="Times New Roman" w:hAnsi="Times New Roman"/>
          <w:sz w:val="24"/>
        </w:rPr>
        <w:br/>
        <w:t>izdod šādu Dekrētu:</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pants</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Vides kodeksa normatīvās daļas 9. iedaļas I nodaļas V grāmatas IV sadaļā pievieno šādu 2. apakšiedaļu: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2. apakšiedaļa</w:t>
      </w:r>
      <w:r>
        <w:rPr>
          <w:rFonts w:ascii="Times New Roman" w:hAnsi="Times New Roman"/>
          <w:sz w:val="24"/>
        </w:rPr>
        <w:br/>
        <w:t xml:space="preserve">“Elektrisko un elektronisko iekārtu izturības indeksa displejs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541-215. pants. Šī apakšiedaļa attiecas uz jaunu elektrisko un elektronisko iekārtu kategorijām, kas noteiktas par vidi un ekonomiku atbildīgo ministru rīkojumā.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541-216. pants. Izturības indeksu, ko ražotāji vai importētāji nosaka saskaņā ar L. 541-9-2. panta II punktu, veido punktu skaits, ko katram aprīkojuma modelim nosaka saskaņā ar turpmāk izklāstītajām procedūrām. Šis rādītājs tiek informēts patērētājiem iekārtas iegādes brīdī. </w:t>
      </w:r>
      <w:r>
        <w:rPr>
          <w:rFonts w:ascii="Times New Roman" w:hAnsi="Times New Roman"/>
          <w:sz w:val="24"/>
        </w:rPr>
        <w:br/>
        <w:t xml:space="preserve">“ Izturības indekss aizstāj L. 541-9-2. panta I punktā paredzēto labojamības indeksu no brīža, kad stājas spēkā izturības indeksa pienākumi attiecīgajai iekārtas kategorijai.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541-217. pants. Šai apakšiedaļā piemēro šādas definīcijas: </w:t>
      </w:r>
      <w:r>
        <w:rPr>
          <w:rFonts w:ascii="Times New Roman" w:hAnsi="Times New Roman"/>
          <w:sz w:val="24"/>
        </w:rPr>
        <w:br/>
        <w:t xml:space="preserve">1. “Darīt pieejamu tirgū” nozīmē komercdarbības ietvaros veiktu tādu iekārtu piegādi, kas ir paredzētas izplatīšanai vai izmantošanai nacionālajā tirgū par atlīdzību vai bez maksas; </w:t>
      </w:r>
      <w:r>
        <w:rPr>
          <w:rFonts w:ascii="Times New Roman" w:hAnsi="Times New Roman"/>
          <w:sz w:val="24"/>
        </w:rPr>
        <w:br/>
        <w:t xml:space="preserve">2. “Laišana tirgū” nozīmē iekārtas pirmreizējo pieejamību nacionālajā tirgū; </w:t>
      </w:r>
      <w:r>
        <w:rPr>
          <w:rFonts w:ascii="Times New Roman" w:hAnsi="Times New Roman"/>
          <w:sz w:val="24"/>
        </w:rPr>
        <w:br/>
        <w:t xml:space="preserve">3. “Ražotājs” nozīmē jebkuru fizisku vai juridisku personu, kas ražo iekārtas vai kas ir nodrošinājusi to izstrādi vai ražošanu, izmantojot savu vārdu vai zīmolu: </w:t>
      </w:r>
      <w:r>
        <w:rPr>
          <w:rFonts w:ascii="Times New Roman" w:hAnsi="Times New Roman"/>
          <w:sz w:val="24"/>
        </w:rPr>
        <w:br/>
        <w:t xml:space="preserve">4. “Importētājs” nozīmē jebkuru fizisku vai juridisku personu, kas laiž nacionālajā tirgū iekārtas no Eiropas Savienības dalībvalstīm vai trešajām valstīm; </w:t>
      </w:r>
      <w:r>
        <w:rPr>
          <w:rFonts w:ascii="Times New Roman" w:hAnsi="Times New Roman"/>
          <w:sz w:val="24"/>
        </w:rPr>
        <w:br/>
        <w:t xml:space="preserve">5. “Izplatītājs” nozīmē piegādes ķēdē ietilpstošu jebkuru fizisku vai juridisku personu, kas nav ražotājs vai importētājs un, kas piedāvā iekārtas tirdzniecībai vietējā tirgū; </w:t>
      </w:r>
      <w:r>
        <w:rPr>
          <w:rFonts w:ascii="Times New Roman" w:hAnsi="Times New Roman"/>
          <w:sz w:val="24"/>
        </w:rPr>
        <w:br/>
        <w:t xml:space="preserve">6. “Pārdevējs” nozīmē jebkuru fizisku vai juridisku personu, kas savas komercdarbības ietvaros dara iekārtas pieejamas tirgū, pārdodot tas patērētājiem, tostarp attālināti; </w:t>
      </w:r>
      <w:r>
        <w:rPr>
          <w:rFonts w:ascii="Times New Roman" w:hAnsi="Times New Roman"/>
          <w:sz w:val="24"/>
        </w:rPr>
        <w:br/>
        <w:t xml:space="preserve">7. “Tālpārdošana” nozīmē attālināta līguma noslēgšanu starp profesionālu pārdevēju un patērētāju organizētas pārdošanas sistēmas ietvaros, bez pārdevēja un patērētāja vienlaicīgas fiziskas klātbūtnes, izmantojot vienu vai vairākas attālinātās saziņas metodes līdz tiek noslēgts līgums; </w:t>
      </w:r>
      <w:r>
        <w:rPr>
          <w:rFonts w:ascii="Times New Roman" w:hAnsi="Times New Roman"/>
          <w:sz w:val="24"/>
        </w:rPr>
        <w:br/>
        <w:t xml:space="preserve">8. “ Modelis”: iekārtas versija, kuras visām vienībām ir vienādi attiecīgie tehniskie parametri, kas tiek izmantoti indeksa aprēķiniem; </w:t>
      </w:r>
      <w:r>
        <w:rPr>
          <w:rFonts w:ascii="Times New Roman" w:hAnsi="Times New Roman"/>
          <w:sz w:val="24"/>
        </w:rPr>
        <w:br/>
        <w:t xml:space="preserve">“9. “Ekvivalenti modeļi”: tādu modeļu grupa, kuriem ir tādi paši tehniskie raksturlielumi, kas attiecas uz veicamo uzticamības testu, un kurus tas pats ražotājs, importētājs vai cits laišanas tirgū laiž tirgū vai nodod ekspluatācijā kā citu modeli ar citu modeļa atsauci.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br/>
        <w:t xml:space="preserve">“ R. 541-218. pants. I. Ražotāji vai importētāji katram tirgū laisto iekārtu modelim nosaka izturības indeksu un parametrus, kas ļāva to noteikt vides un ekonomikas ministru rīkojumā noteiktajā kārtībā. </w:t>
      </w:r>
      <w:r>
        <w:rPr>
          <w:rFonts w:ascii="Times New Roman" w:hAnsi="Times New Roman"/>
          <w:sz w:val="24"/>
        </w:rPr>
        <w:br/>
        <w:t xml:space="preserve">“II. Ražotāji vai importētāji elektroniski un bez maksas nodod informāciju izplatītājiem vai pārdevējiem iekārtu iekļaušanas un piegādes brīdī attiecībā uz katru tirgū laisto iekārtas modeli:  </w:t>
      </w:r>
      <w:r>
        <w:rPr>
          <w:rFonts w:ascii="Times New Roman" w:hAnsi="Times New Roman"/>
          <w:sz w:val="24"/>
        </w:rPr>
        <w:br/>
        <w:t xml:space="preserve">1. Izturības indekss saskaņā ar I minētā rīkojuma noteikumiem un izmantotajiem apzīmējumiem. </w:t>
      </w:r>
      <w:r>
        <w:rPr>
          <w:rFonts w:ascii="Times New Roman" w:hAnsi="Times New Roman"/>
          <w:sz w:val="24"/>
        </w:rPr>
        <w:br/>
      </w:r>
      <w:r>
        <w:rPr>
          <w:rFonts w:ascii="Times New Roman" w:hAnsi="Times New Roman"/>
          <w:sz w:val="24"/>
        </w:rPr>
        <w:lastRenderedPageBreak/>
        <w:t xml:space="preserve">2. Tabula, kurā sniegta detalizēta informācija par elementiem, kuri ņemti vērā ilgtspējas indeksa rādītājam, atbilstoši I minētajā rīkojumā noteiktajam reprezentācijas formātam.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 Ja tā nav tā pati persona, kas pārdevējs, izplatītājs saskaņā ar II daļas 1. un 2. punktā minētajiem nosacījumiem bez maksas paziņo pārdevējam II punktā minēto indeksu un tabulu iekļaušanas sarakstā un elektriskās un elektroniskās iekārtas piegādes laikā. </w:t>
      </w:r>
      <w:r>
        <w:rPr>
          <w:rFonts w:ascii="Times New Roman" w:hAnsi="Times New Roman"/>
          <w:sz w:val="24"/>
        </w:rPr>
        <w:br/>
        <w:t xml:space="preserve">“ IV. Papildus tam, indeksu var tieši pievienot katrai iekārtai vai iepakojumam etiķetes vai marķējuma veidā, ievērojot I minētajā rīkojumā noteiktos apzīmējumus.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Informāciju, kas ir norādīta II punktā dara publiski pieejamu elektroniski, un ražotāji vai importētāji piecu darba dienu laikā to paziņo bez maksas jebkurai personai, kas to pieprasa vismaz 2 gadus pēc tam, kad tirgū laista iekārtas modeļa pēdējā vienība.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541-219. pants. Administratīvā iestāde nodrošina centralizētu piekļuvi R. 541-218. panta II punktā minētajai informācijai saskaņā ar turpmāk izklāstītajiem nosacījumiem. </w:t>
      </w:r>
      <w:r>
        <w:rPr>
          <w:rFonts w:ascii="Times New Roman" w:hAnsi="Times New Roman"/>
          <w:sz w:val="24"/>
        </w:rPr>
        <w:br/>
        <w:t xml:space="preserve">“ Katrai iekārtu kategorijai indeksu, aprēķina parametrus, kas ļāva to noteikt, izņemot tos, kas attiecas uz rezerves daļu cenu, kā arī informāciju par modeļu identifikāciju un rezultātu aprēķināšanas metodēm publiski izplata vienotajā starpdepartamentu portālā, kas minēts Kodeksa par attiecībām starp sabiedrību un administrāciju R. 321-8. pantā. </w:t>
      </w:r>
      <w:r>
        <w:rPr>
          <w:rFonts w:ascii="Times New Roman" w:hAnsi="Times New Roman"/>
          <w:sz w:val="24"/>
        </w:rPr>
        <w:br/>
        <w:t xml:space="preserve">“ Datus pārsūta un publicē ražotājs vai importētājs, ievērojot šajā portālā pieejamo datu shēmu. Par vidi un ekonomiku atbildīgo ministru rīkojumā vajadzības gadījumā precizē datu shēmas īstenošanas tehniskos noteikumus. </w:t>
      </w:r>
      <w:r>
        <w:rPr>
          <w:rFonts w:ascii="Times New Roman" w:hAnsi="Times New Roman"/>
          <w:sz w:val="24"/>
        </w:rPr>
        <w:br/>
        <w:t xml:space="preserve">“ Šie dati ir izmantojami atkārtoti saskaņā ar nosacījumiem, kas paredzēti Kodeksa par attiecībām starp sabiedrību un administrāciju III grāmatas II sadaļā, un saskaņā ar tā paša kodeksa D. 323-2-1. panta 1. punktā minētās atklātās licences noteikumiem. </w:t>
      </w:r>
      <w:r>
        <w:rPr>
          <w:rFonts w:ascii="Times New Roman" w:hAnsi="Times New Roman"/>
          <w:sz w:val="24"/>
        </w:rPr>
        <w:br/>
        <w:t xml:space="preserve">“ Ja modeļa izturības indeksa vērtējuma aprēķins tiek aktualizēts, šos datus aktualizē ne ilgāk kā viena mēneša laikā.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541-220. pants. I. Ja iekārta tiek piedāvāta pārdošanai veikalos, pārdevējs R. 541-218. panta I daļā minētajā rīkojumā paredzētajā veidā un izkārtnēs redzamā, salasāmā un viegli pieejamā veidā izliek izturības indeksu, uz katras pārdošanai piedāvātās iekārtas vai tiešā tuvumā. </w:t>
      </w:r>
      <w:r>
        <w:rPr>
          <w:rFonts w:ascii="Times New Roman" w:hAnsi="Times New Roman"/>
          <w:sz w:val="24"/>
        </w:rPr>
        <w:br/>
        <w:t xml:space="preserve">“ II. Ja iekārtu piedāvā pārdošanai attālināti, pārdevējs iekārtas prezentācijā un visās tīmekļa lapās, kurās tiek piedāvāta iekārtas iegāde, redzamā, salasāmā un viegli pieejamā veidā parāda izturības indeksu, netālu no tās norādes par cenu R. 541-218 I daļā minētajā rīkojumā paredzētajā veidā un izkārtnēs. Šis pienākums neattiecas uz pasūtījuma un maksājuma kopsavilkuma lapām. </w:t>
      </w:r>
      <w:r>
        <w:rPr>
          <w:rFonts w:ascii="Times New Roman" w:hAnsi="Times New Roman"/>
          <w:sz w:val="24"/>
        </w:rPr>
        <w:br/>
        <w:t xml:space="preserve">“ III. Pārdevējs arī dara pieejamu patērētājiem R. 541-218 II panta 2. punktā minēto tabulu, izmantojot jebkuru piemērotu procesu. Ja iekārtu piedāvā pārdošanai veikalā, izstādīšana plauktā, informējot patērētāju par galda esamību un iespēju tam piekļūt. Pēc klienta pieprasījuma kopija jāizsniedz papīra vai elektroniskā formātā pēc klienta izvēles. Ja iekārtu piedāvā tirdzniecībai tiešsaistē, šai tabulai jābūt tieši pieejamai no tīmekļa lapām, kurās ir parādīts izturības indekss.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541-221. pants. I. Izturības indeksu aprēķina, pamatojoties uz šādiem parametriem: </w:t>
      </w:r>
      <w:r>
        <w:rPr>
          <w:rFonts w:ascii="Times New Roman" w:hAnsi="Times New Roman"/>
          <w:sz w:val="24"/>
        </w:rPr>
        <w:br/>
        <w:t xml:space="preserve">1. punktu skaits, kas noteikts skalā no 0 līdz 10 par iekārtas remontējamību, jo īpaši ņemot vērā tehniskās dokumentācijas pieejamību, demontāžas vieglumu, rezerves daļu pieejamību un cenu; </w:t>
      </w:r>
      <w:r>
        <w:rPr>
          <w:rFonts w:ascii="Times New Roman" w:hAnsi="Times New Roman"/>
          <w:sz w:val="24"/>
        </w:rPr>
        <w:br/>
        <w:t xml:space="preserve">2. punktu skaits, kas noteikts skalā no 0 līdz 10 par iekārtu uzticamību, cita starpā ņemot </w:t>
      </w:r>
      <w:r>
        <w:rPr>
          <w:rFonts w:ascii="Times New Roman" w:hAnsi="Times New Roman"/>
          <w:sz w:val="24"/>
        </w:rPr>
        <w:lastRenderedPageBreak/>
        <w:t xml:space="preserve">vērā stresu un nodilumu, vieglu apkopi un uzturēšanu, kā arī tirdzniecības garantijas un kvalitātes procesu; </w:t>
      </w:r>
      <w:r>
        <w:rPr>
          <w:rFonts w:ascii="Times New Roman" w:hAnsi="Times New Roman"/>
          <w:sz w:val="24"/>
        </w:rPr>
        <w:br/>
        <w:t xml:space="preserve">3. attiecīgā gadījumā vērtējums, kas noteikts skalā no 0 līdz 10 saistībā ar iekārtas programmatūras un aparatūras atjauninājumiem; </w:t>
      </w:r>
      <w:r>
        <w:rPr>
          <w:rFonts w:ascii="Times New Roman" w:hAnsi="Times New Roman"/>
          <w:sz w:val="24"/>
        </w:rPr>
        <w:br/>
        <w:t xml:space="preserve">“ Noturības indeksu aprēķina, pamatojoties uz 1. un 2. punktā un attiecīgā gadījumā 3. punktā minētajiem punktiem. To izsaka kā vispārēju vērtējumu skalā no 0 līdz 10. </w:t>
      </w:r>
      <w:r>
        <w:rPr>
          <w:rFonts w:ascii="Times New Roman" w:hAnsi="Times New Roman"/>
          <w:sz w:val="24"/>
        </w:rPr>
        <w:br/>
        <w:t xml:space="preserve">“ II. Attiecībā uz katru aptverto iekārtu kategoriju, vides un ekonomikas ministru rīkojumā norāda visus kritērijus un vērā ņemtos apakškritērijus un indeksa aprēķināšanas metodes.” </w:t>
      </w:r>
      <w:r>
        <w:rPr>
          <w:rFonts w:ascii="Times New Roman" w:hAnsi="Times New Roman"/>
          <w:sz w:val="24"/>
        </w:rPr>
        <w:br/>
        <w:t>“ III. Rīkojumā, kas minēts R. 541-218. panta I punktā, var paredzēt, ka dažus kritērijus vai apakškritērijus, kas saistīti ar iekārtu uzticamību, var noteikt vienam modelim tādu modeļu kopumam, kurus var uzskatīt par līdzvērtīgiem.”</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pants</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Vides kodeksa R. 541-211. pantu aizstāj ar šādu: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541-211. pants. Šajā apakšiedaļā piemēro definīcijas, kas noteiktas R. 541-217. panta 1. līdz 8. punktā.”</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pants</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Vides kodeksa normatīvās daļas IV sadaļas I nodaļas 9. iedaļas 2.3. un 4. apakšiedaļa kļūst attiecīgi par tās pašas iedaļas 3., 4. un 5. apakšiedaļu. </w:t>
      </w:r>
      <w:r>
        <w:rPr>
          <w:rFonts w:ascii="Times New Roman" w:hAnsi="Times New Roman"/>
          <w:sz w:val="24"/>
        </w:rPr>
        <w:br/>
        <w:t xml:space="preserve">Vides kodeksa D. 541-215. līdz D. 541-219. pants kļūst par tā paša kodeksa D. 541-222. līdz D. 541-226. pantu, Vides kodeksa R. 541-220. līdz R. 541-223. pants kļūst attiecīgi par tā paša kodeksa R. 541-227. līdz R. 541-230. pantu un Vides kodeksa D. 541-225. līdz D. 541-232-1. pants attiecīgi kļūst par tā paša kodeksa D. 541-231. līdz D. 541-239. pantu. </w:t>
      </w:r>
      <w:r>
        <w:rPr>
          <w:rFonts w:ascii="Times New Roman" w:hAnsi="Times New Roman"/>
          <w:sz w:val="24"/>
        </w:rPr>
        <w:br/>
        <w:t>Spēkā esošajos noteikumos attiecīgi tiek grozītas atsauces uz Vides kodeksa D. 541-215. līdz D. 541-232-1. panta noteikumiem.</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4. pants.</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Ekonomikas, finanšu un rūpniecības un digitālās suverenitātes ministrs un ekoloģiskās pārejas un teritoriālās kohēzijas ministrs katrs ir atbildīgi par šī dekrēta piemērošanu, kas tiks publicēts Francijas Republikas Oficiālajā Vēstnesī.</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Apstiprināts 2024. gada 5. aprīlī.</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Gabriel Attal</w:t>
      </w:r>
      <w:r>
        <w:rPr>
          <w:rFonts w:ascii="Times New Roman" w:hAnsi="Times New Roman"/>
          <w:sz w:val="24"/>
        </w:rPr>
        <w:br/>
        <w:t>Premjerministrs:</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Ekoloģiskās pārejas un teritoriālās kohēzijas ministrs</w:t>
      </w:r>
      <w:r>
        <w:rPr>
          <w:rFonts w:ascii="Times New Roman" w:hAnsi="Times New Roman"/>
          <w:sz w:val="24"/>
        </w:rPr>
        <w:br/>
        <w:t>Christophe Béchu</w:t>
      </w:r>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Ekonomikas, finanšu, rūpniecības un digitālās suverenitātes ministrs</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1A3D77"/>
    <w:rsid w:val="0023656E"/>
    <w:rsid w:val="00366729"/>
    <w:rsid w:val="007B3CEE"/>
    <w:rsid w:val="00956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9340</Characters>
  <Application>Microsoft Office Word</Application>
  <DocSecurity>0</DocSecurity>
  <Lines>177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2024-05-06T08:43:00Z</dcterms:created>
  <dcterms:modified xsi:type="dcterms:W3CDTF">2024-05-06T08:43:00Z</dcterms:modified>
</cp:coreProperties>
</file>