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EE5" w14:textId="77777777" w:rsidR="0023656E" w:rsidRDefault="00956BE5">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Besluit nr. 2024-316 van 5 april 2024 betreffende de duurzaamheidsindex van elektrische en elektronische apparatuur</w:t>
      </w:r>
    </w:p>
    <w:p w14:paraId="16D700DD"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NOR: TRED2329205D</w:t>
      </w:r>
    </w:p>
    <w:p w14:paraId="7D920524" w14:textId="192AB7B9"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https://www.legifrance.gouv.fr/eli/decret/2024/4/5/TRED2329205D/jo/texte</w:t>
        </w:r>
      </w:hyperlink>
    </w:p>
    <w:p w14:paraId="6CAA6AAE" w14:textId="783AAEE7" w:rsidR="007B3CEE" w:rsidRP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 xml:space="preserve">Alias: </w:t>
      </w:r>
      <w:hyperlink r:id="rId5" w:history="1">
        <w:r>
          <w:rPr>
            <w:rStyle w:val="Hyperlink"/>
            <w:rFonts w:ascii="Times New Roman" w:hAnsi="Times New Roman"/>
            <w:sz w:val="24"/>
          </w:rPr>
          <w:t>https://www.legifrance.gouv.fr/eli/decret/2024/4/5/2024-316/jo/texte</w:t>
        </w:r>
      </w:hyperlink>
    </w:p>
    <w:p w14:paraId="2AC6BE26" w14:textId="77777777" w:rsidR="007B3CE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JORF nr. 0082 van 7 april 2024</w:t>
      </w:r>
    </w:p>
    <w:p w14:paraId="7693BB8D" w14:textId="7098A389" w:rsidR="0023656E" w:rsidRDefault="00956BE5">
      <w:pPr>
        <w:spacing w:after="0" w:line="240" w:lineRule="auto"/>
        <w:rPr>
          <w:rFonts w:ascii="Times New Roman" w:eastAsia="Times New Roman" w:hAnsi="Times New Roman" w:cs="Times New Roman"/>
          <w:sz w:val="24"/>
          <w:szCs w:val="24"/>
        </w:rPr>
      </w:pPr>
      <w:r>
        <w:rPr>
          <w:rFonts w:ascii="Times New Roman" w:hAnsi="Times New Roman"/>
          <w:sz w:val="24"/>
        </w:rPr>
        <w:t>Tekst nr. 21</w:t>
      </w:r>
    </w:p>
    <w:p w14:paraId="1C8F13CD"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Doelgroep: producenten, importeurs, distributeurs of overige leveranciers van elektrische en elektronische apparatuur, verkopers van deze apparatuur en diegenen die een website, platform of ander online distributiekanaal gebruiken in het kader van hun handelsactiviteiten in Frankrijk. </w:t>
      </w:r>
      <w:r>
        <w:rPr>
          <w:rFonts w:ascii="Times New Roman" w:hAnsi="Times New Roman"/>
          <w:sz w:val="24"/>
        </w:rPr>
        <w:br/>
        <w:t xml:space="preserve">Betreft: uitvoeringsregels van de duurzaamheidsindex zoals gedefinieerd in artikel L. 541-9-2 van de milieuwet. </w:t>
      </w:r>
      <w:r>
        <w:rPr>
          <w:rFonts w:ascii="Times New Roman" w:hAnsi="Times New Roman"/>
          <w:sz w:val="24"/>
        </w:rPr>
        <w:br/>
        <w:t xml:space="preserve">Inwerkingtreding: de tekst treedt in werking op de dag volgende op die van de bekendmaking ervan. </w:t>
      </w:r>
      <w:r>
        <w:rPr>
          <w:rFonts w:ascii="Times New Roman" w:hAnsi="Times New Roman"/>
          <w:sz w:val="24"/>
        </w:rPr>
        <w:br/>
        <w:t xml:space="preserve">Kennisgeving: het besluit stelt de uitvoeringsregels vast van artikel L. 541-9-2 van de milieuwet, dat voorziet in de invoering van een duurzaamheidsindex voor bepaalde categorieën elektrische en elektronische apparatuur. Zij specificeert met name de criteria en parameters voor de berekening van deze index, alsmede het algemene kader van de verplichtingen met betrekking tot de mededeling en weergave ervan. </w:t>
      </w:r>
      <w:r>
        <w:rPr>
          <w:rFonts w:ascii="Times New Roman" w:hAnsi="Times New Roman"/>
          <w:sz w:val="24"/>
        </w:rPr>
        <w:br/>
        <w:t xml:space="preserve">Referenties: het besluit kan worden geraadpleegd op de website van Légifrance (https://www.legifrance.gouv.fr). </w:t>
      </w:r>
    </w:p>
    <w:p w14:paraId="286486BA" w14:textId="77777777" w:rsidR="00366729" w:rsidRDefault="00956BE5" w:rsidP="00366729">
      <w:pPr>
        <w:spacing w:after="0" w:line="240" w:lineRule="auto"/>
        <w:rPr>
          <w:rFonts w:ascii="Times New Roman" w:eastAsia="Times New Roman" w:hAnsi="Times New Roman" w:cs="Times New Roman"/>
          <w:sz w:val="24"/>
          <w:szCs w:val="24"/>
        </w:rPr>
      </w:pPr>
      <w:r>
        <w:rPr>
          <w:rFonts w:ascii="Times New Roman" w:hAnsi="Times New Roman"/>
          <w:sz w:val="24"/>
        </w:rPr>
        <w:br/>
        <w:t>De minister-president,</w:t>
      </w:r>
    </w:p>
    <w:p w14:paraId="4F0D4103" w14:textId="77777777" w:rsidR="00366729"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Over het verslag van de minister van Economie, Financiën en Industriële en Digitale Soevereiniteit en van de minister van Ecologische Transitie en Territoriale Cohesie;</w:t>
      </w:r>
    </w:p>
    <w:p w14:paraId="37F75173" w14:textId="442EB61D"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Gezien Richtlijn (EU) 2015/1535 van het Europees Parlement en de Raad van 9 september 2015 betreffende een informatieprocedure op het gebied van technische voorschriften en regels betreffende de diensten van de informatiemaatschappij, in combinatie met Kennisgeving nr. 2023/477-481/FR die op 2 augustus 2023 naar de Europese Commissie is gestuurd en de antwoorden daarop van 27 oktober 2023 en 5 februari 2024;</w:t>
      </w:r>
      <w:r>
        <w:rPr>
          <w:rFonts w:ascii="Times New Roman" w:hAnsi="Times New Roman"/>
          <w:sz w:val="24"/>
        </w:rPr>
        <w:br/>
        <w:t>Gezien de milieuwet, in het bijzonder de artikelen L. 541-9-1, L. 541-9-2, L. 541-9-4 en L. 541-9-4-1;</w:t>
      </w:r>
      <w:r>
        <w:rPr>
          <w:rFonts w:ascii="Times New Roman" w:hAnsi="Times New Roman"/>
          <w:sz w:val="24"/>
        </w:rPr>
        <w:br/>
        <w:t>Gezien de wet inzake de verhouding tussen het publiek en de overheid, in het bijzonder boek III daarvan;</w:t>
      </w:r>
      <w:r>
        <w:rPr>
          <w:rFonts w:ascii="Times New Roman" w:hAnsi="Times New Roman"/>
          <w:sz w:val="24"/>
        </w:rPr>
        <w:br/>
        <w:t>Gezien de opmerkingen die zijn gemaakt tijdens de openbare raadpleging die tussen 5 september en 13 oktober 2023 is gehouden, overeenkomstig artikel L. 123-19-1 van de milieuwet;</w:t>
      </w:r>
      <w:r>
        <w:rPr>
          <w:rFonts w:ascii="Times New Roman" w:hAnsi="Times New Roman"/>
          <w:sz w:val="24"/>
        </w:rPr>
        <w:br/>
        <w:t>Gehoord de Staatsraad (afdeling Openbare Werken),</w:t>
      </w:r>
      <w:r>
        <w:rPr>
          <w:rFonts w:ascii="Times New Roman" w:hAnsi="Times New Roman"/>
          <w:sz w:val="24"/>
        </w:rPr>
        <w:br/>
        <w:t>Bepaalt:</w:t>
      </w:r>
    </w:p>
    <w:p w14:paraId="25FC888A"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640ECED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xml:space="preserve">In titel IV van boek V van hoofdstuk I van afdeling 9 van het regelgevend deel van de milieuwet wordt een onderafdeling 2 toegevoegd die als volgt luidt: </w:t>
      </w:r>
    </w:p>
    <w:p w14:paraId="27226E4B"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Onderafdeling 2</w:t>
      </w:r>
      <w:r>
        <w:rPr>
          <w:rFonts w:ascii="Times New Roman" w:hAnsi="Times New Roman"/>
          <w:sz w:val="24"/>
        </w:rPr>
        <w:br/>
        <w:t xml:space="preserve">“Weergave van de duurzaamheidsindex voor elektrische en elektronische apparatuur </w:t>
      </w:r>
    </w:p>
    <w:p w14:paraId="6EEDF8B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Artikel R. 541-215.-Deze onderafdeling is van toepassing op de categorieën nieuwe elektrische en elektronische apparatuur die zijn vastgesteld bij besluit van de ministers die verantwoordelijk zijn voor het milieu en de economie. </w:t>
      </w:r>
    </w:p>
    <w:p w14:paraId="3A6AF9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Artikel R. 541-216.-De duurzaamheidsindex die door producenten of importeurs wordt vastgesteld overeenkomstig artikel L. 541-9-2, II, bestaat uit een score die voor elk model apparatuur wordt vastgesteld volgens onderstaande procedures. Deze score wordt onder de aandacht gebracht van consumenten op het moment dat ze de apparatuur kopen. </w:t>
      </w:r>
      <w:r>
        <w:rPr>
          <w:rFonts w:ascii="Times New Roman" w:hAnsi="Times New Roman"/>
          <w:sz w:val="24"/>
        </w:rPr>
        <w:br/>
        <w:t xml:space="preserve">“ De duurzaamheidsindex vervangt de repareerbaarheidsindex van artikel L. 541-9-2 vanaf de inwerkingtreding van de verplichtingen van de duurzaamheidsindex voor de desbetreffende categorie apparatuur. </w:t>
      </w:r>
    </w:p>
    <w:p w14:paraId="34FF8F0A"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Artikel R 541-217.- Voor de toepassing van deze onderafdeling gelden de volgende definities: </w:t>
      </w:r>
      <w:r>
        <w:rPr>
          <w:rFonts w:ascii="Times New Roman" w:hAnsi="Times New Roman"/>
          <w:sz w:val="24"/>
        </w:rPr>
        <w:br/>
        <w:t xml:space="preserve">“1. “Op de markt aanbieden”: een levering, in het kader van een commerciële activiteit, van apparatuur bestemd voor distributie of gebruik op de nationale markt, onder bezwarende titel of kosteloos; </w:t>
      </w:r>
      <w:r>
        <w:rPr>
          <w:rFonts w:ascii="Times New Roman" w:hAnsi="Times New Roman"/>
          <w:sz w:val="24"/>
        </w:rPr>
        <w:br/>
        <w:t xml:space="preserve">“2. “In de handel brengen”: het voor het eerst op de nationale markt aanbieden van apparatuur; </w:t>
      </w:r>
      <w:r>
        <w:rPr>
          <w:rFonts w:ascii="Times New Roman" w:hAnsi="Times New Roman"/>
          <w:sz w:val="24"/>
        </w:rPr>
        <w:br/>
        <w:t xml:space="preserve">“3. “Producent”: een natuurlijke of rechtspersoon die apparatuur vervaardigt of laat ontwerpen en in de handel brengt onder zijn eigen naam of merk; </w:t>
      </w:r>
      <w:r>
        <w:rPr>
          <w:rFonts w:ascii="Times New Roman" w:hAnsi="Times New Roman"/>
          <w:sz w:val="24"/>
        </w:rPr>
        <w:br/>
        <w:t xml:space="preserve">“4. “Importeur”: een natuurlijke of rechtspersoon die apparatuur uit lidstaten van de Europese Unie of uit derde landen in de nationale handel brengt; </w:t>
      </w:r>
      <w:r>
        <w:rPr>
          <w:rFonts w:ascii="Times New Roman" w:hAnsi="Times New Roman"/>
          <w:sz w:val="24"/>
        </w:rPr>
        <w:br/>
        <w:t xml:space="preserve">“5. “Distributeur”: een natuurlijke of rechtspersoon in de toeleveringsketen, met uitzondering van de producent of importeur, die apparatuur voor verkoop op de binnenlandse markt aanbiedt; </w:t>
      </w:r>
      <w:r>
        <w:rPr>
          <w:rFonts w:ascii="Times New Roman" w:hAnsi="Times New Roman"/>
          <w:sz w:val="24"/>
        </w:rPr>
        <w:br/>
        <w:t xml:space="preserve">“6. “Verkoper”: een natuurlijke of rechtspersoon die in het kader van een commerciële activiteit op de markt aanbiedt door apparatuur, ook op afstand, aan consumenten te verkopen; </w:t>
      </w:r>
      <w:r>
        <w:rPr>
          <w:rFonts w:ascii="Times New Roman" w:hAnsi="Times New Roman"/>
          <w:sz w:val="24"/>
        </w:rPr>
        <w:br/>
        <w:t xml:space="preserve">“7. “Verkoop op afstand”: op afstand afgesloten contract tussen een professionele verkoper en een consument, in het kader van een georganiseerd verkoopsysteem, zonder de gelijktijdige fysieke aanwezigheid van de professionele verkoper en de consument, door uitsluitend een beroep te doen op één of meerdere technieken voor communicatie op afstand tot aan de sluiting van het contract”; </w:t>
      </w:r>
      <w:r>
        <w:rPr>
          <w:rFonts w:ascii="Times New Roman" w:hAnsi="Times New Roman"/>
          <w:sz w:val="24"/>
        </w:rPr>
        <w:br/>
        <w:t xml:space="preserve">“8. “ “Model”: een versie van een apparaat waarvan alle eenheden dezelfde relevante technische kenmerken hebben voor de berekening van de index; </w:t>
      </w:r>
      <w:r>
        <w:rPr>
          <w:rFonts w:ascii="Times New Roman" w:hAnsi="Times New Roman"/>
          <w:sz w:val="24"/>
        </w:rPr>
        <w:br/>
        <w:t xml:space="preserve">“9. “Gelijkwaardige modellen”: een groep modellen die dezelfde technische kenmerken heeft die relevant zijn voor de uit te voeren betrouwbaarheidstest, en die door dezelfde </w:t>
      </w:r>
      <w:r>
        <w:rPr>
          <w:rFonts w:ascii="Times New Roman" w:hAnsi="Times New Roman"/>
          <w:sz w:val="24"/>
        </w:rPr>
        <w:lastRenderedPageBreak/>
        <w:t xml:space="preserve">fabrikant, importeur of anderszins in de handel wordt gebracht of in gebruik wordt genomen als een ander model met een andere modelreferentie. </w:t>
      </w:r>
    </w:p>
    <w:p w14:paraId="664ACBEA"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br/>
        <w:t xml:space="preserve">“ Artikel R. 541-218.-I.- Producenten of importeurs stellen voor elk model van het apparaat dat zij in de handel brengen de duurzaamheidsindex vast, alsmede de parameters aan de hand waarvan deze index is vastgesteld, volgens procedures die zijn vastgesteld bij besluit van de ministers die verantwoordelijk zijn voor het milieu en de economie. </w:t>
      </w:r>
      <w:r>
        <w:rPr>
          <w:rFonts w:ascii="Times New Roman" w:hAnsi="Times New Roman"/>
          <w:sz w:val="24"/>
        </w:rPr>
        <w:br/>
        <w:t xml:space="preserve">“II.- Producenten of importeurs communiceren in elektronische vorm en kosteloos en aan distributeurs of verkopers op het moment van plaatsing en levering van apparatuur, voor elk model van in de handel gebrachte apparatuur:  </w:t>
      </w:r>
      <w:r>
        <w:rPr>
          <w:rFonts w:ascii="Times New Roman" w:hAnsi="Times New Roman"/>
          <w:sz w:val="24"/>
        </w:rPr>
        <w:br/>
        <w:t xml:space="preserve">“1. De duurzaamheidsindex in overeenstemming met de voorwaarden en tekens als bedoeld in het besluit vermeld in I; </w:t>
      </w:r>
      <w:r>
        <w:rPr>
          <w:rFonts w:ascii="Times New Roman" w:hAnsi="Times New Roman"/>
          <w:sz w:val="24"/>
        </w:rPr>
        <w:br/>
        <w:t xml:space="preserve">“2. Een tabel met details van de elementen waarmee rekening is gehouden voor de score van de duurzaamheidsindex, in overeenstemming met de presentatievorm zoals bepaald in het besluit vermeld in I. </w:t>
      </w:r>
    </w:p>
    <w:p w14:paraId="67E6F352" w14:textId="77777777" w:rsidR="00366729" w:rsidRDefault="00956BE5" w:rsidP="00366729">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III.-Wanneer de verkoper niet dezelfde persoon is, deelt de distributeur de verkoper onder de in II, punten 1 en 2, bedoelde voorwaarden de in II bedoelde index en tabel gratis mee bij de aanbieding en levering van de elektrische en elektronische apparatuur. </w:t>
      </w:r>
      <w:r>
        <w:rPr>
          <w:rFonts w:ascii="Times New Roman" w:hAnsi="Times New Roman"/>
          <w:sz w:val="24"/>
        </w:rPr>
        <w:br/>
        <w:t xml:space="preserve">“ IV.- De index kan bovendien rechtstreeks op elk apparaat of op de verpakking worden aangebracht door middel van etikettering of markering, met inachtneming van de tekens die zijn voorgeschreven door het in I vermelde besluit. </w:t>
      </w:r>
    </w:p>
    <w:p w14:paraId="4B1F359E" w14:textId="17C1264C" w:rsidR="0023656E" w:rsidRDefault="00956BE5" w:rsidP="00956BE5">
      <w:pPr>
        <w:spacing w:after="0" w:line="240" w:lineRule="auto"/>
        <w:ind w:left="446"/>
        <w:rPr>
          <w:rFonts w:ascii="Times New Roman" w:eastAsia="Times New Roman" w:hAnsi="Times New Roman" w:cs="Times New Roman"/>
          <w:sz w:val="24"/>
          <w:szCs w:val="24"/>
        </w:rPr>
      </w:pPr>
      <w:r>
        <w:rPr>
          <w:rFonts w:ascii="Times New Roman" w:hAnsi="Times New Roman"/>
          <w:sz w:val="24"/>
        </w:rPr>
        <w:t xml:space="preserve">“ V.- De in punt II bedoelde informatie wordt elektronisch beschikbaar gesteld aan het publiek en wordt door de producenten of importeurs binnen vijf werkdagen kosteloos verstrekt aan eenieder die daarom verzoekt gedurende een periode van ten minste twee jaar nadat de laatste eenheid van een model in de handel is gebracht. </w:t>
      </w:r>
    </w:p>
    <w:p w14:paraId="0758D714"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Artikel R. 541-219.-De administratieve autoriteit zorgt voor gecentraliseerde toegang tot de informatie bedoeld in II van artikel R. 541-218 onder de hieronder vermelde voorwaarden. </w:t>
      </w:r>
      <w:r>
        <w:rPr>
          <w:rFonts w:ascii="Times New Roman" w:hAnsi="Times New Roman"/>
          <w:sz w:val="24"/>
        </w:rPr>
        <w:br/>
        <w:t xml:space="preserve">“ Voor elke categorie apparatuur worden de index, de berekeningsparameters op basis waarvan de index is vastgesteld, met uitzondering van de parameters die betrekking hebben op de prijs van reserveonderdelen, alsmede de informatie over de identificatie van de modellen en de berekeningsmethoden voor de scores, openbaar gemaakt via het enige interdepartementale portaal waarnaar wordt verwezen in artikel R. 321-8 van de wet inzake de verhouding tussen het publiek en de overheid. </w:t>
      </w:r>
      <w:r>
        <w:rPr>
          <w:rFonts w:ascii="Times New Roman" w:hAnsi="Times New Roman"/>
          <w:sz w:val="24"/>
        </w:rPr>
        <w:br/>
        <w:t xml:space="preserve">“ De gegevens worden verzonden en gepubliceerd onder de verantwoordelijkheid van de producent of importeur in overeenstemming met een op dat portaal beschikbaar gegevenssysteem. Bij besluit van de ministers die verantwoordelijk zijn voor het milieu en de economie worden zo nodig de technische regelingen voor de uitvoering van het gegevenssysteem vastgesteld. </w:t>
      </w:r>
      <w:r>
        <w:rPr>
          <w:rFonts w:ascii="Times New Roman" w:hAnsi="Times New Roman"/>
          <w:sz w:val="24"/>
        </w:rPr>
        <w:br/>
        <w:t xml:space="preserve">“ Deze gegevens kunnen worden hergebruikt onder de voorwaarden van titel II van boek III van de wet inzake de verhouding tussen het publiek en de overheid en onder de voorwaarden van de open licentie vermeld in punt 1 van I van artikel D. 323-2-1 van dezelfde wet. </w:t>
      </w:r>
      <w:r>
        <w:rPr>
          <w:rFonts w:ascii="Times New Roman" w:hAnsi="Times New Roman"/>
          <w:sz w:val="24"/>
        </w:rPr>
        <w:br/>
        <w:t xml:space="preserve">“ Als de berekening van de duurzaamheidsindexscore van een model wordt bijgewerkt, worden deze gegevens binnen een periode van maximaal een maand bijgewerkt. </w:t>
      </w:r>
    </w:p>
    <w:p w14:paraId="763FC439"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xml:space="preserve">“ Artikel R. 541-220.-I.-Wanneer de apparatuur in winkels te koop wordt aangeboden, dient de verkoper de duurzaamheidsindex zichtbaar, leesbaar en gemakkelijk toegankelijk op de wijze en met de bewegwijzering zoals bepaald in de in artikel R. 541-218, onder I, genoemde volgorde aan te brengen op elke te koop aangeboden apparatuur of in de onmiddellijke nabijheid daarvan. </w:t>
      </w:r>
      <w:r>
        <w:rPr>
          <w:rFonts w:ascii="Times New Roman" w:hAnsi="Times New Roman"/>
          <w:sz w:val="24"/>
        </w:rPr>
        <w:br/>
        <w:t xml:space="preserve">“ II.-Wanneer de apparatuur op afstand te koop wordt aangeboden, geeft de verkoper de duurzaamheidsindex op een zichtbare, leesbare en gemakkelijk toegankelijke manier weer in de presentatie van de apparatuur en op alle webpagina’s waarop de koop van de apparatuur wordt aangeboden, in de nabijheid van de aanduiding van de prijs, op de wijze en met de aanduiding voorzien in het besluit vermeld in I van artikel R. 541-218. Deze verplichting geldt niet voor de overzichtspagina’s met bestellingen en betalingen. </w:t>
      </w:r>
      <w:r>
        <w:rPr>
          <w:rFonts w:ascii="Times New Roman" w:hAnsi="Times New Roman"/>
          <w:sz w:val="24"/>
        </w:rPr>
        <w:br/>
        <w:t xml:space="preserve">“ III.-De verkoper stelt de in punt 2 van II van artikel R. 541-218 vermelde tabel ook ter beschikking van de consument via elk geschikt proces. Als de apparatuur in de winkel te koop wordt aangeboden, een display in het schap waarop de consument wordt geïnformeerd over het bestaan van de tabel en de mogelijkheid om deze te raadplegen. Als de apparatuur online te koop wordt aangeboden, dient deze tabel rechtstreeks toegankelijk te zijn vanaf de webpagina’s waar de duurzaamheidsindex wordt weergegeven. </w:t>
      </w:r>
    </w:p>
    <w:p w14:paraId="0757B42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Artikel R. 541-221.-I.-De duurzaamheidsindex wordt berekend op basis van de volgende criteria en parameters: </w:t>
      </w:r>
      <w:r>
        <w:rPr>
          <w:rFonts w:ascii="Times New Roman" w:hAnsi="Times New Roman"/>
          <w:sz w:val="24"/>
        </w:rPr>
        <w:br/>
        <w:t xml:space="preserve">“1. Een score op een schaal van 0 tot 10 voor de repareerbaarheid van de apparatuur, waarbij in het bijzonder rekening wordt gehouden met de toegankelijkheid van technische documentatie, het gemak van demontage, de beschikbaarheid en prijs van reserveonderdelen; </w:t>
      </w:r>
      <w:r>
        <w:rPr>
          <w:rFonts w:ascii="Times New Roman" w:hAnsi="Times New Roman"/>
          <w:sz w:val="24"/>
        </w:rPr>
        <w:br/>
        <w:t xml:space="preserve">“2. Een score op een schaal van 0 tot 10 voor de betrouwbaarheid van de apparatuur, waarbij onder andere rekening wordt gehouden met stress- en slijtagebestendigheid, onderhouds- en servicegemak en het bestaan van een commerciële garantie en een kwaliteitsproces; </w:t>
      </w:r>
      <w:r>
        <w:rPr>
          <w:rFonts w:ascii="Times New Roman" w:hAnsi="Times New Roman"/>
          <w:sz w:val="24"/>
        </w:rPr>
        <w:br/>
        <w:t xml:space="preserve">“3. Indien van toepassing, een score op een schaal van 0 tot 10 met betrekking tot software- en hardware-updates van de apparatuur; </w:t>
      </w:r>
      <w:r>
        <w:rPr>
          <w:rFonts w:ascii="Times New Roman" w:hAnsi="Times New Roman"/>
          <w:sz w:val="24"/>
        </w:rPr>
        <w:br/>
        <w:t xml:space="preserve">“ De duurzaamheidsindex wordt berekend op basis van de in de punten 1 en 2 en, indien van toepassing, in punt 3 genoemde scores. Het wordt uitgedrukt als een totaalscore op een schaal van 0 tot 10. </w:t>
      </w:r>
      <w:r>
        <w:rPr>
          <w:rFonts w:ascii="Times New Roman" w:hAnsi="Times New Roman"/>
          <w:sz w:val="24"/>
        </w:rPr>
        <w:br/>
        <w:t xml:space="preserve">“ II.-Voor elke betrokken categorie apparatuur worden in een besluit van de ministers van Milieu en Economie alle criteria en subcriteria gespecificeerd waarmee rekening wordt gehouden, evenals de methoden voor het berekenen van de index. </w:t>
      </w:r>
      <w:r>
        <w:rPr>
          <w:rFonts w:ascii="Times New Roman" w:hAnsi="Times New Roman"/>
          <w:sz w:val="24"/>
        </w:rPr>
        <w:br/>
        <w:t>“ III.-In het besluit bedoeld in I van artikel R. 541-218 kan worden bepaald dat bepaalde criteria of subcriteria met betrekking tot de betrouwbaarheid van de apparatuur kunnen worden vastgesteld op één model voor een reeks modellen die als gelijkwaardig kunnen worden beschouwd.”</w:t>
      </w:r>
    </w:p>
    <w:p w14:paraId="4AA5D504"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56E9C66E"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Artikel R. 541-211 van de milieuwet wordt vervangen door: </w:t>
      </w:r>
    </w:p>
    <w:p w14:paraId="616E4AD7"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Artikel R. 541-211.-Voor de toepassing van deze onderafdeling gelden de definities van de punten 1 tot en met 8 van artikel R. 541-217.”</w:t>
      </w:r>
    </w:p>
    <w:p w14:paraId="5F3A14FC"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5244038D"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De onderafdelingen 2.3 en 4 van afdeling 9 van hoofdstuk I van titel IV van boek V van de milieuwet worden respectievelijk de onderafdelingen 3, 4 en 5 van dezelfde afdeling. </w:t>
      </w:r>
      <w:r>
        <w:rPr>
          <w:rFonts w:ascii="Times New Roman" w:hAnsi="Times New Roman"/>
          <w:sz w:val="24"/>
        </w:rPr>
        <w:br/>
        <w:t xml:space="preserve">De artikelen D. 541-215 tot en met D. 541-219 van de milieuwet worden de artikelen D. 541-222 tot en met D. 541-226 van dezelfde wet, de artikelen R. 541-220 tot en met R. 541-223 van de milieuwet worden respectievelijk de artikelen R. 541-227 tot en met R. 541-230 van dezelfde wet en de artikelen D. 541-225 tot en met D. 541-232-1 van de milieuwet worden respectievelijk de artikelen D. 541-231 tot en met D. 541-239 van dezelfde wet. </w:t>
      </w:r>
      <w:r>
        <w:rPr>
          <w:rFonts w:ascii="Times New Roman" w:hAnsi="Times New Roman"/>
          <w:sz w:val="24"/>
        </w:rPr>
        <w:br/>
        <w:t>In de geldende voorschriften worden de verwijzingen naar de bepalingen van de artikelen D. 541-215 tot en met D. 541-232-1 van de milieuwet dienovereenkomstig gewijzigd.</w:t>
      </w:r>
    </w:p>
    <w:p w14:paraId="164929AB" w14:textId="77777777" w:rsidR="0023656E" w:rsidRDefault="00956BE5">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4</w:t>
      </w:r>
    </w:p>
    <w:p w14:paraId="0FD038C0" w14:textId="77777777" w:rsidR="0023656E" w:rsidRDefault="00956BE5">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De minister van Economie, Financiën en Industriële en Digitale Soevereiniteit en de minister van Ecologische Transitie en Territoriale Cohesie zijn elk verantwoordelijk voor de toepassing van dit besluit, dat zal worden gepubliceerd in het Staatsblad van de Franse Republiek.</w:t>
      </w:r>
    </w:p>
    <w:p w14:paraId="421DD6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Gedaan op 5 april 2024.</w:t>
      </w:r>
    </w:p>
    <w:p w14:paraId="0DCDC5CA"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Gabriel Attal</w:t>
      </w:r>
      <w:r>
        <w:rPr>
          <w:rFonts w:ascii="Times New Roman" w:hAnsi="Times New Roman"/>
          <w:sz w:val="24"/>
        </w:rPr>
        <w:br/>
        <w:t>Door de minister-president:</w:t>
      </w:r>
    </w:p>
    <w:p w14:paraId="2A297EFF"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 van Ecologische Transitie en Territoriale Cohesie,</w:t>
      </w:r>
      <w:r>
        <w:rPr>
          <w:rFonts w:ascii="Times New Roman" w:hAnsi="Times New Roman"/>
          <w:sz w:val="24"/>
        </w:rPr>
        <w:br/>
        <w:t>Christophe Béchu</w:t>
      </w:r>
    </w:p>
    <w:p w14:paraId="14F9C159" w14:textId="77777777" w:rsidR="0023656E" w:rsidRDefault="00956BE5">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 van Economie, Financiën en Industriële en Digitale Soevereiniteit,</w:t>
      </w:r>
      <w:r>
        <w:rPr>
          <w:rFonts w:ascii="Times New Roman" w:hAnsi="Times New Roman"/>
          <w:sz w:val="24"/>
        </w:rPr>
        <w:br/>
        <w:t>Bruno Le Maire</w:t>
      </w:r>
    </w:p>
    <w:p w14:paraId="4C7B3C76" w14:textId="77777777" w:rsidR="0023656E" w:rsidRDefault="0023656E"/>
    <w:sectPr w:rsidR="00236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6E"/>
    <w:rsid w:val="0023656E"/>
    <w:rsid w:val="00366729"/>
    <w:rsid w:val="007B3CEE"/>
    <w:rsid w:val="0090720C"/>
    <w:rsid w:val="00956B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403D"/>
  <w15:chartTrackingRefBased/>
  <w15:docId w15:val="{FD5B4176-1E84-4468-A5A1-BF138CC1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7B3CEE"/>
    <w:rPr>
      <w:color w:val="0563C1" w:themeColor="hyperlink"/>
      <w:u w:val="single"/>
    </w:rPr>
  </w:style>
  <w:style w:type="character" w:styleId="UnresolvedMention">
    <w:name w:val="Unresolved Mention"/>
    <w:basedOn w:val="DefaultParagraphFont"/>
    <w:uiPriority w:val="99"/>
    <w:semiHidden/>
    <w:unhideWhenUsed/>
    <w:rsid w:val="007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0092">
      <w:bodyDiv w:val="1"/>
      <w:marLeft w:val="0"/>
      <w:marRight w:val="0"/>
      <w:marTop w:val="0"/>
      <w:marBottom w:val="0"/>
      <w:divBdr>
        <w:top w:val="none" w:sz="0" w:space="0" w:color="auto"/>
        <w:left w:val="none" w:sz="0" w:space="0" w:color="auto"/>
        <w:bottom w:val="none" w:sz="0" w:space="0" w:color="auto"/>
        <w:right w:val="none" w:sz="0" w:space="0" w:color="auto"/>
      </w:divBdr>
      <w:divsChild>
        <w:div w:id="104255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eli/decret/2024/4/5/2024-316/jo/texte" TargetMode="External"/><Relationship Id="rId4" Type="http://schemas.openxmlformats.org/officeDocument/2006/relationships/hyperlink" Target="https://www.legifrance.gouv.fr/eli/decret/2024/4/5/TRED2329205D/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10967</Characters>
  <Application>Microsoft Office Word</Application>
  <DocSecurity>0</DocSecurity>
  <Lines>211</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2024-05-06T08:44:00Z</dcterms:created>
  <dcterms:modified xsi:type="dcterms:W3CDTF">2024-05-06T08:44:00Z</dcterms:modified>
</cp:coreProperties>
</file>