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ÁLTALÁNOS RENDELKEZÉSEK</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DIGITÁLIS ÁTÁLLÁSÜGYI ÉS KÖZSZOLGÁLATI MINISZTÉRIUM</w:t>
      </w:r>
    </w:p>
    <w:p w14:paraId="33746D61" w14:textId="5A66A1B2" w:rsidR="00681F68" w:rsidRDefault="00555CF7">
      <w:pPr>
        <w:spacing w:before="296" w:line="240" w:lineRule="exact"/>
        <w:ind w:left="2604" w:right="1582" w:hanging="1021"/>
        <w:jc w:val="both"/>
        <w:rPr>
          <w:i/>
          <w:sz w:val="20"/>
        </w:rPr>
      </w:pPr>
      <w:r>
        <w:rPr>
          <w:b/>
          <w:sz w:val="24"/>
        </w:rPr>
        <w:t xml:space="preserve">8716  </w:t>
      </w:r>
      <w:r>
        <w:rPr>
          <w:b/>
          <w:sz w:val="24"/>
        </w:rPr>
        <w:tab/>
      </w:r>
      <w:r>
        <w:rPr>
          <w:i/>
          <w:sz w:val="20"/>
        </w:rPr>
        <w:t>Az audiovizuális kommunikációról szóló, 2022. július 7-i 13/2022. sz. általános törvény 94. cikkének rendelkezései szerinti különleges jelentőséggel bíró felhasználóval kapcsolatos követelményeket szabályozó, 2024. április 30-i 444/2024. sz. királyi rendelet.</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Az audiovizuális kommunikációról szóló, 2022. július 7-i 13/2022. sz. általános törvény elfogadása a tagállamok audiovizuális médiaszolgáltatások nyújtására vonatkozó egyes törvényi, rendeleti vagy közigazgatási rendelkezéseinek összehangolásáról szóló 2010/13/EU irányelv módosításáról szóló, 2018. november 14-i (EU) 2018/1808 európai parlamenti és tanácsi irányelv spanyol jogba történő átültetéséhez vezetett.</w:t>
      </w:r>
    </w:p>
    <w:p w14:paraId="1FB0E45D" w14:textId="77777777" w:rsidR="00681F68" w:rsidRDefault="00555CF7">
      <w:pPr>
        <w:pStyle w:val="BodyText"/>
        <w:spacing w:before="5" w:line="249" w:lineRule="auto"/>
        <w:ind w:left="1584" w:right="1581" w:firstLine="340"/>
        <w:jc w:val="both"/>
      </w:pPr>
      <w:r>
        <w:t>A fent említett irányelv alapján a július 7-i 13/2022. sz. törvényt azzal a céllal hozták létre, hogy az audiovizuális piacnak az elmúlt években végbement fejlődésével összhangban aktualizált jogi keretet fogadjanak el, amely lehetővé teszi a tartalomhoz való hozzáférés, a felhasználók védelme és a piacon a különböző szolgáltatók közötti verseny közötti egyensúly megteremtését, az azonos közönségért versengő valamennyi szereplő egyenlő versenyfeltételek mellett történő bevonásával.</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E célkitűzés elérése ahhoz vezetett, hogy a videomegosztóplatform-szolgáltatókat bevonták az irányelv hatálya alá, tekintettel arra, hogy egyre nagyobb jelentőséget szereztek az audiovizuális tartalmak és audiovizuális kereskedelmi közlemények előállítása és terjesztése terén. E szolgáltatásokhoz kapcsolódnak a média- vagy közösségimédia-szolgáltatások, amelyek alapvető funkcionalitása lehetővé teszi a videók megosztását, mivel az információmegosztás, a szórakoztatás és az oktatás fontos eszközévé váltak, különösen a felhasználók által létrehozott programokhoz és videókhoz való hozzáférés révén.</w:t>
      </w:r>
    </w:p>
    <w:p w14:paraId="24AF3B82" w14:textId="77777777" w:rsidR="00681F68" w:rsidRDefault="00555CF7">
      <w:pPr>
        <w:pStyle w:val="BodyText"/>
        <w:spacing w:before="6" w:line="249" w:lineRule="auto"/>
        <w:ind w:left="1584" w:right="1582" w:firstLine="340"/>
        <w:jc w:val="both"/>
      </w:pPr>
      <w:r>
        <w:t>E tekintetben a 2022. július 7-i 13/2022. sz. törvény a 2018. november 4-i (EU) 2018/1808 európai parlamenti és tanácsi irányelv rendelkezéseivel összhangban a 2. cikkének 13. és 17. pontjában tartalmazza a videomegosztóplatform-szolgáltatás, illetve annak szolgáltatójának meghatározását. Hasonlóképpen, a törvény az V. címet a videomegosztóplatform-szolgáltatók szabályozásának szenteli azáltal, hogy olyan kötelezettségeket állapít meg, amelyek célja a felhasználók és különösen a kiskorúak védelmének biztosítása bizonyos audiovizuális tartalmakkal és audiovizuális kereskedelmi közleményekkel szemben.</w:t>
      </w:r>
    </w:p>
    <w:p w14:paraId="718AAE7C" w14:textId="1B46A6C6" w:rsidR="00681F68" w:rsidRDefault="00555CF7">
      <w:pPr>
        <w:pStyle w:val="BodyText"/>
        <w:spacing w:before="8" w:line="249" w:lineRule="auto"/>
        <w:ind w:left="1584" w:right="1581" w:firstLine="340"/>
        <w:jc w:val="both"/>
      </w:pPr>
      <w:r>
        <w:t>Különösen a 2022. július 7-i 13/2022. sz. törvény 88. cikke kötelezi a videomegosztóplatform-szolgáltatást nyújtó szolgáltatókat arra, hogy intézkedéseket fogadjanak el a kiskorúaknak az olyan műsorokkal, felhasználók által készített videókkal és audiovizuális kereskedelmi közleményekkel szembeni védelme érdekében, amelyek károsíthatják fizikai, szellemi vagy erkölcsi fejlődésüket. Másrészt ezeknek a szolgáltatóknak olyan intézkedéseket kell elfogadniuk, amelyek célja a lakosság védelme a 2022. július 7-i 13/2022. sz. törvény 4. cikke (2) bekezdésének és 4. cikke (4) bekezdésének meg nem felelő műsorokkal, felhasználók által készített videókkal és audiovizuális kereskedelmi közleményekkel szemben. A fent említett védelmi intézkedéseket a 89., 90. és 91. cikk határozza meg.</w:t>
      </w:r>
    </w:p>
    <w:p w14:paraId="793499DA" w14:textId="77777777" w:rsidR="00681F68" w:rsidRDefault="00555CF7">
      <w:pPr>
        <w:pStyle w:val="BodyText"/>
        <w:spacing w:before="1" w:line="249" w:lineRule="auto"/>
        <w:ind w:left="1584" w:right="1581" w:firstLine="340"/>
        <w:jc w:val="both"/>
      </w:pPr>
      <w:r>
        <w:t xml:space="preserve">A fent említett kötelezettségek a média- vagy közösségimédia-szolgáltatásokra is </w:t>
      </w:r>
      <w:r>
        <w:lastRenderedPageBreak/>
        <w:t>vonatkoznak, amennyiben azok a „videomegosztóplatform-szolgáltatás” fogalommeghatározása alá tartozhatnak. Az e szolgáltatások által kínált egyik fő audiovizuális tartalom a felhasználók által készített és az említett felhasználók vagy más felhasználók által a platformra feltöltött videók. E szolgáltatások felhasználóinak körén belül elsősorban egy bizonyos kategória emelkedik ki, az általában „vloggereknek”, „influenszereknek” vagy „tartalomkészítőknek” nevezett személyek, akik különösen fontosak az audiovizuális piacon a fogyasztás és a reklámberuházások szempontjából, főként a fiatalabb közönség körében.</w:t>
      </w:r>
    </w:p>
    <w:p w14:paraId="71FF3A40" w14:textId="77777777" w:rsidR="00681F68" w:rsidRDefault="00555CF7">
      <w:pPr>
        <w:pStyle w:val="BodyText"/>
        <w:spacing w:before="8" w:line="249" w:lineRule="auto"/>
        <w:ind w:left="1584" w:right="1582" w:firstLine="340"/>
        <w:jc w:val="both"/>
      </w:pPr>
      <w:r>
        <w:t>Ezen új anyagok megjelenéséhez és megszilárdításához ezért olyan jogi keretre van szükség, amely tükrözi a piac fejlődését, és amely lehetővé teszi az egyensúly megteremtését az audiovizuális ökoszisztémában, amelyben valamennyi szereplőre hasonló szabályok vonatkoznak. Mivel az „influenszerek” tevékenységüket az audiovizuális és reklámpiac más szereplőivel versenyben végzik, és bizonyos jellemzőik hasonlóak az audiovizuális médiaszolgáltatókhoz, helyénvaló az audiovizuális médiaszolgáltatókra vonatkozó kötelezettségekhez hasonló kötelezettségeket alkalmazni rájuk.</w:t>
      </w:r>
    </w:p>
    <w:p w14:paraId="676AA567" w14:textId="77777777" w:rsidR="00681F68" w:rsidRDefault="00555CF7">
      <w:pPr>
        <w:pStyle w:val="BodyText"/>
        <w:spacing w:before="6" w:line="249" w:lineRule="auto"/>
        <w:ind w:left="1584" w:right="1582" w:firstLine="340"/>
        <w:jc w:val="both"/>
      </w:pPr>
      <w:r>
        <w:t>Az „influenszerek” és a többi audiovizuális médiaszolgáltató közötti egyenlőség megteremtése terén elért eredmények megfelelnek annak szükségességének, hogy biztosítsák az audiovizuális kommunikáció alapelveinek tiszteletben tartását, és biztosítsák a lakosság és különösen a kiskorúak védelmét a káros audiovizuális tartalmakkal és kereskedelmi közleményekkel szemben.</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Ami az „influenszereket” illeti, a 2018. november 14-i (EU) 2018/1808 európai parlamenti és tanácsi irányelv nem vonta őket kifejezetten a hatálya alá, így a tagállamok szabadon szabályozhatják őket. E tekintetben csak a (3) preambulumbekezdésben utal arra, hogy „a csatornák vagy a szolgáltató szerkesztői felelősségének körébe tartozó bármely egyéb audiovizuális szolgáltatások önmagukban is audiovizuális médiaszolgáltatásokat testesíthetnek meg, még akkor is, ha a szerkesztői felelősség körébe nem tartozó videómegosztó platform keretében kínálják őket”. Az Audiovizuális Médiaszolgáltatásokat Szabályozó Hatóságok Európai Csoportja (ERGA) a maga részéről több jelentést is kiadott arról, hogy a „vloggereket” fel lehet-e ruházni audiovizuális médiaszolgáltatói státusszal, és hogy a tevékenységük szabályozása során milyen kritériumokat kell követni.</w:t>
      </w:r>
    </w:p>
    <w:p w14:paraId="5E754024" w14:textId="77777777" w:rsidR="00681F68" w:rsidRDefault="00555CF7">
      <w:pPr>
        <w:pStyle w:val="BodyText"/>
        <w:spacing w:before="10" w:line="249" w:lineRule="auto"/>
        <w:ind w:left="1584" w:right="1581" w:firstLine="340"/>
        <w:jc w:val="both"/>
      </w:pPr>
      <w:r>
        <w:t>E tekintetben egyes tagállamok nemzeti jogrendszerükben létrehozták az „influenszerekre” vonatkozó saját jogi szabályozásukat. Bár a különböző rendeletek a legtöbb esetben eltértek attól az elvtől, hogy az „influenszereket” audiovizuális médiaszolgáltatónak tekintsék, nem homogének a mérlegelésükre vonatkozó sajátos kritériumok és a rájuk vonatkozó kötelezettségek tekintetében.</w:t>
      </w:r>
    </w:p>
    <w:p w14:paraId="532A8C07" w14:textId="495612EE" w:rsidR="00681F68" w:rsidRDefault="00555CF7">
      <w:pPr>
        <w:pStyle w:val="BodyText"/>
        <w:spacing w:before="5" w:line="249" w:lineRule="auto"/>
        <w:ind w:left="1584" w:right="1581" w:firstLine="340"/>
        <w:jc w:val="both"/>
      </w:pPr>
      <w:r>
        <w:t>Tekintettel arra, hogy e témák egyre nagyobb befolyást gyakorolnak a spanyol, az európai és általában a nemzetközi audiovizuális és reklámpiacon, a spanyol jogalkotó úgy döntött, hogy a 2018. november 14-i (EU) 2018/1808 európai parlamenti és tanácsi irányelv kötelező rendelkezésein túl szabályozza az „influenszerek” szerepét a 2022. július 7-i 13/2022. sz. törvény 94. cikkében, amelyekre „a videomegosztóplatform-szolgáltatásokat igénybe vevő különleges jelentőséggel bíró felhasználókként” hivatkozik.</w:t>
      </w:r>
    </w:p>
    <w:p w14:paraId="2C5D1541" w14:textId="7C4343A4" w:rsidR="00681F68" w:rsidRDefault="00555CF7" w:rsidP="00287046">
      <w:pPr>
        <w:pStyle w:val="BodyText"/>
        <w:spacing w:before="6" w:line="249" w:lineRule="auto"/>
        <w:ind w:left="1584" w:right="1582"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A spanyol modell a különleges jelentőséggel bíró felhasználóknak az audiovizuális médiaszolgáltatók egy sajátos típusaként való asszimilációján alapul. A szolgáltatás jellegéből, valamint új és innovatív jellemzőiből adódóan azonban nem teljesen azonosulnak a többi audiovizuális médiaszolgáltatóval, és nem is vonatkozik rájuk valamennyi kötelezettségük.</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Így a 2022. július 7-i 13/2022. sz. törvény 94. cikkének (1) bekezdése a különleges jelentőséggel bíró felhasználókat audiovizuális médiaszolgáltatóknak tekinti a fent említett törvény 86. cikkében foglalt, a videomegosztóplatform-szolgáltatás nyújtására vonatkozó általános elvek tiszteletben tartása, valamint a kiskorúak védelmére és az audiovizuális kereskedelmi közleményekre vonatkozó, a fent említett törvény 99. cikkének (1) bekezdésében és 99. cikkének (4) bekezdésében, illetve VI. címe IV. fejezetének 1. és 2. szakaszában foglalt kötelezettségek tiszteletben tartása szempontjából.</w:t>
      </w:r>
    </w:p>
    <w:p w14:paraId="6BFCC0BF" w14:textId="77777777" w:rsidR="00681F68" w:rsidRDefault="00555CF7">
      <w:pPr>
        <w:pStyle w:val="BodyText"/>
        <w:spacing w:before="6" w:line="249" w:lineRule="auto"/>
        <w:ind w:left="1584" w:right="1582" w:firstLine="340"/>
        <w:jc w:val="both"/>
      </w:pPr>
      <w:r>
        <w:t>A 2022. július 7-i 13/2022. sz. törvény 94. cikkének (3) bekezdése a maga részéről tartalmazza a 94. cikk (1) bekezdésében foglalt kötelezettségek teljesítése alól kizárt alanyok jegyzékét, míg a 94. cikk (4) bekezdése a fent említett törvény 39. cikkében előírt, különleges jelentőséggel bíró felhasználókat kötelezi az állami nyilvántartásba való bejegyzésre.</w:t>
      </w:r>
    </w:p>
    <w:p w14:paraId="5A7B607D" w14:textId="77777777" w:rsidR="00681F68" w:rsidRDefault="00555CF7">
      <w:pPr>
        <w:pStyle w:val="BodyText"/>
        <w:spacing w:before="3" w:line="249" w:lineRule="auto"/>
        <w:ind w:left="1584" w:right="1582" w:firstLine="340"/>
        <w:jc w:val="both"/>
      </w:pPr>
      <w:r>
        <w:t>Másrészt a 2022. július 7-i 13/2022. sz. törvény 94. cikkének (2) bekezdése követelményeket állapít meg arra az esetre vonatkozóan, amikor a videomegosztóplatform-szolgáltatások felhasználói „különleges jelentőséggel bíró felhasználónak” minősülnek. E követelmények meghatározása az ERGA-jelentésekben foglalt ajánlások figyelembevételével történt, mivel azok megfelelnek azoknak a kritériumoknak, amelyek lehetővé teszik az audiovizuális médiaszolgáltatókhoz való hasonlóságukat.</w:t>
      </w:r>
    </w:p>
    <w:p w14:paraId="4A31740D" w14:textId="77777777" w:rsidR="00681F68" w:rsidRDefault="00555CF7">
      <w:pPr>
        <w:pStyle w:val="BodyText"/>
        <w:spacing w:before="5" w:line="249" w:lineRule="auto"/>
        <w:ind w:left="1584" w:right="1582" w:firstLine="340"/>
        <w:jc w:val="both"/>
      </w:pPr>
      <w:r>
        <w:t>E követelmények közül az a) pont arra a „jelentős jövedelemre” utal, amelyet a videomegosztóplatform-szolgáltatásokban végzett tevékenységeik során különleges jelentőséggel bíró felhasználóknak meg kell szerezniük. A c) pont a maga részéről azzal a célközönséggel foglalkozik, amelyet a különleges jelentőséggel bíró felhasználóknak az e szolgáltatásokban végzett tevékenységeik révén el kell érniük.</w:t>
      </w:r>
    </w:p>
    <w:p w14:paraId="663DEBFD" w14:textId="77777777" w:rsidR="00681F68" w:rsidRDefault="00555CF7">
      <w:pPr>
        <w:pStyle w:val="BodyText"/>
        <w:spacing w:before="4" w:line="249" w:lineRule="auto"/>
        <w:ind w:left="1584" w:right="1582" w:firstLine="340"/>
        <w:jc w:val="both"/>
      </w:pPr>
      <w:r>
        <w:t>A 94. cikk (2) bekezdésének a) és c) pontjában meghatározott követelmények nem szerepelnek ebben a rendelkezésben. E tekintetben a 2022. július 7-i 13/2022. sz. törvény hetedik végleges rendelkezése a 94. cikk kidolgozásához és alkalmazásához szükséges rendelkezésekre hivatkozik. Valójában e cikk hatálybalépése a 2022. július 7-i 13/2022. sz. törvény kilencedik záró rendelkezésének negyedik bekezdésével összhangban az e követelményeket meghatározó rendeletek elfogadásától függ.</w:t>
      </w:r>
    </w:p>
    <w:p w14:paraId="70933DDF" w14:textId="77777777" w:rsidR="00681F68" w:rsidRDefault="00555CF7">
      <w:pPr>
        <w:pStyle w:val="BodyText"/>
        <w:spacing w:before="5" w:line="249" w:lineRule="auto"/>
        <w:ind w:left="1584" w:right="1582" w:firstLine="340"/>
        <w:jc w:val="both"/>
      </w:pPr>
      <w:r>
        <w:t>Így a 2022. július 7-i 13/2022. sz. törvény hetedik végleges rendelkezésével összhangban e királyi rendelet a 94. cikk (2) bekezdésének a) és c) pontjában megállapított követelmények meghatározása céljából készült, amelyek elfogadása a 94. cikk hatálybalépésével jár.</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Ami a felépítést illeti, a királyi rendelet két fejezetbe sorolt négy cikkből, egy kiegészítő rendelkezésből és három záró rendelkezésből áll.</w:t>
      </w:r>
    </w:p>
    <w:p w14:paraId="52DF792C" w14:textId="77777777" w:rsidR="00681F68" w:rsidRDefault="00555CF7">
      <w:pPr>
        <w:pStyle w:val="BodyText"/>
        <w:spacing w:before="2" w:line="249" w:lineRule="auto"/>
        <w:ind w:left="1584" w:right="1582" w:firstLine="340"/>
        <w:jc w:val="both"/>
      </w:pPr>
      <w:r>
        <w:t>Az I. fejezet tartalmazza a királyi rendelet tárgyát és hatályát. A II. fejezet meghatározza a 2022. július 7-i 13/2022. sz. törvény 94. cikke (2) bekezdésének a) és c) pontjában meghatározott jelentős jövedelemre és meghallgatásra vonatkozó követelményeket.</w:t>
      </w:r>
    </w:p>
    <w:p w14:paraId="62387CA0" w14:textId="77777777" w:rsidR="00681F68" w:rsidRDefault="00555CF7">
      <w:pPr>
        <w:pStyle w:val="BodyText"/>
        <w:spacing w:before="2" w:line="249" w:lineRule="auto"/>
        <w:ind w:left="1584" w:right="1581" w:firstLine="340"/>
        <w:jc w:val="both"/>
      </w:pPr>
      <w:r>
        <w:t>Ezenkívül a 2015. október 1-jei 39/2015. sz. törvény 129. cikkének rendelkezéseivel összhangban e királyi rendelet a szükségesség, az eredményesség, az arányosság, a jogbiztonság, az átláthatóság és a hatékonyság elvével összhangban készült.</w:t>
      </w:r>
    </w:p>
    <w:p w14:paraId="2C11F8B1" w14:textId="3DCF6A67" w:rsidR="00681F68" w:rsidRDefault="00555CF7">
      <w:pPr>
        <w:pStyle w:val="BodyText"/>
        <w:spacing w:before="3" w:line="249" w:lineRule="auto"/>
        <w:ind w:left="1584" w:right="1580" w:firstLine="340"/>
        <w:jc w:val="both"/>
      </w:pPr>
      <w:r>
        <w:t>Először is, a szükségesség és az eredményesség elvének tisztelteben tartása megvalósul, amennyiben a szabályozási kezdeményezés az audiovizuális piac egyensúlyának biztosítására törekszik azáltal, hogy meghatározza a videomegosztó szolgáltatások felhasználóinak egy meghatározott kategóriáját egy olyan platformon keresztül, amelynek meg kell felelnie a lakosság és különösen a kiskorúak védelmére vonatkozó alapvető kötelezettségeknek a 2022. július 7-i 13/2022. sz. törvény értelmében káros vagy tiltott audiovizuális tartalmakkal és audiovizuális kereskedelmi közleményekkel szemben. Hasonlóképpen, a királyi rendelet útján történő szabályozás a megfelelő eszköz a követelmények átfogó és következetes szabályozásának biztosítására.</w:t>
      </w:r>
    </w:p>
    <w:p w14:paraId="2E46D771" w14:textId="77777777" w:rsidR="00681F68" w:rsidRPr="00860F25"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Ami a jogbiztonság elvét illeti, a királyi rendelet összhangban van a nemzeti jogrend többi részével, mivel a 2022. július 7-i 13/2022. sz. törvénnyel együtt stabil, kiszámítható, integrált és egyértelmű szabályozási keretet alkot a különleges jelentőséggel bíró felhasználónak való minősítés, valamint az e feltételből eredő, a rendelet hatálya alá tartozó kötelezettségek tekintetében.</w:t>
      </w:r>
    </w:p>
    <w:p w14:paraId="67E0400C" w14:textId="77777777" w:rsidR="00681F68" w:rsidRDefault="00555CF7">
      <w:pPr>
        <w:pStyle w:val="BodyText"/>
        <w:spacing w:before="4" w:line="249" w:lineRule="auto"/>
        <w:ind w:left="1584" w:right="1581" w:firstLine="340"/>
        <w:jc w:val="both"/>
      </w:pPr>
      <w:r>
        <w:t>Ami az arányosság elvét illeti, a rendeletek tartalmazzák az elfogadását igazoló célok eléréséhez szükséges szabályokat, mivel szigorúan azon követelmények szabályozására korlátozódnak, amelyek jogi követelményként szabályozási fejlesztést igényelnek. Az említett követelmények meghatározásánál mindenkor az internetes szakportálok által közzétett, a Spanyolországban az audiovizuális és reklámpiacon tevékenykedő legjelentősebb „influenszerek” bevételeiről és közönségszámáról szóló, más audiovizuális médiaszolgáltatók adataival összehasonlítható adatok részletes tanulmányozására támaszkodtak.</w:t>
      </w:r>
    </w:p>
    <w:p w14:paraId="2105ED2B" w14:textId="77777777" w:rsidR="00681F68" w:rsidRDefault="00555CF7">
      <w:pPr>
        <w:pStyle w:val="BodyText"/>
        <w:spacing w:before="7" w:line="249" w:lineRule="auto"/>
        <w:ind w:left="1584" w:right="1581" w:firstLine="340"/>
        <w:jc w:val="both"/>
      </w:pPr>
      <w:r>
        <w:t>Ami az átláthatóság elvét illeti, az indokolás világosan és pontosan meghatározza e szabályozási kezdeményezés célkitűzéseit és annak indokolását. A Miniszterek Tanácsa 2023. december 5-i határozatával egyetértett abban, hogy a kormányról szóló, 1997. november 27-i 50/1997. sz. törvény 27. cikke (1) bekezdése b) pontjában előírt rendkívüli körülmény miatt sürgősen foglalkozni kell a királyi rendelettervezettel. Következésképpen az 1997. november 27-i 50/1997. sz. törvény 26. cikkének (2) bekezdésében és 27. cikke (2) bekezdése b) pontjában előírt nyilvános konzultációs eljárást figyelmen kívül hagyták.</w:t>
      </w:r>
    </w:p>
    <w:p w14:paraId="7B68582B" w14:textId="77777777" w:rsidR="00681F68" w:rsidRDefault="00555CF7">
      <w:pPr>
        <w:pStyle w:val="BodyText"/>
        <w:spacing w:before="7" w:line="249" w:lineRule="auto"/>
        <w:ind w:left="1584" w:right="1581" w:firstLine="340"/>
        <w:jc w:val="both"/>
      </w:pPr>
      <w:r>
        <w:t>Az 1997. november 27-i 50/1997. sz. törvény 26. cikke (6) bekezdésének és 27. cikke (2) bekezdése b) pontjának megfelelően nyilvános meghallgatásra került sor az audiovizuális ágazat és az autonóm közösségek számára annak érdekében, hogy megismerhessék a rendelettervezet tartalmát, előadhassák észrevételeiket, és végső soron javíthassák a jelen királyi rendeletet. Emellett a Nemzeti Piac- és Versenybizottság, a Spanyol Adatvédelmi Ügynökség, valamint a Fogyasztó- és Felhasználói Tanács jelentését is beszerezték.</w:t>
      </w:r>
    </w:p>
    <w:p w14:paraId="6D0B69BF" w14:textId="77777777" w:rsidR="00681F68" w:rsidRDefault="00555CF7">
      <w:pPr>
        <w:pStyle w:val="BodyText"/>
        <w:spacing w:before="5" w:line="249" w:lineRule="auto"/>
        <w:ind w:left="1584" w:right="1582" w:firstLine="340"/>
        <w:jc w:val="both"/>
      </w:pPr>
      <w:r>
        <w:t>Bár a sürgős feldolgozás a nyilvános konzultációs eljárás mellőzését jelentette, a rendelet célközönsége számára lehetővé tették, hogy közmeghallgatási eljárás keretében részt vegyenek annak megszövegezésében.</w:t>
      </w:r>
    </w:p>
    <w:p w14:paraId="69E4B59A" w14:textId="77777777" w:rsidR="00681F68" w:rsidRDefault="00555CF7">
      <w:pPr>
        <w:pStyle w:val="BodyText"/>
        <w:spacing w:before="3" w:line="249" w:lineRule="auto"/>
        <w:ind w:left="1584" w:right="1581" w:firstLine="340"/>
        <w:jc w:val="both"/>
      </w:pPr>
      <w:r>
        <w:t>Ami a hatékonyság elvét illeti, ez a királyi rendelet nem ró új adminisztratív terhet a rendelet által érintettekre. Bár a jelentős bevételre és meghallgatásra vonatkozó követelményeknek való megfelelés maga után vonja a 2022. július 7-i 13/2022. sz. törvény 39. cikke (2) bekezdése g) pontjában előírt, az állami nyilvántartásba történő bejegyzésre vonatkozó kötelezettséget, ezt az adminisztratív terhet már figyelembe vették és megfelelően értékelték a 2023. december 19-i 1138/2023. sz. királyi rendeletnek megfelelő szabályozási hatásvizsgálati jelentésben, amely az audiovizuális médiaszolgáltatók, a videómegosztóplatform-szolgáltatók és az audiovizuális médiaszolgáltatások aggregálási szolgáltatásait nyújtók állami nyilvántartását, valamint a tevékenység megkezdésének előzetes bejelentésére vonatkozó eljárást szabályozza.</w:t>
      </w:r>
    </w:p>
    <w:p w14:paraId="0617C079" w14:textId="06211280" w:rsidR="00681F68" w:rsidRDefault="00555CF7">
      <w:pPr>
        <w:pStyle w:val="BodyText"/>
        <w:spacing w:before="9" w:line="249" w:lineRule="auto"/>
        <w:ind w:left="1584" w:right="1581" w:firstLine="340"/>
        <w:jc w:val="both"/>
      </w:pPr>
      <w:r>
        <w:t>A királyi rendelet kidolgozási eljárása során az 1997. november 27-i 50/1997. sz. törvény 26. cikkének (5) bekezdése, 26. cikkének (7) bekezdése és 26. cikkének (9) bekezdése értelmében jelentést kértek a rendelet által érintettnek tekintett minisztériumoktól, valamint az Államtanács kötelező véleményét is beszerezték.</w:t>
      </w:r>
    </w:p>
    <w:p w14:paraId="583F882B" w14:textId="77777777" w:rsidR="00681F68" w:rsidRDefault="00555CF7">
      <w:pPr>
        <w:pStyle w:val="BodyText"/>
        <w:spacing w:before="4" w:line="249" w:lineRule="auto"/>
        <w:ind w:left="1584" w:right="1582" w:firstLine="340"/>
        <w:jc w:val="both"/>
      </w:pPr>
      <w:r>
        <w:t>Végezetül, e királyi rendelet a műszaki szabályokkal és az információs társadalom szolgáltatásaira vonatkozó szabályokkal kapcsolatos információszolgáltatási eljárás megállapításáról szóló, 2015. szeptember 9-i (EU) 2015/1535 európai parlamenti és tanácsi irányelvben, valamint a műszaki szabványok és szabályok terén történő információszolgáltatási eljárás és az információs társadalom szolgáltatásaira vonatkozó szabályokat szabályozó, 1999. július 31-i 1337/1999. sz. királyi rendeletben előírt eljárás tárgyát képezte.</w:t>
      </w:r>
    </w:p>
    <w:p w14:paraId="7B359D60" w14:textId="17210F4A" w:rsidR="00681F68" w:rsidRPr="00860F25"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Ezt a királyi rendeletet az államnak távközlési ügyekben kizárólagos jogkört biztosító 149. cikk (1) bekezdése 21. pontjának rendelkezései, valamint a 2022. július 7-i 13/2022. sz. törvény által a szabályozás kidolgozására vonatkozóan adott felhatalmazás alapján bocsátják ki.</w:t>
      </w:r>
    </w:p>
    <w:p w14:paraId="5F0B5EC9" w14:textId="77777777" w:rsidR="00681F68" w:rsidRDefault="00555CF7">
      <w:pPr>
        <w:pStyle w:val="BodyText"/>
        <w:spacing w:before="3" w:line="249" w:lineRule="auto"/>
        <w:ind w:left="1584" w:right="1582" w:firstLine="340"/>
        <w:jc w:val="both"/>
      </w:pPr>
      <w:r>
        <w:t xml:space="preserve">Ennek értelmében, a digitális átállásügyi és közszolgálati miniszter javaslatára, az Államtanács egyetértésével, valamint a Miniszterek Tanácsának 2024. április 30-i ülésén </w:t>
      </w:r>
      <w:r>
        <w:lastRenderedPageBreak/>
        <w:t>folytatott tanácskozást követően,</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A KÖVETKEZŐKET RENDELEM EL:</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I. FEJEZET</w:t>
      </w:r>
    </w:p>
    <w:p w14:paraId="4DE54A57" w14:textId="77777777" w:rsidR="00681F68" w:rsidRDefault="00555CF7" w:rsidP="00287046">
      <w:pPr>
        <w:pStyle w:val="Heading1"/>
        <w:spacing w:before="180"/>
        <w:ind w:left="1560" w:right="1612"/>
        <w:jc w:val="center"/>
      </w:pPr>
      <w:r>
        <w:t>Általános rendelkezések</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1. cikk</w:t>
      </w:r>
      <w:r>
        <w:rPr>
          <w:sz w:val="20"/>
        </w:rPr>
        <w:tab/>
      </w:r>
      <w:r>
        <w:rPr>
          <w:i/>
          <w:sz w:val="20"/>
        </w:rPr>
        <w:t>Cél.</w:t>
      </w:r>
    </w:p>
    <w:p w14:paraId="05EFD4BC" w14:textId="77777777" w:rsidR="00681F68" w:rsidRDefault="00555CF7">
      <w:pPr>
        <w:pStyle w:val="BodyText"/>
        <w:spacing w:before="180" w:line="249" w:lineRule="auto"/>
        <w:ind w:left="1584" w:right="1582" w:firstLine="340"/>
        <w:jc w:val="both"/>
      </w:pPr>
      <w:r>
        <w:t>E királyi rendelet célja, hogy pontosítsa az audiovizuális kommunikációról szóló, 2022. július 7-i 13/2022. sz. általános törvény 94. cikke (2) bekezdésének a) és c) pontjában meghatározott követelményeket a videomegosztóplatform-szolgáltatásokat használó, különleges jelentőséggel bíró felhasználónak való minősítés tekintetében.</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2. cikk</w:t>
      </w:r>
      <w:r>
        <w:rPr>
          <w:sz w:val="20"/>
        </w:rPr>
        <w:tab/>
      </w:r>
      <w:r>
        <w:rPr>
          <w:i/>
          <w:sz w:val="20"/>
        </w:rPr>
        <w:t>Alkalmazási terület.</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E királyi rendeletet a videomegosztóplatform-szolgáltatásokat igénybe vevő azon természetes vagy jogi személynek minősülő felhasználókra kell alkalmazni, akik egyidejűleg megfelelnek a 2022. július 7-i 13/2022. sz. törvény 94. cikkének (2) bekezdésében foglalt követelményeknek. Az említett rendelkezés a) és c) pontjában meghatározott követelményeket a II. fejezet 3., illetve 4. cikke határozza meg.</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A 2022. július 7-i 13/2022. sz. törvény 94. cikke (3) bekezdésének rendelkezéseivel összhangban ez a királyi rendelet nem alkalmazandó az említett rendelkezésben felsorolt alanyokra az abban foglalt feltételek szerint.</w:t>
      </w:r>
    </w:p>
    <w:p w14:paraId="46B26FBE" w14:textId="77777777" w:rsidR="00681F68" w:rsidRDefault="00555CF7">
      <w:pPr>
        <w:pStyle w:val="BodyText"/>
        <w:spacing w:before="2" w:line="249" w:lineRule="auto"/>
        <w:ind w:left="1584" w:right="1581" w:firstLine="340"/>
        <w:jc w:val="both"/>
      </w:pPr>
      <w:r>
        <w:t>Hasonlóképpen nem alkalmazandó az audiovizuális médiaszolgáltatók állami nyilvántartásának első szakaszában bejegyzett audiovizuális médiaszolgáltatókra, a videómegosztóplatform-szolgáltatókra és az audiovizuális médiaszolgáltatások összesítő szolgáltatásait nyújtó szolgáltatókra; a 2023. december 19-i 1138/2023 királyi rendelet 9. cikke (1) bekezdésének rendelkezéseivel összhangban a videomegosztóplatform-szolgáltatásokon keresztül a nyilvánosság számára hozzáférhetővé tett műsorok, audiovizuális tartalmak és/vagy azok kivonatai vonatkozásában.</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II. FEJEZET</w:t>
      </w:r>
    </w:p>
    <w:p w14:paraId="6F6F1A52" w14:textId="77777777" w:rsidR="00681F68" w:rsidRDefault="00555CF7" w:rsidP="00287046">
      <w:pPr>
        <w:pStyle w:val="Heading1"/>
        <w:spacing w:before="180"/>
        <w:ind w:left="1560" w:right="1471"/>
        <w:jc w:val="center"/>
      </w:pPr>
      <w:r>
        <w:t>Jelentős bevételre és közönségre vonatkozó követelmények</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3. cikk</w:t>
      </w:r>
      <w:r>
        <w:rPr>
          <w:sz w:val="20"/>
        </w:rPr>
        <w:tab/>
      </w:r>
      <w:r>
        <w:rPr>
          <w:i/>
          <w:sz w:val="20"/>
        </w:rPr>
        <w:t>Jelentős bevétel.</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A 2022. július 7-i 13/2022. sz. törvény 94. cikke (2) bekezdésének a) pontja értelmében jelentős bevételnek minősül az előző naptári évben elért, legalább 300 000 EUR összegű bruttó jövedelem, amely kizárólagosan a felhasználók által az általuk igénybe vett valamennyi videómegosztóplatform-szolgáltatásban végzett tevékenységből származik.</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A jelentős jövedelem meghatározásához figyelembe vehető bevételek a következők:</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A videomegosztóplatform-szolgáltatások felhasználóinak felelősségi körébe tartozó audiovizuális tartalmakat kísérő vagy abba beillesztett audiovizuális kereskedelmi közlemények marketingjéből, értékesítéséből vagy szervezéséből származó pénzbeli és természetbeni díjazásból származó bevételek.</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A felhasználók által a videomegosztóplatform-szolgáltatóktól az e szolgáltatásokban végzett tevékenységük eredményeként kapott bevételek.</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A felhasználói tevékenységből származó bevételek a közönségük által a videomegosztóplatform-szolgáltatásokért fizetett díjakból és kifizetésekből.</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Közigazgatási szervek és szervezetek által a felhasználók videómegosztóplatform-szolgáltatásokon végzett tevékenységéhez kapcsolódóan nyújtott pénzügyi juttatásokból származó bevételek, függetlenül azok megnevezésétől és jellegétől.</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lastRenderedPageBreak/>
        <w:t>Az e bekezdés előző pontjaiban nem említett videomegosztóplatform-szolgáltatások felhasználóinak tevékenységéből származó egyéb bevételek.</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4. cikk  </w:t>
      </w:r>
      <w:r>
        <w:rPr>
          <w:i/>
          <w:sz w:val="20"/>
        </w:rPr>
        <w:t>Jelentős közönség.</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A 2022. július 7-i 13/2022. sz. törvény 94. cikke (2) bekezdésének c) pontja értelmében a felhasználó felelősségi körébe tartozó szolgáltatás akkor tekinthető a nagyközönség jelentős részének szánt szolgáltatásnak, és akkor gyakorolhat egyértelmű hatást a nagyközönségre, ha halmozottan megfelel az alábbi követelményeknek:</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A szolgáltatás az előző naptári év valamely pontján egyetlen videomegosztóplatform-szolgáltatáson legalább 1 000 000 követőt ér el; vagy összesen legalább 2 000 000 követőt, figyelembe véve az összes olyan videómegosztóplatform-szolgáltatást, amelyen a felhasználó a tevékenységét végzi.</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Az összes olyan videómegosztóplatform-szolgáltatásban, amelyen a felhasználó tevékenységét végzi, az előző naptári évben legalább 24 videót tett közzé vagy osztott meg, függetlenül azok időtartamától.</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Egyetlen kiegészítő rendelkezés. </w:t>
      </w:r>
      <w:r>
        <w:rPr>
          <w:i/>
          <w:sz w:val="20"/>
        </w:rPr>
        <w:t>A különös jelentőséggel bíró felhasználók nyilvántartásba vétele az audiovizuális médiaszolgáltatók, a videómegosztóplatform-szolgáltatók és az audiovizuális médiaszolgáltatások összesítését nyújtó szolgáltatók állami nyilvántartásában.</w:t>
      </w:r>
    </w:p>
    <w:p w14:paraId="4A179741" w14:textId="77777777" w:rsidR="00681F68" w:rsidRDefault="00555CF7">
      <w:pPr>
        <w:pStyle w:val="BodyText"/>
        <w:spacing w:before="174" w:line="249" w:lineRule="auto"/>
        <w:ind w:left="1584" w:right="1581" w:firstLine="340"/>
        <w:jc w:val="both"/>
      </w:pPr>
      <w:r>
        <w:t>A 2023. december 19-i 1138/2023. sz. királyi rendelet első átmeneti rendelkezésének (2) bekezdésével összhangban a videómegosztóplatform-szolgáltatások 3. és 4. cikkben meghatározott követelményeknek megfelelő felhasználóinak e királyi rendelet hatálybalépésétől számítva két hónap áll rendelkezésükre, hogy benyújtsák a 2022. július 7-i 13/2022. sz. törvény 39. cikkében előírt állami nyilvántartásba való bejegyzés iránti kérelmet.</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Első záró rendelkezés.</w:t>
      </w:r>
      <w:r>
        <w:rPr>
          <w:sz w:val="20"/>
        </w:rPr>
        <w:tab/>
      </w:r>
      <w:r>
        <w:rPr>
          <w:i/>
          <w:sz w:val="20"/>
        </w:rPr>
        <w:t>Hatáskörök megadása</w:t>
      </w:r>
    </w:p>
    <w:p w14:paraId="16E6279A" w14:textId="66273675" w:rsidR="00681F68" w:rsidRDefault="00555CF7">
      <w:pPr>
        <w:pStyle w:val="BodyText"/>
        <w:spacing w:before="181" w:line="249" w:lineRule="auto"/>
        <w:ind w:left="1584" w:right="1582" w:firstLine="340"/>
        <w:jc w:val="both"/>
      </w:pPr>
      <w:r>
        <w:t>Ezt a királyi rendeletet az államnak a távközlés területén a spanyol alkotmány 149. cikke (1) bekezdésének 21. pontja által ráruházott kizárólagos hatásköre alapján bocsátják ki.</w:t>
      </w:r>
    </w:p>
    <w:p w14:paraId="168A0FB9" w14:textId="77777777" w:rsidR="00681F68" w:rsidRDefault="00555CF7">
      <w:pPr>
        <w:tabs>
          <w:tab w:val="left" w:pos="4107"/>
        </w:tabs>
        <w:spacing w:before="229"/>
        <w:ind w:left="1584"/>
        <w:rPr>
          <w:i/>
          <w:sz w:val="20"/>
        </w:rPr>
      </w:pPr>
      <w:r>
        <w:rPr>
          <w:sz w:val="20"/>
        </w:rPr>
        <w:t>Második záró rendelkezés.</w:t>
      </w:r>
      <w:r>
        <w:rPr>
          <w:sz w:val="20"/>
        </w:rPr>
        <w:tab/>
      </w:r>
      <w:r>
        <w:rPr>
          <w:i/>
          <w:sz w:val="20"/>
        </w:rPr>
        <w:t>Fejlesztési hatáskörök.</w:t>
      </w:r>
    </w:p>
    <w:p w14:paraId="4989D857" w14:textId="77777777" w:rsidR="00681F68" w:rsidRDefault="00555CF7">
      <w:pPr>
        <w:pStyle w:val="BodyText"/>
        <w:spacing w:before="180" w:line="249" w:lineRule="auto"/>
        <w:ind w:left="1584" w:right="1582" w:firstLine="340"/>
        <w:jc w:val="both"/>
      </w:pPr>
      <w:r>
        <w:t>A jelen királyi rendelet kidolgozására, alkalmazására és végrehajtására vonatkozó rendelkezéseket a Digitális Átállásügyi és Közszolgálati Minisztériumért felelős személy jogosult kiadni.</w:t>
      </w:r>
    </w:p>
    <w:p w14:paraId="6E421BBE" w14:textId="77777777" w:rsidR="00681F68" w:rsidRPr="00860F25"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Harmadik záró rendelkezés.</w:t>
      </w:r>
      <w:r>
        <w:rPr>
          <w:sz w:val="20"/>
        </w:rPr>
        <w:tab/>
      </w:r>
      <w:r>
        <w:rPr>
          <w:i/>
          <w:sz w:val="20"/>
        </w:rPr>
        <w:t>Hatálybalépés.</w:t>
      </w:r>
    </w:p>
    <w:p w14:paraId="488E54FB" w14:textId="77777777" w:rsidR="00681F68" w:rsidRDefault="00555CF7">
      <w:pPr>
        <w:pStyle w:val="BodyText"/>
        <w:spacing w:before="180"/>
        <w:ind w:left="1924"/>
      </w:pPr>
      <w:r>
        <w:t>Ez a királyi rendelet a „Hivatalos Állami Közlönyben” való közzétételét követő napon lép hatályba.</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t>Madridban, 2024. április 30-án.</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A digitális átállásügyi és közszolgálati miniszter,</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59FA3500" w14:textId="77777777" w:rsidR="00287046" w:rsidRPr="00555CF7" w:rsidRDefault="00287046">
      <w:pPr>
        <w:pStyle w:val="BodyText"/>
      </w:pPr>
    </w:p>
    <w:p w14:paraId="51BDD44D" w14:textId="77777777" w:rsidR="00681F68" w:rsidRDefault="00681F68">
      <w:pPr>
        <w:pStyle w:val="BodyText"/>
      </w:pPr>
    </w:p>
    <w:p w14:paraId="7A866902" w14:textId="7432C0D4" w:rsidR="00681F68" w:rsidRDefault="00DB50F9" w:rsidP="00287046">
      <w:pPr>
        <w:shd w:val="clear" w:color="auto" w:fill="1F497D" w:themeFill="text2"/>
        <w:tabs>
          <w:tab w:val="left" w:pos="3358"/>
          <w:tab w:val="left" w:pos="8011"/>
        </w:tabs>
        <w:spacing w:before="69"/>
        <w:ind w:left="315"/>
      </w:pPr>
      <w:hyperlink r:id="rId11">
        <w:r w:rsidR="00555CF7">
          <w:rPr>
            <w:b/>
            <w:color w:val="FFFFFF"/>
            <w:sz w:val="16"/>
          </w:rPr>
          <w:t>https://www.boe.es</w:t>
        </w:r>
      </w:hyperlink>
      <w:r w:rsidR="00555CF7">
        <w:rPr>
          <w:b/>
          <w:color w:val="FFFFFF"/>
          <w:sz w:val="16"/>
        </w:rPr>
        <w:tab/>
      </w:r>
      <w:r w:rsidR="00555CF7">
        <w:rPr>
          <w:b/>
          <w:color w:val="FFFFFF"/>
          <w:sz w:val="20"/>
        </w:rPr>
        <w:t xml:space="preserve">HIVATALOS ÁLLAMI KÖZLÖNY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4468" w14:textId="77777777" w:rsidR="00DB50F9" w:rsidRDefault="00DB50F9">
      <w:r>
        <w:separator/>
      </w:r>
    </w:p>
  </w:endnote>
  <w:endnote w:type="continuationSeparator" w:id="0">
    <w:p w14:paraId="41B50232" w14:textId="77777777" w:rsidR="00DB50F9" w:rsidRDefault="00DB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A következő címen ellenőrizhető: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A következő címen ellenőrizhető: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A következő címen ellenőrizhető: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A következő címen ellenőrizhető: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1B2E" w14:textId="77777777" w:rsidR="00DB50F9" w:rsidRDefault="00DB50F9">
      <w:r>
        <w:separator/>
      </w:r>
    </w:p>
  </w:footnote>
  <w:footnote w:type="continuationSeparator" w:id="0">
    <w:p w14:paraId="22046B02" w14:textId="77777777" w:rsidR="00DB50F9" w:rsidRDefault="00DB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HIVATALOS ÁLLAMI KÖZLÖNY</w:t>
    </w:r>
  </w:p>
  <w:p w14:paraId="227450CB" w14:textId="77777777" w:rsidR="00287046" w:rsidRPr="00555CF7" w:rsidRDefault="00287046" w:rsidP="00287046">
    <w:pPr>
      <w:tabs>
        <w:tab w:val="center" w:pos="5670"/>
        <w:tab w:val="center" w:pos="9356"/>
      </w:tabs>
      <w:spacing w:before="13"/>
      <w:ind w:left="142"/>
      <w:rPr>
        <w:b/>
        <w:color w:val="004479"/>
        <w:sz w:val="20"/>
        <w:lang w:val="en-US"/>
      </w:rPr>
    </w:pPr>
  </w:p>
  <w:p w14:paraId="7E9F59A6" w14:textId="77777777" w:rsidR="00287046" w:rsidRPr="00555CF7" w:rsidRDefault="00287046" w:rsidP="00287046">
    <w:pPr>
      <w:tabs>
        <w:tab w:val="center" w:pos="5670"/>
        <w:tab w:val="center" w:pos="9356"/>
      </w:tabs>
      <w:spacing w:before="13"/>
      <w:ind w:left="142"/>
      <w:rPr>
        <w:b/>
        <w:color w:val="004479"/>
        <w:sz w:val="20"/>
        <w:lang w:val="en-US"/>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106. sz.</w:t>
    </w:r>
    <w:r>
      <w:rPr>
        <w:b/>
        <w:sz w:val="20"/>
      </w:rPr>
      <w:tab/>
    </w:r>
    <w:r>
      <w:rPr>
        <w:b/>
        <w:color w:val="004479"/>
        <w:sz w:val="20"/>
      </w:rPr>
      <w:t>2024. május 1., szerda</w:t>
    </w:r>
    <w:r>
      <w:rPr>
        <w:b/>
        <w:color w:val="004479"/>
        <w:sz w:val="20"/>
      </w:rPr>
      <w:tab/>
      <w:t xml:space="preserve">I. szakasz  Oldal: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1761121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15171412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HIVATALOS ÁLLAMI KÖZLÖNY</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106. sz.</w:t>
    </w:r>
    <w:r>
      <w:rPr>
        <w:b/>
        <w:sz w:val="20"/>
      </w:rPr>
      <w:tab/>
    </w:r>
    <w:r>
      <w:rPr>
        <w:b/>
        <w:color w:val="004479"/>
        <w:sz w:val="20"/>
      </w:rPr>
      <w:t>2024. május 1., szerda</w:t>
    </w:r>
    <w:r>
      <w:rPr>
        <w:b/>
        <w:color w:val="004479"/>
        <w:sz w:val="20"/>
      </w:rPr>
      <w:tab/>
      <w:t xml:space="preserve">I. szakasz  Oldal: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60266936"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18824298"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HIVATALOS ÁLLAMI KÖZLÖNY</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106. sz.</w:t>
    </w:r>
    <w:r>
      <w:rPr>
        <w:b/>
        <w:sz w:val="20"/>
      </w:rPr>
      <w:tab/>
    </w:r>
    <w:r>
      <w:rPr>
        <w:b/>
        <w:color w:val="004479"/>
        <w:sz w:val="20"/>
      </w:rPr>
      <w:t>2024. május 1., szerda</w:t>
    </w:r>
    <w:r>
      <w:rPr>
        <w:b/>
        <w:color w:val="004479"/>
        <w:sz w:val="20"/>
      </w:rPr>
      <w:tab/>
      <w:t xml:space="preserve">I. szakasz  Oldal: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HIVATALOS ÁLLAMI KÖZLÖNY</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106. sz.</w:t>
    </w:r>
    <w:r>
      <w:rPr>
        <w:b/>
        <w:sz w:val="20"/>
      </w:rPr>
      <w:tab/>
    </w:r>
    <w:r>
      <w:rPr>
        <w:b/>
        <w:color w:val="004479"/>
        <w:sz w:val="20"/>
      </w:rPr>
      <w:t>2024. május 1., szerda</w:t>
    </w:r>
    <w:r>
      <w:rPr>
        <w:b/>
        <w:color w:val="004479"/>
        <w:sz w:val="20"/>
      </w:rPr>
      <w:tab/>
      <w:t xml:space="preserve">I. szakasz  Oldal: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87046"/>
    <w:rsid w:val="00555CF7"/>
    <w:rsid w:val="00681F68"/>
    <w:rsid w:val="00860F25"/>
    <w:rsid w:val="00DB50F9"/>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hu-HU"/>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2474</Words>
  <Characters>18460</Characters>
  <Application>Microsoft Office Word</Application>
  <DocSecurity>0</DocSecurity>
  <Lines>348</Lines>
  <Paragraphs>85</Paragraphs>
  <ScaleCrop>false</ScaleCrop>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2</cp:revision>
  <dcterms:created xsi:type="dcterms:W3CDTF">2024-06-11T06:46:00Z</dcterms:created>
  <dcterms:modified xsi:type="dcterms:W3CDTF">2024-06-11T06:46:00Z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