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SPLOŠNE DOLOČBE</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MINISTRSTVO ZA DIGITALNO PREOBRAZBO IN JAVNE SLUŽBE</w:t>
      </w:r>
    </w:p>
    <w:p w14:paraId="33746D61" w14:textId="5A66A1B2" w:rsidR="00681F68" w:rsidRDefault="00555CF7">
      <w:pPr>
        <w:spacing w:before="296" w:line="240" w:lineRule="exact"/>
        <w:ind w:left="2604" w:right="1582" w:hanging="1021"/>
        <w:jc w:val="both"/>
        <w:rPr>
          <w:i/>
          <w:sz w:val="20"/>
        </w:rPr>
      </w:pPr>
      <w:r>
        <w:rPr>
          <w:b/>
          <w:sz w:val="24"/>
        </w:rPr>
        <w:t xml:space="preserve">8716  </w:t>
      </w:r>
      <w:r>
        <w:rPr>
          <w:b/>
          <w:sz w:val="24"/>
        </w:rPr>
        <w:tab/>
      </w:r>
      <w:r>
        <w:rPr>
          <w:i/>
          <w:sz w:val="20"/>
        </w:rPr>
        <w:t>Kraljeva uredba št. 444/2024 z dne 30. aprila 2024 o zahtevah, ki morajo biti izpolnjene, da se oseba šteje za uporabnika posebnega pomena, ki uporablja storitve platform za izmenjavo videov, za namene izvajanja člena 94 Splošnega zakona št. 13/2022 z dne 7. julija 2022 o avdiovizualnih komunikacijah.</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Sprejetje Splošnega zakona št. 13/2022 z dne 7. julija 2022 o splošnih avdiovizualnih komunikacijah pomeni prenos Direktive (EU) 2018/1808 Evropskega parlamenta in Sveta z dne 14. novembra 2018 o spremembi Direktive 2010/13/EU o usklajevanju nekaterih zakonov in drugih predpisov držav članic o opravljanju avdiovizualnih medijskih storitev.</w:t>
      </w:r>
    </w:p>
    <w:p w14:paraId="1FB0E45D" w14:textId="77777777" w:rsidR="00681F68" w:rsidRDefault="00555CF7">
      <w:pPr>
        <w:pStyle w:val="BodyText"/>
        <w:spacing w:before="5" w:line="249" w:lineRule="auto"/>
        <w:ind w:left="1584" w:right="1581" w:firstLine="340"/>
        <w:jc w:val="both"/>
      </w:pPr>
      <w:r>
        <w:t>Na podlagi navedene direktive je bil sprejet Zakon št. 13/2022 z dne 7. julija 2022 z namenom sprejetja posodobljenega pravnega okvira v skladu z razvojem avdiovizualnega trga v zadnjih letih, ki omogoča ravnovesje med dostopom do vsebin, varstvom uporabnikov in konkurenco med različnimi ponudniki na trgu, z vključitvijo vseh akterjev, ki tekmujejo za isto občinstvo, pod enakimi konkurenčnimi pogoji.</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Doseganje tega cilja je privedlo do vključitve ponudnikov storitev platforme za izmenjavo videov v področje uporabe Direktive glede na vse večji pomen, ki so ga pridobili pri produkciji in razširjanju avdiovizualnih vsebin in avdiovizualnih komercialnih sporočil. S temi storitvami so povezane medijske storitve ali storitve družbenih omrežij, katerih osnovna funkcionalnost omogoča izmenjavo videov, saj so postali pomembno sredstvo za izmenjavo informacij, zabavo in izobraževanje, zlasti z dostopom do programov in videov, ki jih ustvarijo uporabniki.</w:t>
      </w:r>
    </w:p>
    <w:p w14:paraId="24AF3B82" w14:textId="77777777" w:rsidR="00681F68" w:rsidRDefault="00555CF7">
      <w:pPr>
        <w:pStyle w:val="BodyText"/>
        <w:spacing w:before="6" w:line="249" w:lineRule="auto"/>
        <w:ind w:left="1584" w:right="1582" w:firstLine="340"/>
        <w:jc w:val="both"/>
      </w:pPr>
      <w:r>
        <w:t>V zvezi s tem Zakon št. 13/2022 z dne 7. julija 2022 v skladu z določbami Direktive (EU) 2018/1808 Evropskega parlamenta in Sveta z dne 14. novembra 2018 v členu 2(13) in (17) vključuje opredelitev storitve platforme za izmenjavo videov oziroma njenega ponudnika. Prav tako je naslov V namenjen ureditvi ponudnikov storitve platforme za izmenjavo videov z določitvijo sklopa obveznosti, katerih namen je zagotoviti zaščito njihovih uporabnikov na splošno, zlasti mladoletnikov, pred nekaterimi avdiovizualnimi vsebinami in avdiovizualnimi komercialnimi sporočili.</w:t>
      </w:r>
    </w:p>
    <w:p w14:paraId="718AAE7C" w14:textId="1B46A6C6" w:rsidR="00681F68" w:rsidRDefault="00555CF7">
      <w:pPr>
        <w:pStyle w:val="BodyText"/>
        <w:spacing w:before="8" w:line="249" w:lineRule="auto"/>
        <w:ind w:left="1584" w:right="1581" w:firstLine="340"/>
        <w:jc w:val="both"/>
      </w:pPr>
      <w:r>
        <w:t>Zlasti člen 88 Zakona št. 13/2022 z dne 7. julija 2022 ponudnikom storitev platforme za izmenjavo videov nalaga obveznost, da sprejmejo ukrepe za zaščito mladoletnikov pred programi, videi, ki jih ustvarijo uporabniki, in avdiovizualnimi komercialnimi sporočili, ki bi lahko škodovali njihovemu telesnemu, duševnemu ali moralnemu razvoju. Po drugi strani pa morajo ti ponudniki sprejeti ukrepe za zaščito širše javnosti pred programi, videi, ki jih ustvarijo uporabniki, in avdiovizualnimi komercialnimi sporočili, ki niso v skladu s členom 4(2) in (4) Zakona št. 13/2022 z dne 7. julija 2022. Zgoraj navedeni zaščitni ukrepi so določeni v členih 89, 90 in 91.</w:t>
      </w:r>
    </w:p>
    <w:p w14:paraId="793499DA" w14:textId="77777777" w:rsidR="00681F68" w:rsidRDefault="00555CF7">
      <w:pPr>
        <w:pStyle w:val="BodyText"/>
        <w:spacing w:before="1" w:line="249" w:lineRule="auto"/>
        <w:ind w:left="1584" w:right="1581" w:firstLine="340"/>
        <w:jc w:val="both"/>
      </w:pPr>
      <w:r>
        <w:t>Zgoraj navedene obveznosti veljajo tudi za medijske storitve ali storitve družbenih omrežij, v kolikor jih je mogoče uvrstiti v opredelitev „storitev platforme za izmenjavo videov“. Ena od glavnih avdiovizualnih vsebin, ki jih ponujajo te storitve, so videi, ki jih ustvarijo uporabniki in jih na platformo naložijo navedeni uporabniki ali kdorkoli drug. Znotraj skupine uporabnikov teh storitev izstopa določena kategorija, ki se običajno imenuje: „vlogerji“, „vplivneži“ ali „ustvarjalci vsebin“, ki so še posebej pomembni na avdiovizualnem trgu z vidika naložb v potrošnjo in oglaševanje, zlasti med mlajšimi.</w:t>
      </w:r>
    </w:p>
    <w:p w14:paraId="71FF3A40" w14:textId="77777777" w:rsidR="00681F68" w:rsidRDefault="00555CF7">
      <w:pPr>
        <w:pStyle w:val="BodyText"/>
        <w:spacing w:before="8" w:line="249" w:lineRule="auto"/>
        <w:ind w:left="1584" w:right="1582" w:firstLine="340"/>
        <w:jc w:val="both"/>
      </w:pPr>
      <w:r>
        <w:lastRenderedPageBreak/>
        <w:t>Pojav in konsolidacija teh novih akterjev zato zahtevata pravni okvir, ki odraža napredek trga in omogoča doseganje ravnovesja v avdiovizualnem ekosistemu, v katerem za vse njegove zastopnike veljajo podobna pravila. Ker „vplivneži“ svojo dejavnost opravljajo v konkurenci z drugimi akterji na avdiovizualnem in oglaševalskem trgu ter imajo nekatere značilnosti, podobne ponudnikom avdiovizualnih medijskih storitev, je zato zanje primerno uporabiti sklop obveznosti, ki so primerljive z obveznostmi teh ponudnikov avdiovizualnih medijskih storitev.</w:t>
      </w:r>
    </w:p>
    <w:p w14:paraId="676AA567" w14:textId="77777777" w:rsidR="00681F68" w:rsidRDefault="00555CF7">
      <w:pPr>
        <w:pStyle w:val="BodyText"/>
        <w:spacing w:before="6" w:line="249" w:lineRule="auto"/>
        <w:ind w:left="1584" w:right="1582" w:firstLine="340"/>
        <w:jc w:val="both"/>
      </w:pPr>
      <w:r>
        <w:t>Razvoj v smeri izenačevanja „vplivnežev“ in drugih ponudnikov avdiovizualnih medijskih storitev je odgovor na potrebo po zagotavljanju njihovega spoštovanja osnovnih načel avdiovizualne komunikacije in po zagotovitvi zaščite splošne javnosti, zlasti mladoletnikov, pred škodljivimi avdiovizualnimi vsebinami in komercialnimi sporočili.</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Kar zadeva „vplivneže“, jih Direktiva (EU) 2018/1808 Evropskega parlamenta in Sveta z dne 14. novembra 2018 ni izrecno vključila v njeno področje uporabe, zato lahko države članice to področje prosto urejajo. V zvezi s tem se v svoji uvodni izjavi 3 sklicuje le na to: „da, kanali ali katere koli druge avdiovizualne storitve pod uredniško odgovornostjo ponudnika lahko same po sebi pomenijo avdiovizualne medijske storitve, tudi če se ponujajo na platformi za izmenjavo videov, za katero je značilna odsotnost uredniške odgovornosti.“. Skupina evropskih regulatorjev za avdiovizualne medijske storitve (ERGA) je izdala več poročil o možnosti, da se „vlogerjem“ dodeli status ponudnika avdiovizualnih medijskih storitev, in merila, ki jih je treba upoštevati pri regulaciji njihove dejavnosti.</w:t>
      </w:r>
    </w:p>
    <w:p w14:paraId="5E754024" w14:textId="77777777" w:rsidR="00681F68" w:rsidRDefault="00555CF7">
      <w:pPr>
        <w:pStyle w:val="BodyText"/>
        <w:spacing w:before="10" w:line="249" w:lineRule="auto"/>
        <w:ind w:left="1584" w:right="1581" w:firstLine="340"/>
        <w:jc w:val="both"/>
      </w:pPr>
      <w:r>
        <w:t>V zvezi s tem so nekatere države članice vzpostavile svojo pravno ureditev o „vplivnežih“ v svojem nacionalnem pravnem sistemu. Čeprav so različne uredbe v večini primerov odstopale od načela, da se „vplivneži“ obravnavajo kot vrsta ponudnika avdiovizualnih medijskih storitev, niso enotne glede posebnih meril za njihovo obravnavo in obveznosti, ki veljajo zanje.</w:t>
      </w:r>
    </w:p>
    <w:p w14:paraId="532A8C07" w14:textId="495612EE" w:rsidR="00681F68" w:rsidRDefault="00555CF7">
      <w:pPr>
        <w:pStyle w:val="BodyText"/>
        <w:spacing w:before="5" w:line="249" w:lineRule="auto"/>
        <w:ind w:left="1584" w:right="1581" w:firstLine="340"/>
        <w:jc w:val="both"/>
      </w:pPr>
      <w:r>
        <w:t>Španski zakonodajalec se zaveda vse večjega vpliva teh subjektov na španskem, evropskem in mednarodnem avdiovizualnem in oglaševalskem trgu na splošno, zato se je odločil, da bo poleg upoštevanja obveznih določb Direktive (EU) 2018/1808 Evropskega parlamenta in Sveta z dne 14. novembra 2018 uredil tudi vlogo „vplivnežev“ iz člena 94 Zakona št. 13/2022 z dne 7. julija 2022, ki jih navaja kot „uporabnike posebnega pomena, ki uporabljajo storitve platform za izmenjavo videov“.</w:t>
      </w:r>
    </w:p>
    <w:p w14:paraId="2C5D1541" w14:textId="7C4343A4" w:rsidR="00681F68" w:rsidRDefault="00555CF7" w:rsidP="00287046">
      <w:pPr>
        <w:pStyle w:val="BodyText"/>
        <w:spacing w:before="6" w:line="249" w:lineRule="auto"/>
        <w:ind w:left="1584" w:right="1582"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Španski model temelji na izenačitvi uporabnikov posebnega pomena kot posebne vrste ponudnikov avdiovizualnih medijskih storitev. Vendar glede na naravo storitve ter njene nove in inovativne značilnosti niso v celoti izenačene z drugimi ponudniki avdiovizualnih medijskih storitev, prav tako pa zanje ne veljajo vse njihove obveznosti.</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Tako člen 94(1) Zakona št. 13/2022 z dne 7. julija 2022 določa, da se uporabniki posebnega pomena štejejo za ponudnike avdiovizualnih medijskih storitev za namene spoštovanja splošnih načel zagotavljanja storitve platforme za izmenjavo videov iz člena 86 navedenega zakona in izpolnjevanja obveznosti glede varstva mladoletnikov in avdiovizualnih komercialnih sporočil iz člena 99(1) in (4) ter oddelkov 1 in 2 poglavja IV naslova VI navedenega zakona.</w:t>
      </w:r>
    </w:p>
    <w:p w14:paraId="6BFCC0BF" w14:textId="77777777" w:rsidR="00681F68" w:rsidRDefault="00555CF7">
      <w:pPr>
        <w:pStyle w:val="BodyText"/>
        <w:spacing w:before="6" w:line="249" w:lineRule="auto"/>
        <w:ind w:left="1584" w:right="1582" w:firstLine="340"/>
        <w:jc w:val="both"/>
      </w:pPr>
      <w:r>
        <w:t>Člen 94(3) Zakona št. 13/2022 z dne 7. julija 2022 vsebuje seznam subjektov, ki so izključeni iz izpolnjevanja obveznosti iz člena 94(1), medtem ko člen 94(4) določa obveznost uporabnikov posebnega pomena, da se vpišejo v državni register iz člena 39 navedenega zakona.</w:t>
      </w:r>
    </w:p>
    <w:p w14:paraId="5A7B607D" w14:textId="77777777" w:rsidR="00681F68" w:rsidRDefault="00555CF7">
      <w:pPr>
        <w:pStyle w:val="BodyText"/>
        <w:spacing w:before="3" w:line="249" w:lineRule="auto"/>
        <w:ind w:left="1584" w:right="1582" w:firstLine="340"/>
        <w:jc w:val="both"/>
      </w:pPr>
      <w:r>
        <w:t>Po drugi strani člen 94(2) Zakona št. 13/2022 z dne 7. julija 2022 določa zahteve v zvezi s tem, kdaj se uporabniki storitev platforme za izmenjavo videov štejejo za „uporabnike posebnega pomena“. Te zahteve so bile določene ob upoštevanju priporočil iz poročil skupine ERGA, saj izpolnjujejo merila, na podlagi katerih jih je mogoče izenačiti s ponudniki avdiovizualnih medijskih storitev.</w:t>
      </w:r>
    </w:p>
    <w:p w14:paraId="4A31740D" w14:textId="77777777" w:rsidR="00681F68" w:rsidRDefault="00555CF7">
      <w:pPr>
        <w:pStyle w:val="BodyText"/>
        <w:spacing w:before="5" w:line="249" w:lineRule="auto"/>
        <w:ind w:left="1584" w:right="1582" w:firstLine="340"/>
        <w:jc w:val="both"/>
      </w:pPr>
      <w:r>
        <w:t>Od teh zahtev se točka (a) nanaša na „znaten dohodek“, ki ga morajo uporabniki posebnega pomena zaslužiti z opravljanjem svojih dejavnosti v okviru storitev platforme za izmenjavo videov. Točka (c) se nanaša na javnost, ki jo uporabniki posebnega pomena naslavljajo s svojimi dejavnostmi v okviru teh storitev.</w:t>
      </w:r>
    </w:p>
    <w:p w14:paraId="663DEBFD" w14:textId="77777777" w:rsidR="00681F68" w:rsidRDefault="00555CF7">
      <w:pPr>
        <w:pStyle w:val="BodyText"/>
        <w:spacing w:before="4" w:line="249" w:lineRule="auto"/>
        <w:ind w:left="1584" w:right="1582" w:firstLine="340"/>
        <w:jc w:val="both"/>
      </w:pPr>
      <w:r>
        <w:t>Zahteve iz člena 94(2)(a) in (c) v tej določbi niso določene. V zvezi s tem se sedma končna določba Zakona št. 13/2022 z dne 7. julija 2022 sklicuje na določbe, potrebne za razvoj in uporabo člena 94. Dejansko je začetek veljavnosti tega člena je odvisen od sprejetja predpisov, ki določajo te zahteve, v skladu s četrtim odstavkom devete zadnje določbe Zakona št. 13/2022 z dne 7. julija 2022.</w:t>
      </w:r>
    </w:p>
    <w:p w14:paraId="70933DDF" w14:textId="77777777" w:rsidR="00681F68" w:rsidRDefault="00555CF7">
      <w:pPr>
        <w:pStyle w:val="BodyText"/>
        <w:spacing w:before="5" w:line="249" w:lineRule="auto"/>
        <w:ind w:left="1584" w:right="1582" w:firstLine="340"/>
        <w:jc w:val="both"/>
      </w:pPr>
      <w:r>
        <w:t>Tako je v skladu s sedmo končno določbo Zakona št. 13/2022 z dne 7. julija 2022 ta kraljeva uredba pripravljen z namenom določitve zahtev iz člena 94(2)(a) in (c), katerega sprejetje pomeni začetek veljavnosti člena 94.</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Kar zadeva strukturo, ta kraljeva uredba vsebuje štiri člene, ki so sestavljeni iz dveh poglavij, dodatne določbe in treh končnih določb.</w:t>
      </w:r>
    </w:p>
    <w:p w14:paraId="52DF792C" w14:textId="77777777" w:rsidR="00681F68" w:rsidRDefault="00555CF7">
      <w:pPr>
        <w:pStyle w:val="BodyText"/>
        <w:spacing w:before="2" w:line="249" w:lineRule="auto"/>
        <w:ind w:left="1584" w:right="1582" w:firstLine="340"/>
        <w:jc w:val="both"/>
      </w:pPr>
      <w:r>
        <w:t>Poglavje I vsebuje vsebino in področje uporabe Kraljeve uredbe. Poglavje II določa bistvene zahteve glede dohodka in občinstva iz člena 94(2)(a) oziroma (c) Zakona št. 13/2022 z dne 7. julija 2022.</w:t>
      </w:r>
    </w:p>
    <w:p w14:paraId="62387CA0" w14:textId="77777777" w:rsidR="00681F68" w:rsidRDefault="00555CF7">
      <w:pPr>
        <w:pStyle w:val="BodyText"/>
        <w:spacing w:before="2" w:line="249" w:lineRule="auto"/>
        <w:ind w:left="1584" w:right="1581" w:firstLine="340"/>
        <w:jc w:val="both"/>
      </w:pPr>
      <w:r>
        <w:t>Poleg tega je bil v skladu z določbami člena 129 Zakona št. 39/2015 z dne 1. oktobra 2015 ta kraljeva uredba sestavljena v skladu z načeli nujnosti, izvedljivosti, sorazmernosti, pravne varnosti, preglednosti in učinkovitosti.</w:t>
      </w:r>
    </w:p>
    <w:p w14:paraId="2C11F8B1" w14:textId="3DCF6A67" w:rsidR="00681F68" w:rsidRDefault="00555CF7">
      <w:pPr>
        <w:pStyle w:val="BodyText"/>
        <w:spacing w:before="3" w:line="249" w:lineRule="auto"/>
        <w:ind w:left="1584" w:right="1580" w:firstLine="340"/>
        <w:jc w:val="both"/>
      </w:pPr>
      <w:r>
        <w:t>Prvič, načeli nujnosti in izvedljivosti sta upoštevani, ker je namen regulativne pobude zagotoviti ravnovesje avdiovizualnega trga z opredelitvijo posebne kategorije uporabnikov storitev platforme za izmenjavo videov, ki mora izpolnjevati bistvene obveznosti za zaščito splošne javnosti, zlasti mladoletnikov, pred avdiovizualnimi vsebinami in avdiovizualnimi komercialnimi sporočili, ki so škodljivi ali prepovedani z Zakonom št. 13/2022 z dne 7. julija 2022. Prav tako je sistemska ureditev s kraljevo uredbo ustrezen instrument za zagotovitev celovite in dosledne ureditve zahtev.</w:t>
      </w:r>
    </w:p>
    <w:p w14:paraId="2E46D771" w14:textId="77777777" w:rsidR="00681F68" w:rsidRPr="00D62138"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Kar zadeva načelo pravne varnosti, je kraljeva uredba skladna s preostalim nacionalnim pravnim redom, saj skupaj z Zakonom št. 13/2022 z dne 7. julija 2022 predstavlja stabilen, predvidljiv, integriran in jasen regulativni okvir zahtev, ki morajo biti izpolnjene, da se nekdo šteje za uporabnika posebnega pomena, in obveznosti, ki izhajajo iz tega pogoja, za katere velja področje uporabe te uredbe.</w:t>
      </w:r>
    </w:p>
    <w:p w14:paraId="67E0400C" w14:textId="77777777" w:rsidR="00681F68" w:rsidRDefault="00555CF7">
      <w:pPr>
        <w:pStyle w:val="BodyText"/>
        <w:spacing w:before="4" w:line="249" w:lineRule="auto"/>
        <w:ind w:left="1584" w:right="1581" w:firstLine="340"/>
        <w:jc w:val="both"/>
      </w:pPr>
      <w:r>
        <w:t xml:space="preserve">Kar zadeva načelo sorazmernosti, uredba vsebuje pravila, potrebna za uresničitev ciljev, ki upravičujejo njeno sprejetje, saj je strogo omejena na ureditev zahtev, ki kot pravno zahtevo zahtevajo regulativni razvoj. Uresničitev teh zahtev ves čas temelji na natančni študiji podatkov, ki so jih objavili specializirani spletni portali o prihodkih in številkah občinstva najvidnejših „vplivnežev“ s sedežem v Španiji, tako na avdiovizualnem kot na </w:t>
      </w:r>
      <w:r>
        <w:lastRenderedPageBreak/>
        <w:t>oglaševalskem trgu, ki jih je mogoče primerjati s tistimi drugih ponudnikov avdiovizualnih medijskih storitev.</w:t>
      </w:r>
    </w:p>
    <w:p w14:paraId="2105ED2B" w14:textId="77777777" w:rsidR="00681F68" w:rsidRDefault="00555CF7">
      <w:pPr>
        <w:pStyle w:val="BodyText"/>
        <w:spacing w:before="7" w:line="249" w:lineRule="auto"/>
        <w:ind w:left="1584" w:right="1581" w:firstLine="340"/>
        <w:jc w:val="both"/>
      </w:pPr>
      <w:r>
        <w:t>Kar zadeva načelo preglednosti, so v obrazložitvenem memorandumu jasno in natančno opredeljeni cilji te regulativne pobude in njena utemeljitev. S sklepom Sveta ministrov z dne 5. decembra 2023 je bilo sklenjeno, da je treba ta osnutek kraljeve uredbe nujno obravnavati zaradi izredne razmere, kot je določeno v členu 27(1)(b) Zakona št. 50/1997 z dne 27. novembra 1997 o vladi. Zato postopek javnega posvetovanja iz člena 26(2) in člena 27(2)(b) Zakona št. 50/1997 z dne 27. novembra 1997 o vladi ni bil upoštevan.</w:t>
      </w:r>
    </w:p>
    <w:p w14:paraId="7B68582B" w14:textId="77777777" w:rsidR="00681F68" w:rsidRDefault="00555CF7">
      <w:pPr>
        <w:pStyle w:val="BodyText"/>
        <w:spacing w:before="7" w:line="249" w:lineRule="auto"/>
        <w:ind w:left="1584" w:right="1581" w:firstLine="340"/>
        <w:jc w:val="both"/>
      </w:pPr>
      <w:r>
        <w:t>Za avdiovizualni sektor in avtonomne skupnosti je bila v skladu z določbami člena 26(6) in člena 27(2)(b) Zakona št. 50/1997 z dne 27. novembra 1997 opravljena javna obravnava, da bi se lahko seznanili z vsebino osnutka uredbe, podali svoje mnenje in nenazadnje izboljšali to kraljevo uredbo. Poleg tega je bilo pridobljeno poročilo nacionalne komisije za trge in konkurenco, španske agencije za varstvo podatkov ter sveta potrošnikov in uporabnikov.</w:t>
      </w:r>
    </w:p>
    <w:p w14:paraId="6D0B69BF" w14:textId="77777777" w:rsidR="00681F68" w:rsidRDefault="00555CF7">
      <w:pPr>
        <w:pStyle w:val="BodyText"/>
        <w:spacing w:before="5" w:line="249" w:lineRule="auto"/>
        <w:ind w:left="1584" w:right="1582" w:firstLine="340"/>
        <w:jc w:val="both"/>
      </w:pPr>
      <w:r>
        <w:t>Čeprav je zaradi nujne obravnave opuščen postopek javnega posvetovanja, so lahko zadevne osebe te uredbe sodelovale pri njeni pripravi prek postopka javne obravnave.</w:t>
      </w:r>
    </w:p>
    <w:p w14:paraId="69E4B59A" w14:textId="77777777" w:rsidR="00681F68" w:rsidRDefault="00555CF7">
      <w:pPr>
        <w:pStyle w:val="BodyText"/>
        <w:spacing w:before="3" w:line="249" w:lineRule="auto"/>
        <w:ind w:left="1584" w:right="1581" w:firstLine="340"/>
        <w:jc w:val="both"/>
      </w:pPr>
      <w:r>
        <w:t>Kar zadeva načelo učinkovitosti, ta kraljeva uredba ne ustvarja nobenega novega upravnega bremena za tiste, ki jih zadeva. Čeprav skladnost z zahtevami glede znatnega prihodka in občinstva vključuje obveznost vpisa v državni register iz člena 39(2)(g) Zakona št. 13/2022 z dne 7. julija 2022, je bilo to upravno breme že predvideno in ustrezno ocenjeno v poročilu o analizi učinka predpisov v skladu s Kraljevo uredbo št. 1138/2023 z dne 19. decembra 2023 o ureditvi državnega registra ponudnikov avdiovizualnih medijskih storitev, ponudnikov storitev platform za izmenjavo videov in ponudnikov storitev združevanja avdiovizualnih medijskih storitev ter postopka predhodnega obveščanja o začetku dejavnosti.</w:t>
      </w:r>
    </w:p>
    <w:p w14:paraId="0617C079" w14:textId="06211280" w:rsidR="00681F68" w:rsidRDefault="00555CF7">
      <w:pPr>
        <w:pStyle w:val="BodyText"/>
        <w:spacing w:before="9" w:line="249" w:lineRule="auto"/>
        <w:ind w:left="1584" w:right="1581" w:firstLine="340"/>
        <w:jc w:val="both"/>
      </w:pPr>
      <w:r>
        <w:t>Med postopkom priprave te kraljeve uredbe sta bila v skladu z določbami členov 26(5), 26(7) in 26(9) Zakona št. 50/1997 z dne 27. novembra 1997 zahtevana poročilo ministrskih oddelkov, na katerih pristojnosti naj bi vplivala uredba, ter obvezno mnenje državnega sveta.</w:t>
      </w:r>
    </w:p>
    <w:p w14:paraId="583F882B" w14:textId="77777777" w:rsidR="00681F68" w:rsidRDefault="00555CF7">
      <w:pPr>
        <w:pStyle w:val="BodyText"/>
        <w:spacing w:before="4" w:line="249" w:lineRule="auto"/>
        <w:ind w:left="1584" w:right="1582" w:firstLine="340"/>
        <w:jc w:val="both"/>
      </w:pPr>
      <w:r>
        <w:t>Za to kraljevo uredbo se uporablja postopek iz Direktive (EU) 2015/1535 Evropskega parlamenta in Sveta z dne 9. septembra 2015 o določitvi postopka za zbiranje informacij na področju tehničnih predpisov in pravil za storitve informacijske družbe ter določbe Kraljeve uredbe št. 1337/1999 z dne 31. julija 1999 o zagotavljanju informacij na področju tehničnih standardov in tehničnih predpisov o storitvah informacijske družbe.</w:t>
      </w:r>
    </w:p>
    <w:p w14:paraId="7B359D60" w14:textId="17210F4A" w:rsidR="00681F68" w:rsidRPr="00D62138"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Ta kraljeva uredba je izdana v skladu z določbami člena 149(1)(21), ki daje državi izključno pristojnost v telekomunikacijskih zadevah, in pooblastilom za regulativno pripravo Zakona št. 13/2022 z dne 7. julija 2022.</w:t>
      </w:r>
    </w:p>
    <w:p w14:paraId="5F0B5EC9" w14:textId="77777777" w:rsidR="00681F68" w:rsidRDefault="00555CF7">
      <w:pPr>
        <w:pStyle w:val="BodyText"/>
        <w:spacing w:before="3" w:line="249" w:lineRule="auto"/>
        <w:ind w:left="1584" w:right="1582" w:firstLine="340"/>
        <w:jc w:val="both"/>
      </w:pPr>
      <w:r>
        <w:t>Na podlagi tega in na predlog ministra za digitalno preobrazbo in javne službe, v soglasju z državnim svetom in po posvetovanju s svetom ministrov na seji dne 30. aprila 2024 –</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SE ODREJA NASLEDNJE:</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POGLAVJE I</w:t>
      </w:r>
    </w:p>
    <w:p w14:paraId="4DE54A57" w14:textId="77777777" w:rsidR="00681F68" w:rsidRDefault="00555CF7" w:rsidP="00287046">
      <w:pPr>
        <w:pStyle w:val="Heading1"/>
        <w:spacing w:before="180"/>
        <w:ind w:left="1560" w:right="1612"/>
        <w:jc w:val="center"/>
      </w:pPr>
      <w:r>
        <w:t>Splošne določbe</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Člen 1.</w:t>
      </w:r>
      <w:r>
        <w:rPr>
          <w:sz w:val="20"/>
        </w:rPr>
        <w:tab/>
      </w:r>
      <w:r>
        <w:rPr>
          <w:i/>
          <w:sz w:val="20"/>
        </w:rPr>
        <w:t>Namen.</w:t>
      </w:r>
    </w:p>
    <w:p w14:paraId="05EFD4BC" w14:textId="77777777" w:rsidR="00681F68" w:rsidRDefault="00555CF7">
      <w:pPr>
        <w:pStyle w:val="BodyText"/>
        <w:spacing w:before="180" w:line="249" w:lineRule="auto"/>
        <w:ind w:left="1584" w:right="1582" w:firstLine="340"/>
        <w:jc w:val="both"/>
      </w:pPr>
      <w:r>
        <w:t>Namen te kraljeve uredbe je določiti zahteve iz točk (a) in (c) člena 94(2) Splošnega zakona št. 13/2022 z dne 7. julija 2022 o avdiovizualnih komunikacijah kar zadeva uporabnika posebnega pomena, ki uporablja storitve platform za izmenjavo videov.</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Člen 2.</w:t>
      </w:r>
      <w:r>
        <w:rPr>
          <w:sz w:val="20"/>
        </w:rPr>
        <w:tab/>
      </w:r>
      <w:r>
        <w:rPr>
          <w:i/>
          <w:sz w:val="20"/>
        </w:rPr>
        <w:t>Področje uporabe.</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 xml:space="preserve">Ta kraljeva uredba se uporablja uporabnike, tako za fizične kot za pravne osebe, storitev platforme za izmenjavo videov, ki hkrati izpolnjujejo zahteve iz člena 94(2) Zakona </w:t>
      </w:r>
      <w:r>
        <w:rPr>
          <w:sz w:val="20"/>
        </w:rPr>
        <w:lastRenderedPageBreak/>
        <w:t>št. 13/2022 z dne 7. julija 2022. Zahteve iz točk (a) in (c) navedene določbe so določene v členih 3 oziroma 4 poglavja II.</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V skladu z določbami člena 94(3) Zakona št. 13/2022 z dne 7. julija 2022 se ta kraljeva uredba ne uporablja za področja, navedena v navedeni določbi pod pogoji, določenimi v tej določbi.</w:t>
      </w:r>
    </w:p>
    <w:p w14:paraId="46B26FBE" w14:textId="77777777" w:rsidR="00681F68" w:rsidRDefault="00555CF7">
      <w:pPr>
        <w:pStyle w:val="BodyText"/>
        <w:spacing w:before="2" w:line="249" w:lineRule="auto"/>
        <w:ind w:left="1584" w:right="1581" w:firstLine="340"/>
        <w:jc w:val="both"/>
      </w:pPr>
      <w:r>
        <w:t>Prav tako se ne uporablja za ponudnike avdiovizualnih medijskih storitev, ki so registrirani v prvem oddelku državnega registra ponudnikov avdiovizualnih medijskih storitev, ponudnikov storitev platform za izmenjavo videov in ponudnikov storitev združevanja avdiovizualnih medijskih storitev; v skladu z določbami člena 9(1) Kraljeve uredbe 1138/2023 z dne 19. decembra 2023v zvezi s programi, avdiovizualnimi vsebinami in/ali njihovimi izvlečki, ki so na voljo javnosti v storitvah platforme za izmenjavo videov.</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POGLAVJE II</w:t>
      </w:r>
    </w:p>
    <w:p w14:paraId="6F6F1A52" w14:textId="77777777" w:rsidR="00681F68" w:rsidRDefault="00555CF7" w:rsidP="00287046">
      <w:pPr>
        <w:pStyle w:val="Heading1"/>
        <w:spacing w:before="180"/>
        <w:ind w:left="1560" w:right="1471"/>
        <w:jc w:val="center"/>
      </w:pPr>
      <w:r>
        <w:t>Zahteve glede znatnega prihodka in občinstva</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Člen 3.</w:t>
      </w:r>
      <w:r>
        <w:rPr>
          <w:sz w:val="20"/>
        </w:rPr>
        <w:tab/>
      </w:r>
      <w:r>
        <w:rPr>
          <w:i/>
          <w:sz w:val="20"/>
        </w:rPr>
        <w:t>Znatni prihodki.</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V skladu z določbami člena 94(2)(a) Zakona št. 13/2022 z dne 7. julija 2022 se znaten prihodek šteje za bruto dohodek, zaslužen v prejšnjem koledarskem letu, ki je enak ali večji od 300 000 EUR in ki izhaja izključno iz dejavnosti uporabnikov v vseh storitvah platform za izmenjavo videov, ki jih uporabljajo.</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Prihodki, ki so upravičeni za opredelitev znatnega dohodka, so naslednji:</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prihodki, pridobljeni z denarnimi in stvarnimi plačili od trženja, prodaje ali organizacije avdiovizualnih komercialnih sporočil, ki spremljajo ali so vključena v avdiovizualno vsebino, za katero so odgovorni uporabniki storitev platforme za izmenjavo videov;</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prihodki, ki jih uporabniki prejmejo od ponudnikov storitev platform za izmenjavo videov zaradi njihove dejavnosti na teh storitvah;</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prihodki od dejavnosti uporabnikov iz pristojbin in plačil, ki jih je njihovo občinstvo plačalo za storitve platform za izmenjavo videov;</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prihodki iz finančnih ugodnosti, ki jih dodelijo javne uprave in subjekti, ne glede na njihovo ime in naravo, v zvezi z dejavnostjo uporabnikov v okviru storitev platform za izmenjavo videov;</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drugi prihodki iz dejavnosti uporabnikov storitev platform za izmenjavo videov, ki niso predvideni v zgornjih točkah tega odstavka.</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Člen 4.  </w:t>
      </w:r>
      <w:r>
        <w:rPr>
          <w:i/>
          <w:sz w:val="20"/>
        </w:rPr>
        <w:t>Znatno občinstvo.</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V skladu z določbami člena 94(2)(c) Zakona št. 13/2022 z dne 7. julija 2022 se šteje, da je storitev, za katero je odgovoren uporabnik, namenjena znatnemu delu širše javnosti in lahko nanjo jasno vpliva, če kumulativno izpolnjuje naslednje zahteve:</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storitev na neki točki v prejšnjem koledarskem letu doseže število sledilcev, ki je enako ali večje od 1 000 000 na eni platformi za izmenjavo videov; ali skupno število sledilcev 2 000 000 ali več, ob upoštevanju vseh storitev platforme za izmenjavo videov, na katerih uporabnik izvaja svojo dejavnost;</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da je bilo v vseh storitvah platforme za izmenjavo videov, na katerih uporabnik izvaja svojo dejavnost, v prejšnjem koledarskem letu objavljenih ali izmenjanih 24 ali več videov, ne glede na njihovo trajanje.</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Edina dodatna določba. </w:t>
      </w:r>
      <w:r>
        <w:rPr>
          <w:i/>
          <w:sz w:val="20"/>
        </w:rPr>
        <w:t>Vpis uporabnikov posebnega pomena v državni register ponudnikov avdiovizualnih medijskih storitev, ponudnikov storitev platform za izmenjavo videov in ponudnikov storitev združevanja avdiovizualnih medijskih storitev.</w:t>
      </w:r>
    </w:p>
    <w:p w14:paraId="4A179741" w14:textId="77777777" w:rsidR="00681F68" w:rsidRDefault="00555CF7">
      <w:pPr>
        <w:pStyle w:val="BodyText"/>
        <w:spacing w:before="174" w:line="249" w:lineRule="auto"/>
        <w:ind w:left="1584" w:right="1581" w:firstLine="340"/>
        <w:jc w:val="both"/>
      </w:pPr>
      <w:r>
        <w:t>V skladu z odstavkom 2 prve prehodne določbe Kraljeve uredbe št. 1138/2023 z dne 19. decembra 2023 imajo uporabniki storitev platform za izmenjavo videov, ki izpolnjujejo zahteve iz členov 3 in 4, na voljo dva meseca od začetka veljavnosti te kraljeve uredbe, da vložijo vlogo za vpis v državni register iz člena 39 Zakona št. 13/2022 z dne 7. julija 2022.</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Prva končna določba.</w:t>
      </w:r>
      <w:r>
        <w:rPr>
          <w:sz w:val="20"/>
        </w:rPr>
        <w:tab/>
      </w:r>
      <w:r>
        <w:rPr>
          <w:i/>
          <w:sz w:val="20"/>
        </w:rPr>
        <w:t>Dodelitev pristojnosti</w:t>
      </w:r>
    </w:p>
    <w:p w14:paraId="16E6279A" w14:textId="66273675" w:rsidR="00681F68" w:rsidRDefault="00555CF7">
      <w:pPr>
        <w:pStyle w:val="BodyText"/>
        <w:spacing w:before="181" w:line="249" w:lineRule="auto"/>
        <w:ind w:left="1584" w:right="1582" w:firstLine="340"/>
        <w:jc w:val="both"/>
      </w:pPr>
      <w:r>
        <w:t>Ta kraljeva uredba je izdana na podlagi izključne pristojnosti države na področju telekomunikacij, ki ji je podeljena s členom 149(1)(21) španske ustave.</w:t>
      </w:r>
    </w:p>
    <w:p w14:paraId="168A0FB9" w14:textId="77777777" w:rsidR="00681F68" w:rsidRDefault="00555CF7">
      <w:pPr>
        <w:tabs>
          <w:tab w:val="left" w:pos="4107"/>
        </w:tabs>
        <w:spacing w:before="229"/>
        <w:ind w:left="1584"/>
        <w:rPr>
          <w:i/>
          <w:sz w:val="20"/>
        </w:rPr>
      </w:pPr>
      <w:r>
        <w:rPr>
          <w:sz w:val="20"/>
        </w:rPr>
        <w:t>Druga končna določba.</w:t>
      </w:r>
      <w:r>
        <w:rPr>
          <w:sz w:val="20"/>
        </w:rPr>
        <w:tab/>
      </w:r>
      <w:r>
        <w:rPr>
          <w:i/>
          <w:sz w:val="20"/>
        </w:rPr>
        <w:t>Razvojna pooblastila.</w:t>
      </w:r>
    </w:p>
    <w:p w14:paraId="4989D857" w14:textId="77777777" w:rsidR="00681F68" w:rsidRDefault="00555CF7">
      <w:pPr>
        <w:pStyle w:val="BodyText"/>
        <w:spacing w:before="180" w:line="249" w:lineRule="auto"/>
        <w:ind w:left="1584" w:right="1582" w:firstLine="340"/>
        <w:jc w:val="both"/>
      </w:pPr>
      <w:r>
        <w:t>Oseba, pristojna za ministrstvo za digitalno preobrazbo in javne službe, lahko izda določbe za razvoj, uporabo in izvrševanje te kraljeve uredbe.</w:t>
      </w:r>
    </w:p>
    <w:p w14:paraId="6E421BBE" w14:textId="77777777" w:rsidR="00681F68" w:rsidRPr="00D62138"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Tretja končna določba.</w:t>
      </w:r>
      <w:r>
        <w:rPr>
          <w:sz w:val="20"/>
        </w:rPr>
        <w:tab/>
      </w:r>
      <w:r>
        <w:rPr>
          <w:i/>
          <w:sz w:val="20"/>
        </w:rPr>
        <w:t>Začetek veljavnosti.</w:t>
      </w:r>
    </w:p>
    <w:p w14:paraId="488E54FB" w14:textId="77777777" w:rsidR="00681F68" w:rsidRDefault="00555CF7">
      <w:pPr>
        <w:pStyle w:val="BodyText"/>
        <w:spacing w:before="180"/>
        <w:ind w:left="1924"/>
      </w:pPr>
      <w:r>
        <w:t>Ta kraljeva uredba začne veljati dan po objavi v uradnem listu.</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t>V Madridu, 30. aprila 2024.</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Minister za digitalno preobrazbo in javne službe,</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05718B9C" w14:textId="77777777" w:rsidR="00287046" w:rsidRPr="00555CF7" w:rsidRDefault="00287046">
      <w:pPr>
        <w:pStyle w:val="BodyText"/>
      </w:pPr>
    </w:p>
    <w:p w14:paraId="1E448900" w14:textId="77777777" w:rsidR="00287046" w:rsidRPr="00555CF7" w:rsidRDefault="00287046">
      <w:pPr>
        <w:pStyle w:val="BodyText"/>
      </w:pPr>
    </w:p>
    <w:p w14:paraId="673C9B3B" w14:textId="77777777" w:rsidR="00287046" w:rsidRPr="00555CF7" w:rsidRDefault="00287046">
      <w:pPr>
        <w:pStyle w:val="BodyText"/>
      </w:pPr>
    </w:p>
    <w:p w14:paraId="1CBC09AC" w14:textId="77777777" w:rsidR="00287046" w:rsidRPr="00555CF7" w:rsidRDefault="00287046">
      <w:pPr>
        <w:pStyle w:val="BodyText"/>
      </w:pPr>
    </w:p>
    <w:p w14:paraId="4A27157C" w14:textId="77777777" w:rsidR="00287046" w:rsidRPr="00555CF7" w:rsidRDefault="00287046">
      <w:pPr>
        <w:pStyle w:val="BodyText"/>
      </w:pPr>
    </w:p>
    <w:p w14:paraId="5CDC579F" w14:textId="77777777" w:rsidR="00287046" w:rsidRPr="00555CF7" w:rsidRDefault="00287046">
      <w:pPr>
        <w:pStyle w:val="BodyText"/>
      </w:pPr>
    </w:p>
    <w:p w14:paraId="677CCC52" w14:textId="77777777" w:rsidR="00287046" w:rsidRPr="00555CF7" w:rsidRDefault="00287046">
      <w:pPr>
        <w:pStyle w:val="BodyText"/>
      </w:pPr>
    </w:p>
    <w:p w14:paraId="4B5218A3" w14:textId="77777777" w:rsidR="00287046" w:rsidRPr="00555CF7" w:rsidRDefault="00287046">
      <w:pPr>
        <w:pStyle w:val="BodyText"/>
      </w:pPr>
    </w:p>
    <w:p w14:paraId="25ACE0A4" w14:textId="77777777" w:rsidR="00287046" w:rsidRPr="00555CF7" w:rsidRDefault="00287046">
      <w:pPr>
        <w:pStyle w:val="BodyText"/>
      </w:pPr>
    </w:p>
    <w:p w14:paraId="6F5BE9FA" w14:textId="77777777" w:rsidR="00681F68" w:rsidRDefault="00681F68">
      <w:pPr>
        <w:pStyle w:val="BodyText"/>
      </w:pPr>
    </w:p>
    <w:p w14:paraId="342C19DA" w14:textId="77777777" w:rsidR="00681F68" w:rsidRDefault="00681F68">
      <w:pPr>
        <w:pStyle w:val="BodyText"/>
      </w:pPr>
    </w:p>
    <w:p w14:paraId="1AE887C1" w14:textId="77777777" w:rsidR="00681F68" w:rsidRDefault="00681F68">
      <w:pPr>
        <w:pStyle w:val="BodyText"/>
      </w:pPr>
    </w:p>
    <w:p w14:paraId="65ACBC7F" w14:textId="77777777" w:rsidR="00681F68" w:rsidRDefault="00681F68">
      <w:pPr>
        <w:pStyle w:val="BodyText"/>
      </w:pPr>
    </w:p>
    <w:p w14:paraId="2EC8359F" w14:textId="77777777" w:rsidR="00681F68" w:rsidRPr="00555CF7" w:rsidRDefault="00681F68">
      <w:pPr>
        <w:pStyle w:val="BodyText"/>
      </w:pPr>
    </w:p>
    <w:p w14:paraId="59FA3500" w14:textId="05CEF806" w:rsidR="00287046" w:rsidRDefault="00287046">
      <w:pPr>
        <w:pStyle w:val="BodyText"/>
      </w:pPr>
    </w:p>
    <w:p w14:paraId="700DA3B7" w14:textId="564EA3C2" w:rsidR="00D62138" w:rsidRDefault="00D62138">
      <w:pPr>
        <w:pStyle w:val="BodyText"/>
      </w:pPr>
    </w:p>
    <w:p w14:paraId="21ED221E" w14:textId="2142AE2B" w:rsidR="00D62138" w:rsidRDefault="00D62138">
      <w:pPr>
        <w:pStyle w:val="BodyText"/>
      </w:pPr>
    </w:p>
    <w:p w14:paraId="16207639" w14:textId="766430EF" w:rsidR="00D62138" w:rsidRDefault="00D62138">
      <w:pPr>
        <w:pStyle w:val="BodyText"/>
      </w:pPr>
    </w:p>
    <w:p w14:paraId="7CB644EB" w14:textId="777EF490" w:rsidR="00D62138" w:rsidRDefault="00D62138">
      <w:pPr>
        <w:pStyle w:val="BodyText"/>
      </w:pPr>
    </w:p>
    <w:p w14:paraId="5C7928A1" w14:textId="2F188D1E" w:rsidR="00D62138" w:rsidRDefault="00D62138">
      <w:pPr>
        <w:pStyle w:val="BodyText"/>
      </w:pPr>
    </w:p>
    <w:p w14:paraId="5BEA8F90" w14:textId="50927515" w:rsidR="00D62138" w:rsidRDefault="00D62138">
      <w:pPr>
        <w:pStyle w:val="BodyText"/>
      </w:pPr>
    </w:p>
    <w:p w14:paraId="1DA28471" w14:textId="7EBFA668" w:rsidR="00D62138" w:rsidRDefault="00D62138">
      <w:pPr>
        <w:pStyle w:val="BodyText"/>
      </w:pPr>
    </w:p>
    <w:p w14:paraId="195FEF4D" w14:textId="4BF2F0D1" w:rsidR="00D62138" w:rsidRDefault="00D62138">
      <w:pPr>
        <w:pStyle w:val="BodyText"/>
      </w:pPr>
    </w:p>
    <w:p w14:paraId="420D5133" w14:textId="13F0F21D" w:rsidR="00575991" w:rsidRDefault="00575991">
      <w:pPr>
        <w:pStyle w:val="BodyText"/>
      </w:pPr>
    </w:p>
    <w:p w14:paraId="1D84FB2F" w14:textId="11A4F9D7" w:rsidR="00575991" w:rsidRDefault="00575991">
      <w:pPr>
        <w:pStyle w:val="BodyText"/>
      </w:pPr>
    </w:p>
    <w:p w14:paraId="011176B0" w14:textId="77777777" w:rsidR="00575991" w:rsidRDefault="00575991">
      <w:pPr>
        <w:pStyle w:val="BodyText"/>
      </w:pPr>
    </w:p>
    <w:p w14:paraId="1E01CEF8" w14:textId="77777777" w:rsidR="00D62138" w:rsidRPr="00555CF7" w:rsidRDefault="00D62138">
      <w:pPr>
        <w:pStyle w:val="BodyText"/>
      </w:pPr>
    </w:p>
    <w:p w14:paraId="51BDD44D" w14:textId="77777777" w:rsidR="00681F68" w:rsidRDefault="00681F68">
      <w:pPr>
        <w:pStyle w:val="BodyText"/>
      </w:pPr>
    </w:p>
    <w:p w14:paraId="7A866902" w14:textId="7432C0D4" w:rsidR="00681F68" w:rsidRDefault="00B55D90" w:rsidP="00287046">
      <w:pPr>
        <w:shd w:val="clear" w:color="auto" w:fill="1F497D" w:themeFill="text2"/>
        <w:tabs>
          <w:tab w:val="left" w:pos="3358"/>
          <w:tab w:val="left" w:pos="8011"/>
        </w:tabs>
        <w:spacing w:before="69"/>
        <w:ind w:left="315"/>
      </w:pPr>
      <w:hyperlink r:id="rId11">
        <w:r w:rsidR="00555CF7">
          <w:rPr>
            <w:b/>
            <w:color w:val="FFFFFF"/>
            <w:sz w:val="16"/>
          </w:rPr>
          <w:t>https://www.boe.es</w:t>
        </w:r>
      </w:hyperlink>
      <w:r w:rsidR="00555CF7">
        <w:rPr>
          <w:b/>
          <w:color w:val="FFFFFF"/>
          <w:sz w:val="16"/>
        </w:rPr>
        <w:tab/>
      </w:r>
      <w:r w:rsidR="00555CF7">
        <w:rPr>
          <w:b/>
          <w:color w:val="FFFFFF"/>
          <w:sz w:val="20"/>
        </w:rPr>
        <w:t xml:space="preserve">DRŽAVNI URADNI LIST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EC2E" w14:textId="77777777" w:rsidR="00B55D90" w:rsidRDefault="00B55D90">
      <w:r>
        <w:separator/>
      </w:r>
    </w:p>
  </w:endnote>
  <w:endnote w:type="continuationSeparator" w:id="0">
    <w:p w14:paraId="0F341760" w14:textId="77777777" w:rsidR="00B55D90" w:rsidRDefault="00B5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Na voljo na spletišču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Na voljo na spletišču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Na voljo na spletišču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Na voljo na spletišču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06E2" w14:textId="77777777" w:rsidR="00B55D90" w:rsidRDefault="00B55D90">
      <w:r>
        <w:separator/>
      </w:r>
    </w:p>
  </w:footnote>
  <w:footnote w:type="continuationSeparator" w:id="0">
    <w:p w14:paraId="6A9C021B" w14:textId="77777777" w:rsidR="00B55D90" w:rsidRDefault="00B55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DRŽAVNI URADNI LIST</w:t>
    </w:r>
  </w:p>
  <w:p w14:paraId="227450CB" w14:textId="77777777" w:rsidR="00287046" w:rsidRPr="00D62138" w:rsidRDefault="00287046" w:rsidP="00287046">
    <w:pPr>
      <w:tabs>
        <w:tab w:val="center" w:pos="5670"/>
        <w:tab w:val="center" w:pos="9356"/>
      </w:tabs>
      <w:spacing w:before="13"/>
      <w:ind w:left="142"/>
      <w:rPr>
        <w:b/>
        <w:color w:val="004479"/>
        <w:sz w:val="20"/>
        <w:lang w:val="sv-SE"/>
      </w:rPr>
    </w:pPr>
  </w:p>
  <w:p w14:paraId="7E9F59A6" w14:textId="77777777" w:rsidR="00287046" w:rsidRPr="00D62138" w:rsidRDefault="00287046" w:rsidP="00287046">
    <w:pPr>
      <w:tabs>
        <w:tab w:val="center" w:pos="5670"/>
        <w:tab w:val="center" w:pos="9356"/>
      </w:tabs>
      <w:spacing w:before="13"/>
      <w:ind w:left="142"/>
      <w:rPr>
        <w:b/>
        <w:color w:val="004479"/>
        <w:sz w:val="20"/>
        <w:lang w:val="sv-SE"/>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Št. 106</w:t>
    </w:r>
    <w:r>
      <w:rPr>
        <w:b/>
        <w:sz w:val="20"/>
      </w:rPr>
      <w:tab/>
    </w:r>
    <w:r>
      <w:rPr>
        <w:b/>
        <w:color w:val="004479"/>
        <w:sz w:val="20"/>
      </w:rPr>
      <w:t>Sreda, 1. maja 2024</w:t>
    </w:r>
    <w:r>
      <w:rPr>
        <w:b/>
        <w:color w:val="004479"/>
        <w:sz w:val="20"/>
      </w:rPr>
      <w:tab/>
      <w:t>Odd. I. Stran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1761121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15171412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DRŽAVNI URADNI LIST</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Št. 106</w:t>
    </w:r>
    <w:r>
      <w:rPr>
        <w:b/>
        <w:sz w:val="20"/>
      </w:rPr>
      <w:tab/>
    </w:r>
    <w:r>
      <w:rPr>
        <w:b/>
        <w:color w:val="004479"/>
        <w:sz w:val="20"/>
      </w:rPr>
      <w:t>Sreda, 1. maja 2024</w:t>
    </w:r>
    <w:r>
      <w:rPr>
        <w:b/>
        <w:color w:val="004479"/>
        <w:sz w:val="20"/>
      </w:rPr>
      <w:tab/>
      <w:t>Odd. I. Stran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60266936"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18824298"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DRŽAVNI URADNI LIST</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Št. 106</w:t>
    </w:r>
    <w:r>
      <w:rPr>
        <w:b/>
        <w:sz w:val="20"/>
      </w:rPr>
      <w:tab/>
    </w:r>
    <w:r>
      <w:rPr>
        <w:b/>
        <w:color w:val="004479"/>
        <w:sz w:val="20"/>
      </w:rPr>
      <w:t>Sreda, 1. maja 2024</w:t>
    </w:r>
    <w:r>
      <w:rPr>
        <w:b/>
        <w:color w:val="004479"/>
        <w:sz w:val="20"/>
      </w:rPr>
      <w:tab/>
      <w:t>Odd. I. Stran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DRŽAVNI URADNI LIST</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Št. 106</w:t>
    </w:r>
    <w:r>
      <w:rPr>
        <w:b/>
        <w:sz w:val="20"/>
      </w:rPr>
      <w:tab/>
    </w:r>
    <w:r>
      <w:rPr>
        <w:b/>
        <w:color w:val="004479"/>
        <w:sz w:val="20"/>
      </w:rPr>
      <w:t>Sreda, 1. maja 2024</w:t>
    </w:r>
    <w:r>
      <w:rPr>
        <w:b/>
        <w:color w:val="004479"/>
        <w:sz w:val="20"/>
      </w:rPr>
      <w:tab/>
      <w:t>Odd. I. Stran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87046"/>
    <w:rsid w:val="00555CF7"/>
    <w:rsid w:val="00575991"/>
    <w:rsid w:val="00681F68"/>
    <w:rsid w:val="00B55D90"/>
    <w:rsid w:val="00D62138"/>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sl-SI"/>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2674</Words>
  <Characters>15617</Characters>
  <Application>Microsoft Office Word</Application>
  <DocSecurity>0</DocSecurity>
  <Lines>306</Lines>
  <Paragraphs>87</Paragraphs>
  <ScaleCrop>false</ScaleCrop>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3</cp:revision>
  <dcterms:created xsi:type="dcterms:W3CDTF">2024-06-11T06:53:00Z</dcterms:created>
  <dcterms:modified xsi:type="dcterms:W3CDTF">2024-06-11T06:53:00Z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