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85AF6" w14:textId="77777777" w:rsidR="00D65517" w:rsidRDefault="00A0522B" w:rsidP="00A0522B">
      <w:pPr>
        <w:tabs>
          <w:tab w:val="center" w:pos="4513"/>
          <w:tab w:val="right" w:pos="9026"/>
        </w:tabs>
        <w:jc w:val="center"/>
        <w:rPr>
          <w:b/>
          <w:szCs w:val="24"/>
        </w:rPr>
      </w:pPr>
      <w:r>
        <w:object w:dxaOrig="734" w:dyaOrig="878" w14:anchorId="2132B2C8">
          <v:rect id="rectole0000000000" o:spid="_x0000_i1025" style="width:36pt;height:44.25pt" o:ole="" o:preferrelative="t" stroked="f">
            <v:imagedata r:id="rId6" o:title=""/>
          </v:rect>
          <o:OLEObject Type="Embed" ProgID="StaticMetafile" ShapeID="rectole0000000000" DrawAspect="Content" ObjectID="_1778653474" r:id="rId7"/>
        </w:object>
      </w:r>
    </w:p>
    <w:p w14:paraId="2226871B" w14:textId="77777777" w:rsidR="00D65517" w:rsidRDefault="00D65517">
      <w:pPr>
        <w:keepNext/>
        <w:spacing w:line="20" w:lineRule="atLeast"/>
        <w:jc w:val="center"/>
        <w:outlineLvl w:val="1"/>
        <w:rPr>
          <w:b/>
          <w:szCs w:val="24"/>
          <w:lang w:val="x-none"/>
        </w:rPr>
      </w:pPr>
    </w:p>
    <w:p w14:paraId="3B19D453" w14:textId="77777777" w:rsidR="00D65517" w:rsidRDefault="00A0522B">
      <w:pPr>
        <w:keepNext/>
        <w:spacing w:line="20" w:lineRule="atLeast"/>
        <w:jc w:val="center"/>
        <w:outlineLvl w:val="1"/>
        <w:rPr>
          <w:b/>
          <w:szCs w:val="24"/>
        </w:rPr>
      </w:pPr>
      <w:r>
        <w:rPr>
          <w:b/>
        </w:rPr>
        <w:t>DIRECTEUR DU SERVICE D’INCENDIE ET DE SECOURS RELEVANT DU MINISTÈRE DE L’INTÉRIEUR</w:t>
      </w:r>
    </w:p>
    <w:p w14:paraId="68F352DC" w14:textId="77777777" w:rsidR="00D65517" w:rsidRDefault="00D65517">
      <w:pPr>
        <w:spacing w:line="20" w:lineRule="atLeast"/>
        <w:jc w:val="center"/>
        <w:rPr>
          <w:b/>
          <w:szCs w:val="24"/>
        </w:rPr>
      </w:pPr>
    </w:p>
    <w:p w14:paraId="59BEB28A" w14:textId="77777777" w:rsidR="00D65517" w:rsidRDefault="00D65517">
      <w:pPr>
        <w:spacing w:line="20" w:lineRule="atLeast"/>
        <w:ind w:firstLine="62"/>
        <w:jc w:val="center"/>
        <w:rPr>
          <w:b/>
          <w:szCs w:val="24"/>
        </w:rPr>
      </w:pPr>
    </w:p>
    <w:p w14:paraId="03D43233" w14:textId="77777777" w:rsidR="00D65517" w:rsidRDefault="00D65517">
      <w:pPr>
        <w:spacing w:line="20" w:lineRule="atLeast"/>
        <w:jc w:val="center"/>
        <w:rPr>
          <w:szCs w:val="24"/>
        </w:rPr>
      </w:pPr>
    </w:p>
    <w:p w14:paraId="7E968EBD" w14:textId="77777777" w:rsidR="00D65517" w:rsidRDefault="00A0522B">
      <w:pPr>
        <w:jc w:val="center"/>
        <w:rPr>
          <w:b/>
        </w:rPr>
      </w:pPr>
      <w:r>
        <w:rPr>
          <w:b/>
        </w:rPr>
        <w:t>ARRÊTÉ</w:t>
      </w:r>
    </w:p>
    <w:p w14:paraId="70EEDC0C" w14:textId="77777777" w:rsidR="00D65517" w:rsidRDefault="00A0522B">
      <w:pPr>
        <w:jc w:val="center"/>
        <w:rPr>
          <w:b/>
          <w:caps/>
          <w:szCs w:val="24"/>
        </w:rPr>
      </w:pPr>
      <w:r>
        <w:rPr>
          <w:b/>
        </w:rPr>
        <w:t>CONCERNANT LA MODIFICATION DE L’ARRÊTÉ Nº 1-1 DU 6 JANVIER 2016 DU DIRECTEUR DU SERVICE D’INCENDIE ET DE SECOURS RELEVANT DU MINISTÈRE DE L’INTÉRIEUR SUR L’APPROBATION DU RÈGLEMENT SUR LA CONCEPTION ET L’INSTALLATION DE SYSTÈMES FIXES D’EXTINCTION D’INCENDIE</w:t>
      </w:r>
    </w:p>
    <w:p w14:paraId="167CAE13" w14:textId="77777777" w:rsidR="00D65517" w:rsidRDefault="00D65517">
      <w:pPr>
        <w:spacing w:line="20" w:lineRule="atLeast"/>
        <w:rPr>
          <w:szCs w:val="24"/>
        </w:rPr>
      </w:pPr>
    </w:p>
    <w:p w14:paraId="482ED02A" w14:textId="77777777" w:rsidR="00D65517" w:rsidRDefault="00A0522B">
      <w:pPr>
        <w:ind w:firstLine="248"/>
        <w:jc w:val="center"/>
        <w:rPr>
          <w:szCs w:val="24"/>
        </w:rPr>
      </w:pPr>
      <w:r>
        <w:t>23 Avril 2024, nº 1-274/2024 (1.4 E)</w:t>
      </w:r>
    </w:p>
    <w:p w14:paraId="46F4BD1D" w14:textId="77777777" w:rsidR="00D65517" w:rsidRDefault="00A0522B">
      <w:pPr>
        <w:jc w:val="center"/>
        <w:rPr>
          <w:szCs w:val="24"/>
        </w:rPr>
      </w:pPr>
      <w:r>
        <w:t>Vilnius</w:t>
      </w:r>
    </w:p>
    <w:p w14:paraId="3607E3EB" w14:textId="77777777" w:rsidR="00D65517" w:rsidRDefault="00D65517">
      <w:pPr>
        <w:tabs>
          <w:tab w:val="left" w:pos="993"/>
        </w:tabs>
        <w:spacing w:line="276" w:lineRule="auto"/>
        <w:ind w:firstLine="720"/>
        <w:jc w:val="both"/>
        <w:rPr>
          <w:szCs w:val="24"/>
        </w:rPr>
      </w:pPr>
    </w:p>
    <w:p w14:paraId="67BF74CD" w14:textId="77777777" w:rsidR="00D65517" w:rsidRDefault="00A0522B">
      <w:pPr>
        <w:spacing w:line="276" w:lineRule="auto"/>
        <w:ind w:firstLine="567"/>
        <w:jc w:val="both"/>
        <w:rPr>
          <w:szCs w:val="24"/>
        </w:rPr>
      </w:pPr>
      <w:r>
        <w:t>Je modifie par la présente le règlement sur la conception et l’installation de systèmes fixes d’extinction d’incendie, approuvé par l’arrêté nº 1-1 du 6 janvier 2016 du directeur du service d’incendie et de secours relevant du ministère de l’intérieur «sur l’approbation du règlement sur la conception et l’installation de systèmes fixes d’extinction d’incendie», et je modifie le tableau 1 de la clause 26 comme suit:</w:t>
      </w:r>
    </w:p>
    <w:p w14:paraId="36F0D2C9" w14:textId="77777777" w:rsidR="00D65517" w:rsidRDefault="00D65517">
      <w:pPr>
        <w:spacing w:line="276" w:lineRule="auto"/>
        <w:ind w:firstLine="567"/>
        <w:jc w:val="both"/>
        <w:rPr>
          <w:szCs w:val="24"/>
        </w:rPr>
      </w:pPr>
    </w:p>
    <w:p w14:paraId="4FD33B97" w14:textId="77777777" w:rsidR="00D65517" w:rsidRDefault="00A0522B">
      <w:pPr>
        <w:spacing w:line="276" w:lineRule="auto"/>
        <w:ind w:firstLine="567"/>
        <w:jc w:val="both"/>
        <w:rPr>
          <w:color w:val="000000"/>
          <w:szCs w:val="24"/>
        </w:rPr>
      </w:pPr>
      <w:r>
        <w:rPr>
          <w:color w:val="000000"/>
        </w:rPr>
        <w:t>«Tableau 1. Structures d’ingénierie</w:t>
      </w:r>
    </w:p>
    <w:tbl>
      <w:tblPr>
        <w:tblW w:w="9620" w:type="dxa"/>
        <w:tblCellMar>
          <w:left w:w="0" w:type="dxa"/>
          <w:right w:w="0" w:type="dxa"/>
        </w:tblCellMar>
        <w:tblLook w:val="04A0" w:firstRow="1" w:lastRow="0" w:firstColumn="1" w:lastColumn="0" w:noHBand="0" w:noVBand="1"/>
      </w:tblPr>
      <w:tblGrid>
        <w:gridCol w:w="1003"/>
        <w:gridCol w:w="2787"/>
        <w:gridCol w:w="1350"/>
        <w:gridCol w:w="1170"/>
        <w:gridCol w:w="1080"/>
        <w:gridCol w:w="2230"/>
      </w:tblGrid>
      <w:tr w:rsidR="00D65517" w14:paraId="3242CD84" w14:textId="77777777">
        <w:trPr>
          <w:trHeight w:val="255"/>
        </w:trPr>
        <w:tc>
          <w:tcPr>
            <w:tcW w:w="57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A1F023" w14:textId="77777777" w:rsidR="00D65517" w:rsidRDefault="00A0522B">
            <w:pPr>
              <w:jc w:val="center"/>
              <w:rPr>
                <w:szCs w:val="24"/>
              </w:rPr>
            </w:pPr>
            <w:r>
              <w:t xml:space="preserve">Position </w:t>
            </w:r>
          </w:p>
        </w:tc>
        <w:tc>
          <w:tcPr>
            <w:tcW w:w="3101"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60865836" w14:textId="77777777" w:rsidR="00D65517" w:rsidRDefault="00A0522B">
            <w:pPr>
              <w:jc w:val="center"/>
              <w:rPr>
                <w:szCs w:val="24"/>
              </w:rPr>
            </w:pPr>
            <w:r>
              <w:t>Application</w:t>
            </w:r>
          </w:p>
        </w:tc>
        <w:tc>
          <w:tcPr>
            <w:tcW w:w="594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F3063B" w14:textId="77777777" w:rsidR="00D65517" w:rsidRDefault="00A0522B">
            <w:pPr>
              <w:jc w:val="center"/>
              <w:rPr>
                <w:szCs w:val="24"/>
              </w:rPr>
            </w:pPr>
            <w:r>
              <w:t xml:space="preserve">Indicateurs au-dessus desquels l’installation des systèmes SFE est obligatoire </w:t>
            </w:r>
            <w:r>
              <w:rPr>
                <w:color w:val="000000"/>
              </w:rPr>
              <w:t>(Note 1)</w:t>
            </w:r>
          </w:p>
        </w:tc>
      </w:tr>
      <w:tr w:rsidR="00D65517" w14:paraId="037AC667" w14:textId="77777777">
        <w:trPr>
          <w:trHeight w:val="69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7D310C0" w14:textId="77777777" w:rsidR="00D65517" w:rsidRDefault="00D65517">
            <w:pPr>
              <w:rPr>
                <w:szCs w:val="24"/>
                <w:lang w:eastAsia="lt-LT"/>
              </w:rPr>
            </w:pPr>
          </w:p>
        </w:tc>
        <w:tc>
          <w:tcPr>
            <w:tcW w:w="3101" w:type="dxa"/>
            <w:vMerge/>
            <w:tcBorders>
              <w:top w:val="single" w:sz="8" w:space="0" w:color="auto"/>
              <w:left w:val="nil"/>
              <w:bottom w:val="single" w:sz="8" w:space="0" w:color="000000"/>
              <w:right w:val="single" w:sz="8" w:space="0" w:color="auto"/>
            </w:tcBorders>
            <w:vAlign w:val="center"/>
            <w:hideMark/>
          </w:tcPr>
          <w:p w14:paraId="073680C0" w14:textId="77777777" w:rsidR="00D65517" w:rsidRDefault="00D65517">
            <w:pPr>
              <w:jc w:val="center"/>
              <w:rPr>
                <w:szCs w:val="24"/>
                <w:lang w:eastAsia="lt-LT"/>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F607E9" w14:textId="77777777" w:rsidR="00D65517" w:rsidRDefault="00A0522B">
            <w:pPr>
              <w:jc w:val="center"/>
              <w:rPr>
                <w:szCs w:val="24"/>
              </w:rPr>
            </w:pPr>
            <w:r>
              <w:t xml:space="preserve">Zone </w:t>
            </w:r>
          </w:p>
          <w:p w14:paraId="099A5E66" w14:textId="77777777" w:rsidR="00D65517" w:rsidRDefault="00A0522B">
            <w:pPr>
              <w:jc w:val="center"/>
              <w:rPr>
                <w:color w:val="000000"/>
                <w:szCs w:val="24"/>
              </w:rPr>
            </w:pPr>
            <w:r>
              <w:t>(m²)</w:t>
            </w:r>
            <w:r>
              <w:rPr>
                <w:color w:val="000000"/>
              </w:rPr>
              <w:t xml:space="preserve"> </w:t>
            </w:r>
          </w:p>
          <w:p w14:paraId="02241FFD" w14:textId="77777777" w:rsidR="00D65517" w:rsidRDefault="00A0522B">
            <w:pPr>
              <w:jc w:val="center"/>
              <w:rPr>
                <w:szCs w:val="24"/>
              </w:rPr>
            </w:pPr>
            <w:r>
              <w:rPr>
                <w:color w:val="000000"/>
              </w:rPr>
              <w:t>(note 2)</w:t>
            </w:r>
          </w:p>
          <w:p w14:paraId="3EEBD17A" w14:textId="77777777" w:rsidR="00D65517" w:rsidRDefault="00D65517">
            <w:pPr>
              <w:jc w:val="center"/>
              <w:rPr>
                <w:szCs w:val="24"/>
                <w:lang w:eastAsia="lt-LT"/>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D0015F" w14:textId="77777777" w:rsidR="00D65517" w:rsidRDefault="00A0522B">
            <w:pPr>
              <w:jc w:val="center"/>
              <w:rPr>
                <w:szCs w:val="24"/>
              </w:rPr>
            </w:pPr>
            <w:r>
              <w:t>Longueur (m)</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D1985F" w14:textId="77777777" w:rsidR="00D65517" w:rsidRDefault="00A0522B">
            <w:pPr>
              <w:jc w:val="center"/>
              <w:rPr>
                <w:szCs w:val="24"/>
              </w:rPr>
            </w:pPr>
            <w:r>
              <w:t>volume (m. cubes)</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F158E" w14:textId="77777777" w:rsidR="00D65517" w:rsidRDefault="00A0522B">
            <w:pPr>
              <w:jc w:val="center"/>
              <w:rPr>
                <w:szCs w:val="24"/>
              </w:rPr>
            </w:pPr>
            <w:r>
              <w:t>Autres indicateurs</w:t>
            </w:r>
          </w:p>
        </w:tc>
      </w:tr>
      <w:tr w:rsidR="00D65517" w14:paraId="188CC6E9" w14:textId="77777777">
        <w:trPr>
          <w:trHeight w:val="315"/>
        </w:trPr>
        <w:tc>
          <w:tcPr>
            <w:tcW w:w="5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1A116C" w14:textId="77777777" w:rsidR="00D65517" w:rsidRDefault="00A0522B">
            <w:pPr>
              <w:jc w:val="center"/>
              <w:rPr>
                <w:szCs w:val="24"/>
              </w:rPr>
            </w:pPr>
            <w:r>
              <w:t>1.</w:t>
            </w:r>
          </w:p>
        </w:tc>
        <w:tc>
          <w:tcPr>
            <w:tcW w:w="9041" w:type="dxa"/>
            <w:gridSpan w:val="5"/>
            <w:tcBorders>
              <w:top w:val="nil"/>
              <w:left w:val="nil"/>
              <w:bottom w:val="single" w:sz="4" w:space="0" w:color="auto"/>
              <w:right w:val="single" w:sz="8" w:space="0" w:color="auto"/>
            </w:tcBorders>
            <w:tcMar>
              <w:top w:w="0" w:type="dxa"/>
              <w:left w:w="108" w:type="dxa"/>
              <w:bottom w:w="0" w:type="dxa"/>
              <w:right w:w="108" w:type="dxa"/>
            </w:tcMar>
            <w:vAlign w:val="center"/>
            <w:hideMark/>
          </w:tcPr>
          <w:p w14:paraId="3B1B11F5" w14:textId="77777777" w:rsidR="00D65517" w:rsidRDefault="00A0522B">
            <w:pPr>
              <w:jc w:val="center"/>
              <w:rPr>
                <w:szCs w:val="24"/>
              </w:rPr>
            </w:pPr>
            <w:r>
              <w:t>Communications de transport</w:t>
            </w:r>
          </w:p>
        </w:tc>
      </w:tr>
      <w:tr w:rsidR="00D65517" w14:paraId="494E8CA7" w14:textId="77777777">
        <w:trPr>
          <w:trHeight w:val="676"/>
        </w:trPr>
        <w:tc>
          <w:tcPr>
            <w:tcW w:w="579"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6BB7A97D" w14:textId="77777777" w:rsidR="00D65517" w:rsidRDefault="00A0522B">
            <w:pPr>
              <w:jc w:val="center"/>
              <w:rPr>
                <w:szCs w:val="24"/>
              </w:rPr>
            </w:pPr>
            <w:r>
              <w:t>1.1.</w:t>
            </w:r>
          </w:p>
        </w:tc>
        <w:tc>
          <w:tcPr>
            <w:tcW w:w="3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EE203C" w14:textId="77777777" w:rsidR="00D65517" w:rsidRDefault="00A0522B">
            <w:pPr>
              <w:jc w:val="center"/>
              <w:rPr>
                <w:szCs w:val="24"/>
              </w:rPr>
            </w:pPr>
            <w:r>
              <w:t>route</w:t>
            </w:r>
          </w:p>
        </w:tc>
        <w:tc>
          <w:tcPr>
            <w:tcW w:w="135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D579980" w14:textId="77777777" w:rsidR="00D65517" w:rsidRDefault="00D65517">
            <w:pPr>
              <w:ind w:firstLine="60"/>
              <w:jc w:val="center"/>
              <w:rPr>
                <w:szCs w:val="24"/>
                <w:lang w:eastAsia="lt-LT"/>
              </w:rPr>
            </w:pPr>
          </w:p>
        </w:tc>
        <w:tc>
          <w:tcPr>
            <w:tcW w:w="11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4A8BF81" w14:textId="77777777" w:rsidR="00D65517" w:rsidRDefault="00A0522B">
            <w:pPr>
              <w:jc w:val="center"/>
              <w:rPr>
                <w:szCs w:val="24"/>
              </w:rPr>
            </w:pPr>
            <w:r>
              <w:t>≥ 1 000</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8C7A961" w14:textId="77777777" w:rsidR="00D65517" w:rsidRDefault="00D65517">
            <w:pPr>
              <w:ind w:firstLine="60"/>
              <w:jc w:val="center"/>
              <w:rPr>
                <w:szCs w:val="24"/>
                <w:lang w:eastAsia="lt-LT"/>
              </w:rPr>
            </w:pP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B9CF32" w14:textId="77777777" w:rsidR="00D65517" w:rsidRDefault="00A0522B">
            <w:pPr>
              <w:rPr>
                <w:szCs w:val="24"/>
              </w:rPr>
            </w:pPr>
            <w:r>
              <w:t>tunnels</w:t>
            </w:r>
          </w:p>
        </w:tc>
      </w:tr>
      <w:tr w:rsidR="00D65517" w14:paraId="371FBFCC" w14:textId="77777777">
        <w:trPr>
          <w:trHeight w:val="558"/>
        </w:trPr>
        <w:tc>
          <w:tcPr>
            <w:tcW w:w="579" w:type="dxa"/>
            <w:tcBorders>
              <w:top w:val="nil"/>
              <w:left w:val="single" w:sz="8" w:space="0" w:color="auto"/>
              <w:bottom w:val="single" w:sz="8" w:space="0" w:color="000000"/>
              <w:right w:val="single" w:sz="4" w:space="0" w:color="auto"/>
            </w:tcBorders>
            <w:tcMar>
              <w:top w:w="0" w:type="dxa"/>
              <w:left w:w="108" w:type="dxa"/>
              <w:bottom w:w="0" w:type="dxa"/>
              <w:right w:w="108" w:type="dxa"/>
            </w:tcMar>
            <w:vAlign w:val="center"/>
            <w:hideMark/>
          </w:tcPr>
          <w:p w14:paraId="6576B430" w14:textId="77777777" w:rsidR="00D65517" w:rsidRDefault="00A0522B">
            <w:pPr>
              <w:jc w:val="center"/>
              <w:rPr>
                <w:szCs w:val="24"/>
              </w:rPr>
            </w:pPr>
            <w:r>
              <w:t>1.2.</w:t>
            </w:r>
          </w:p>
        </w:tc>
        <w:tc>
          <w:tcPr>
            <w:tcW w:w="3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EB8742" w14:textId="77777777" w:rsidR="00D65517" w:rsidRDefault="00A0522B">
            <w:pPr>
              <w:jc w:val="center"/>
              <w:rPr>
                <w:szCs w:val="24"/>
              </w:rPr>
            </w:pPr>
            <w:r>
              <w:t>chemin de fer</w:t>
            </w:r>
          </w:p>
        </w:tc>
        <w:tc>
          <w:tcPr>
            <w:tcW w:w="135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7B09F16" w14:textId="77777777" w:rsidR="00D65517" w:rsidRDefault="00D65517">
            <w:pPr>
              <w:ind w:firstLine="60"/>
              <w:jc w:val="center"/>
              <w:rPr>
                <w:szCs w:val="24"/>
                <w:lang w:eastAsia="lt-LT"/>
              </w:rPr>
            </w:pPr>
          </w:p>
        </w:tc>
        <w:tc>
          <w:tcPr>
            <w:tcW w:w="11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DD3B3A2" w14:textId="77777777" w:rsidR="00D65517" w:rsidRDefault="00A0522B">
            <w:pPr>
              <w:jc w:val="center"/>
              <w:rPr>
                <w:szCs w:val="24"/>
              </w:rPr>
            </w:pPr>
            <w:r>
              <w:t>≥ 1 000</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D9F20DF" w14:textId="77777777" w:rsidR="00D65517" w:rsidRDefault="00D65517">
            <w:pPr>
              <w:ind w:firstLine="60"/>
              <w:jc w:val="center"/>
              <w:rPr>
                <w:szCs w:val="24"/>
                <w:lang w:eastAsia="lt-LT"/>
              </w:rPr>
            </w:pP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BCEEBE" w14:textId="77777777" w:rsidR="00D65517" w:rsidRDefault="00A0522B">
            <w:pPr>
              <w:rPr>
                <w:szCs w:val="24"/>
              </w:rPr>
            </w:pPr>
            <w:r>
              <w:t>tunnels</w:t>
            </w:r>
          </w:p>
        </w:tc>
      </w:tr>
      <w:tr w:rsidR="00D65517" w14:paraId="19CDE762" w14:textId="77777777">
        <w:trPr>
          <w:trHeight w:val="315"/>
        </w:trPr>
        <w:tc>
          <w:tcPr>
            <w:tcW w:w="5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0DC79B" w14:textId="77777777" w:rsidR="00D65517" w:rsidRDefault="00A0522B">
            <w:pPr>
              <w:jc w:val="center"/>
              <w:rPr>
                <w:szCs w:val="24"/>
              </w:rPr>
            </w:pPr>
            <w:r>
              <w:t>2.</w:t>
            </w:r>
          </w:p>
        </w:tc>
        <w:tc>
          <w:tcPr>
            <w:tcW w:w="9041" w:type="dxa"/>
            <w:gridSpan w:val="5"/>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3AF5EA0" w14:textId="77777777" w:rsidR="00D65517" w:rsidRDefault="00A0522B">
            <w:pPr>
              <w:jc w:val="center"/>
              <w:rPr>
                <w:szCs w:val="24"/>
              </w:rPr>
            </w:pPr>
            <w:r>
              <w:t>Réseaux d’ingénierie</w:t>
            </w:r>
          </w:p>
        </w:tc>
      </w:tr>
      <w:tr w:rsidR="00D65517" w14:paraId="5B4962D0" w14:textId="77777777">
        <w:trPr>
          <w:trHeight w:val="942"/>
        </w:trPr>
        <w:tc>
          <w:tcPr>
            <w:tcW w:w="579" w:type="dxa"/>
            <w:vMerge w:val="restart"/>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14:paraId="0B326A7B" w14:textId="77777777" w:rsidR="00D65517" w:rsidRDefault="00A0522B">
            <w:pPr>
              <w:jc w:val="center"/>
              <w:rPr>
                <w:szCs w:val="24"/>
              </w:rPr>
            </w:pPr>
            <w:r>
              <w:t>2.1.</w:t>
            </w:r>
          </w:p>
        </w:tc>
        <w:tc>
          <w:tcPr>
            <w:tcW w:w="310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B95ED" w14:textId="77777777" w:rsidR="00D65517" w:rsidRDefault="00A0522B">
            <w:pPr>
              <w:jc w:val="center"/>
              <w:rPr>
                <w:szCs w:val="24"/>
              </w:rPr>
            </w:pPr>
            <w:r>
              <w:t>réseaux d’hydrocarbures</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236324" w14:textId="77777777" w:rsidR="00D65517" w:rsidRDefault="00D65517">
            <w:pPr>
              <w:ind w:firstLine="60"/>
              <w:jc w:val="center"/>
              <w:rPr>
                <w:szCs w:val="24"/>
                <w:lang w:eastAsia="lt-LT"/>
              </w:rPr>
            </w:pPr>
          </w:p>
        </w:tc>
        <w:tc>
          <w:tcPr>
            <w:tcW w:w="117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79F1ED8" w14:textId="77777777" w:rsidR="00D65517" w:rsidRDefault="00D65517">
            <w:pPr>
              <w:ind w:firstLine="60"/>
              <w:jc w:val="center"/>
              <w:rPr>
                <w:szCs w:val="24"/>
                <w:lang w:eastAsia="lt-LT"/>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EF1DF" w14:textId="77777777" w:rsidR="00D65517" w:rsidRDefault="00A0522B">
            <w:pPr>
              <w:jc w:val="center"/>
              <w:rPr>
                <w:szCs w:val="24"/>
              </w:rPr>
            </w:pPr>
            <w:r>
              <w:t>≥ 20 000</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1FB11" w14:textId="77777777" w:rsidR="00D65517" w:rsidRDefault="00A0522B">
            <w:pPr>
              <w:rPr>
                <w:szCs w:val="24"/>
              </w:rPr>
            </w:pPr>
            <w:r>
              <w:t>dans les réservoirs hors sol à un point d’éclair de 120 °C et au-dessus</w:t>
            </w:r>
          </w:p>
        </w:tc>
      </w:tr>
      <w:tr w:rsidR="00D65517" w14:paraId="0DA36E9A" w14:textId="77777777">
        <w:trPr>
          <w:trHeight w:val="998"/>
        </w:trPr>
        <w:tc>
          <w:tcPr>
            <w:tcW w:w="0" w:type="auto"/>
            <w:vMerge/>
            <w:tcBorders>
              <w:top w:val="single" w:sz="8" w:space="0" w:color="auto"/>
              <w:left w:val="single" w:sz="8" w:space="0" w:color="auto"/>
              <w:bottom w:val="single" w:sz="4" w:space="0" w:color="auto"/>
              <w:right w:val="single" w:sz="4" w:space="0" w:color="auto"/>
            </w:tcBorders>
            <w:vAlign w:val="center"/>
            <w:hideMark/>
          </w:tcPr>
          <w:p w14:paraId="2960A2C7" w14:textId="77777777" w:rsidR="00D65517" w:rsidRDefault="00D65517">
            <w:pPr>
              <w:rPr>
                <w:szCs w:val="24"/>
                <w:lang w:eastAsia="lt-LT"/>
              </w:rPr>
            </w:pPr>
          </w:p>
        </w:tc>
        <w:tc>
          <w:tcPr>
            <w:tcW w:w="3101" w:type="dxa"/>
            <w:vMerge/>
            <w:tcBorders>
              <w:top w:val="single" w:sz="4" w:space="0" w:color="auto"/>
              <w:left w:val="single" w:sz="4" w:space="0" w:color="auto"/>
              <w:bottom w:val="single" w:sz="4" w:space="0" w:color="auto"/>
              <w:right w:val="single" w:sz="4" w:space="0" w:color="auto"/>
            </w:tcBorders>
            <w:vAlign w:val="center"/>
            <w:hideMark/>
          </w:tcPr>
          <w:p w14:paraId="7B5169BB" w14:textId="77777777" w:rsidR="00D65517" w:rsidRDefault="00D65517">
            <w:pPr>
              <w:jc w:val="center"/>
              <w:rPr>
                <w:szCs w:val="24"/>
                <w:lang w:eastAsia="lt-LT"/>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522909" w14:textId="77777777" w:rsidR="00D65517" w:rsidRDefault="00D65517">
            <w:pPr>
              <w:ind w:firstLine="60"/>
              <w:jc w:val="center"/>
              <w:rPr>
                <w:szCs w:val="24"/>
                <w:lang w:eastAsia="lt-LT"/>
              </w:rPr>
            </w:pPr>
          </w:p>
        </w:tc>
        <w:tc>
          <w:tcPr>
            <w:tcW w:w="1170"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53FD3315" w14:textId="77777777" w:rsidR="00D65517" w:rsidRDefault="00D65517">
            <w:pPr>
              <w:ind w:firstLine="60"/>
              <w:jc w:val="center"/>
              <w:rPr>
                <w:szCs w:val="24"/>
                <w:lang w:eastAsia="lt-LT"/>
              </w:rPr>
            </w:pP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39D8D5D" w14:textId="77777777" w:rsidR="00D65517" w:rsidRDefault="00A0522B">
            <w:pPr>
              <w:jc w:val="center"/>
              <w:rPr>
                <w:szCs w:val="24"/>
              </w:rPr>
            </w:pPr>
            <w:r>
              <w:t>≥ 10 000</w:t>
            </w:r>
          </w:p>
        </w:tc>
        <w:tc>
          <w:tcPr>
            <w:tcW w:w="234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E44EF5E" w14:textId="77777777" w:rsidR="00D65517" w:rsidRDefault="00A0522B">
            <w:pPr>
              <w:rPr>
                <w:szCs w:val="24"/>
              </w:rPr>
            </w:pPr>
            <w:r>
              <w:t xml:space="preserve">dans les réservoirs hors sol au point d’éclair des liquides stockés dans ceux-ci jusqu’à 120 °C </w:t>
            </w:r>
          </w:p>
          <w:p w14:paraId="759FC708" w14:textId="77777777" w:rsidR="00D65517" w:rsidRDefault="00D65517">
            <w:pPr>
              <w:rPr>
                <w:szCs w:val="24"/>
              </w:rPr>
            </w:pPr>
          </w:p>
        </w:tc>
      </w:tr>
      <w:tr w:rsidR="00D65517" w14:paraId="4497569F" w14:textId="77777777">
        <w:trPr>
          <w:trHeight w:val="630"/>
        </w:trPr>
        <w:tc>
          <w:tcPr>
            <w:tcW w:w="0" w:type="auto"/>
            <w:vMerge/>
            <w:tcBorders>
              <w:top w:val="single" w:sz="8" w:space="0" w:color="auto"/>
              <w:left w:val="single" w:sz="8" w:space="0" w:color="auto"/>
              <w:bottom w:val="single" w:sz="4" w:space="0" w:color="auto"/>
              <w:right w:val="single" w:sz="4" w:space="0" w:color="auto"/>
            </w:tcBorders>
            <w:vAlign w:val="center"/>
            <w:hideMark/>
          </w:tcPr>
          <w:p w14:paraId="51D6C49D" w14:textId="77777777" w:rsidR="00D65517" w:rsidRDefault="00D65517">
            <w:pPr>
              <w:rPr>
                <w:szCs w:val="24"/>
                <w:lang w:eastAsia="lt-LT"/>
              </w:rPr>
            </w:pPr>
          </w:p>
        </w:tc>
        <w:tc>
          <w:tcPr>
            <w:tcW w:w="3101" w:type="dxa"/>
            <w:vMerge/>
            <w:tcBorders>
              <w:top w:val="single" w:sz="4" w:space="0" w:color="auto"/>
              <w:left w:val="single" w:sz="4" w:space="0" w:color="auto"/>
              <w:bottom w:val="single" w:sz="4" w:space="0" w:color="auto"/>
              <w:right w:val="single" w:sz="4" w:space="0" w:color="auto"/>
            </w:tcBorders>
            <w:vAlign w:val="center"/>
            <w:hideMark/>
          </w:tcPr>
          <w:p w14:paraId="37419D7E" w14:textId="77777777" w:rsidR="00D65517" w:rsidRDefault="00D65517">
            <w:pPr>
              <w:jc w:val="center"/>
              <w:rPr>
                <w:szCs w:val="24"/>
                <w:lang w:eastAsia="lt-LT"/>
              </w:rPr>
            </w:pPr>
          </w:p>
        </w:tc>
        <w:tc>
          <w:tcPr>
            <w:tcW w:w="135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B43B82C" w14:textId="77777777" w:rsidR="00D65517" w:rsidRDefault="00A0522B">
            <w:pPr>
              <w:jc w:val="center"/>
              <w:rPr>
                <w:szCs w:val="24"/>
              </w:rPr>
            </w:pPr>
            <w:r>
              <w:t>(≥ 100)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FD622D" w14:textId="77777777" w:rsidR="00D65517" w:rsidRDefault="00D65517">
            <w:pPr>
              <w:ind w:firstLine="60"/>
              <w:jc w:val="center"/>
              <w:rPr>
                <w:szCs w:val="24"/>
                <w:lang w:eastAsia="lt-LT"/>
              </w:rPr>
            </w:pP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AC2B4B" w14:textId="77777777" w:rsidR="00D65517" w:rsidRDefault="00D65517">
            <w:pPr>
              <w:ind w:firstLine="60"/>
              <w:jc w:val="center"/>
              <w:rPr>
                <w:szCs w:val="24"/>
                <w:lang w:eastAsia="lt-LT"/>
              </w:rPr>
            </w:pP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05B902" w14:textId="77777777" w:rsidR="00D65517" w:rsidRDefault="00A0522B">
            <w:pPr>
              <w:rPr>
                <w:szCs w:val="24"/>
              </w:rPr>
            </w:pPr>
            <w:r>
              <w:t>dans les stations de pompage pour liquides inflammables et hautement inflammables</w:t>
            </w:r>
          </w:p>
        </w:tc>
      </w:tr>
      <w:tr w:rsidR="00D65517" w14:paraId="5DB2B1BE" w14:textId="77777777">
        <w:trPr>
          <w:trHeight w:val="630"/>
        </w:trPr>
        <w:tc>
          <w:tcPr>
            <w:tcW w:w="0" w:type="auto"/>
            <w:vMerge w:val="restart"/>
            <w:tcBorders>
              <w:top w:val="single" w:sz="4" w:space="0" w:color="auto"/>
              <w:left w:val="single" w:sz="8" w:space="0" w:color="auto"/>
              <w:right w:val="single" w:sz="8" w:space="0" w:color="auto"/>
            </w:tcBorders>
            <w:vAlign w:val="center"/>
          </w:tcPr>
          <w:p w14:paraId="7CE2E3E1" w14:textId="77777777" w:rsidR="00D65517" w:rsidRDefault="00A0522B">
            <w:pPr>
              <w:jc w:val="center"/>
              <w:rPr>
                <w:szCs w:val="24"/>
              </w:rPr>
            </w:pPr>
            <w:r>
              <w:t>2.2.</w:t>
            </w:r>
          </w:p>
        </w:tc>
        <w:tc>
          <w:tcPr>
            <w:tcW w:w="3101" w:type="dxa"/>
            <w:vMerge w:val="restart"/>
            <w:tcBorders>
              <w:top w:val="single" w:sz="4" w:space="0" w:color="auto"/>
              <w:left w:val="nil"/>
              <w:right w:val="single" w:sz="8" w:space="0" w:color="auto"/>
            </w:tcBorders>
            <w:vAlign w:val="center"/>
          </w:tcPr>
          <w:p w14:paraId="274D31F1" w14:textId="77777777" w:rsidR="00D65517" w:rsidRDefault="00A0522B">
            <w:pPr>
              <w:jc w:val="center"/>
              <w:rPr>
                <w:szCs w:val="24"/>
              </w:rPr>
            </w:pPr>
            <w:r>
              <w:t>réseaux électriques</w:t>
            </w:r>
          </w:p>
        </w:tc>
        <w:tc>
          <w:tcPr>
            <w:tcW w:w="1350"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5781A020" w14:textId="77777777" w:rsidR="00D65517" w:rsidRDefault="00D65517">
            <w:pPr>
              <w:jc w:val="center"/>
              <w:rPr>
                <w:szCs w:val="24"/>
                <w:lang w:eastAsia="lt-LT"/>
              </w:rPr>
            </w:pPr>
          </w:p>
        </w:tc>
        <w:tc>
          <w:tcPr>
            <w:tcW w:w="117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2E8C099" w14:textId="77777777" w:rsidR="00D65517" w:rsidRDefault="00D65517">
            <w:pPr>
              <w:ind w:firstLine="60"/>
              <w:jc w:val="center"/>
              <w:rPr>
                <w:szCs w:val="24"/>
                <w:lang w:eastAsia="lt-LT"/>
              </w:rPr>
            </w:pPr>
          </w:p>
        </w:tc>
        <w:tc>
          <w:tcPr>
            <w:tcW w:w="108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631604F" w14:textId="77777777" w:rsidR="00D65517" w:rsidRDefault="00D65517">
            <w:pPr>
              <w:ind w:firstLine="60"/>
              <w:jc w:val="center"/>
              <w:rPr>
                <w:szCs w:val="24"/>
                <w:lang w:eastAsia="lt-LT"/>
              </w:rPr>
            </w:pPr>
          </w:p>
        </w:tc>
        <w:tc>
          <w:tcPr>
            <w:tcW w:w="234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F488F6A" w14:textId="77777777" w:rsidR="00D65517" w:rsidRDefault="00A0522B">
            <w:pPr>
              <w:rPr>
                <w:szCs w:val="24"/>
              </w:rPr>
            </w:pPr>
            <w:r>
              <w:t>dans les puits de câbles verticaux pour câbles d’une tension supérieure à 1 000 V et d’une charge d’incendie supérieure à 1 200 MJ/m2</w:t>
            </w:r>
          </w:p>
        </w:tc>
      </w:tr>
      <w:tr w:rsidR="00D65517" w14:paraId="67EBDCED" w14:textId="77777777">
        <w:trPr>
          <w:trHeight w:val="630"/>
        </w:trPr>
        <w:tc>
          <w:tcPr>
            <w:tcW w:w="0" w:type="auto"/>
            <w:vMerge/>
            <w:tcBorders>
              <w:left w:val="single" w:sz="8" w:space="0" w:color="auto"/>
              <w:right w:val="single" w:sz="8" w:space="0" w:color="auto"/>
            </w:tcBorders>
            <w:vAlign w:val="center"/>
          </w:tcPr>
          <w:p w14:paraId="2B59B6DE" w14:textId="77777777" w:rsidR="00D65517" w:rsidRDefault="00D65517">
            <w:pPr>
              <w:rPr>
                <w:szCs w:val="24"/>
                <w:lang w:eastAsia="lt-LT"/>
              </w:rPr>
            </w:pPr>
          </w:p>
        </w:tc>
        <w:tc>
          <w:tcPr>
            <w:tcW w:w="3101" w:type="dxa"/>
            <w:vMerge/>
            <w:tcBorders>
              <w:left w:val="nil"/>
              <w:right w:val="single" w:sz="8" w:space="0" w:color="auto"/>
            </w:tcBorders>
            <w:vAlign w:val="center"/>
          </w:tcPr>
          <w:p w14:paraId="2BC92B41" w14:textId="77777777" w:rsidR="00D65517" w:rsidRDefault="00D65517">
            <w:pPr>
              <w:jc w:val="center"/>
              <w:rPr>
                <w:szCs w:val="24"/>
                <w:lang w:eastAsia="lt-LT"/>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F8D36D3" w14:textId="77777777" w:rsidR="00D65517" w:rsidRDefault="00D65517">
            <w:pPr>
              <w:jc w:val="center"/>
              <w:rPr>
                <w:szCs w:val="24"/>
                <w:lang w:eastAsia="lt-LT"/>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7D312A" w14:textId="77777777" w:rsidR="00D65517" w:rsidRDefault="00D65517">
            <w:pPr>
              <w:ind w:firstLine="60"/>
              <w:jc w:val="center"/>
              <w:rPr>
                <w:szCs w:val="24"/>
                <w:lang w:eastAsia="lt-LT"/>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D40368" w14:textId="77777777" w:rsidR="00D65517" w:rsidRDefault="00D65517">
            <w:pPr>
              <w:ind w:firstLine="60"/>
              <w:jc w:val="center"/>
              <w:rPr>
                <w:szCs w:val="24"/>
                <w:lang w:eastAsia="lt-LT"/>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37CE1" w14:textId="77777777" w:rsidR="00D65517" w:rsidRDefault="00A0522B">
            <w:pPr>
              <w:rPr>
                <w:szCs w:val="24"/>
              </w:rPr>
            </w:pPr>
            <w:r>
              <w:t xml:space="preserve">dans les tunnels de câbles horizontaux pour câbles d’une tension supérieure à 1 000 V et d’une charge incendie supérieure à 1 200 MJ/m2 </w:t>
            </w:r>
          </w:p>
          <w:p w14:paraId="7D2AA43E" w14:textId="77777777" w:rsidR="00D65517" w:rsidRDefault="00A0522B">
            <w:pPr>
              <w:rPr>
                <w:szCs w:val="24"/>
              </w:rPr>
            </w:pPr>
            <w:r>
              <w:t xml:space="preserve"> </w:t>
            </w:r>
          </w:p>
        </w:tc>
      </w:tr>
      <w:tr w:rsidR="00D65517" w14:paraId="42A162AA" w14:textId="77777777">
        <w:trPr>
          <w:trHeight w:val="630"/>
        </w:trPr>
        <w:tc>
          <w:tcPr>
            <w:tcW w:w="0" w:type="auto"/>
            <w:vMerge/>
            <w:tcBorders>
              <w:left w:val="single" w:sz="8" w:space="0" w:color="auto"/>
              <w:right w:val="single" w:sz="8" w:space="0" w:color="auto"/>
            </w:tcBorders>
            <w:vAlign w:val="center"/>
          </w:tcPr>
          <w:p w14:paraId="5E875A6B" w14:textId="77777777" w:rsidR="00D65517" w:rsidRDefault="00D65517">
            <w:pPr>
              <w:rPr>
                <w:szCs w:val="24"/>
                <w:lang w:eastAsia="lt-LT"/>
              </w:rPr>
            </w:pPr>
          </w:p>
        </w:tc>
        <w:tc>
          <w:tcPr>
            <w:tcW w:w="3101" w:type="dxa"/>
            <w:vMerge/>
            <w:tcBorders>
              <w:left w:val="nil"/>
              <w:right w:val="single" w:sz="8" w:space="0" w:color="auto"/>
            </w:tcBorders>
            <w:vAlign w:val="center"/>
          </w:tcPr>
          <w:p w14:paraId="09A4B169" w14:textId="77777777" w:rsidR="00D65517" w:rsidRDefault="00D65517">
            <w:pPr>
              <w:jc w:val="center"/>
              <w:rPr>
                <w:szCs w:val="24"/>
                <w:lang w:eastAsia="lt-LT"/>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E36CA43" w14:textId="77777777" w:rsidR="00D65517" w:rsidRDefault="00D65517">
            <w:pPr>
              <w:jc w:val="center"/>
              <w:rPr>
                <w:szCs w:val="24"/>
                <w:lang w:eastAsia="lt-LT"/>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FA19E5" w14:textId="77777777" w:rsidR="00D65517" w:rsidRDefault="00D65517">
            <w:pPr>
              <w:ind w:firstLine="60"/>
              <w:jc w:val="center"/>
              <w:rPr>
                <w:szCs w:val="24"/>
                <w:lang w:eastAsia="lt-LT"/>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C050D1" w14:textId="77777777" w:rsidR="00D65517" w:rsidRDefault="00D65517">
            <w:pPr>
              <w:ind w:firstLine="60"/>
              <w:jc w:val="center"/>
              <w:rPr>
                <w:szCs w:val="24"/>
                <w:lang w:eastAsia="lt-LT"/>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E9279C" w14:textId="77777777" w:rsidR="00D65517" w:rsidRDefault="00A0522B">
            <w:pPr>
              <w:rPr>
                <w:szCs w:val="24"/>
              </w:rPr>
            </w:pPr>
            <w:r>
              <w:t>pour l’extinction des hydrogénérateurs et des compensateurs synchrones refroidis par air dans les centrales hydroélectriques automatisées</w:t>
            </w:r>
          </w:p>
        </w:tc>
      </w:tr>
      <w:tr w:rsidR="00D65517" w14:paraId="0CF3077F" w14:textId="77777777">
        <w:trPr>
          <w:trHeight w:val="48"/>
        </w:trPr>
        <w:tc>
          <w:tcPr>
            <w:tcW w:w="0" w:type="auto"/>
            <w:vMerge/>
            <w:tcBorders>
              <w:left w:val="single" w:sz="8" w:space="0" w:color="auto"/>
              <w:bottom w:val="single" w:sz="4" w:space="0" w:color="auto"/>
              <w:right w:val="single" w:sz="8" w:space="0" w:color="auto"/>
            </w:tcBorders>
            <w:vAlign w:val="center"/>
          </w:tcPr>
          <w:p w14:paraId="4452E92D" w14:textId="77777777" w:rsidR="00D65517" w:rsidRDefault="00D65517">
            <w:pPr>
              <w:rPr>
                <w:szCs w:val="24"/>
                <w:lang w:eastAsia="lt-LT"/>
              </w:rPr>
            </w:pPr>
          </w:p>
        </w:tc>
        <w:tc>
          <w:tcPr>
            <w:tcW w:w="3101" w:type="dxa"/>
            <w:vMerge/>
            <w:tcBorders>
              <w:left w:val="nil"/>
              <w:bottom w:val="single" w:sz="4" w:space="0" w:color="auto"/>
              <w:right w:val="single" w:sz="8" w:space="0" w:color="auto"/>
            </w:tcBorders>
            <w:vAlign w:val="center"/>
          </w:tcPr>
          <w:p w14:paraId="3BC83FE2" w14:textId="77777777" w:rsidR="00D65517" w:rsidRDefault="00D65517">
            <w:pPr>
              <w:jc w:val="center"/>
              <w:rPr>
                <w:szCs w:val="24"/>
                <w:lang w:eastAsia="lt-LT"/>
              </w:rPr>
            </w:pPr>
          </w:p>
        </w:tc>
        <w:tc>
          <w:tcPr>
            <w:tcW w:w="1350"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0C47A775" w14:textId="77777777" w:rsidR="00D65517" w:rsidRDefault="00D65517">
            <w:pPr>
              <w:jc w:val="center"/>
              <w:rPr>
                <w:szCs w:val="24"/>
                <w:lang w:eastAsia="lt-LT"/>
              </w:rPr>
            </w:pPr>
          </w:p>
        </w:tc>
        <w:tc>
          <w:tcPr>
            <w:tcW w:w="1170" w:type="dxa"/>
            <w:tcBorders>
              <w:top w:val="nil"/>
              <w:left w:val="nil"/>
              <w:bottom w:val="single" w:sz="4" w:space="0" w:color="auto"/>
              <w:right w:val="single" w:sz="8" w:space="0" w:color="auto"/>
            </w:tcBorders>
            <w:tcMar>
              <w:top w:w="0" w:type="dxa"/>
              <w:left w:w="108" w:type="dxa"/>
              <w:bottom w:w="0" w:type="dxa"/>
              <w:right w:w="108" w:type="dxa"/>
            </w:tcMar>
            <w:vAlign w:val="center"/>
          </w:tcPr>
          <w:p w14:paraId="33EFEBA0" w14:textId="77777777" w:rsidR="00D65517" w:rsidRDefault="00D65517">
            <w:pPr>
              <w:ind w:firstLine="60"/>
              <w:jc w:val="center"/>
              <w:rPr>
                <w:szCs w:val="24"/>
                <w:lang w:eastAsia="lt-LT"/>
              </w:rPr>
            </w:pP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tcPr>
          <w:p w14:paraId="162F34D7" w14:textId="77777777" w:rsidR="00D65517" w:rsidRDefault="00D65517">
            <w:pPr>
              <w:ind w:firstLine="60"/>
              <w:jc w:val="center"/>
              <w:rPr>
                <w:szCs w:val="24"/>
                <w:lang w:eastAsia="lt-LT"/>
              </w:rPr>
            </w:pPr>
          </w:p>
        </w:tc>
        <w:tc>
          <w:tcPr>
            <w:tcW w:w="2340" w:type="dxa"/>
            <w:tcBorders>
              <w:top w:val="nil"/>
              <w:left w:val="nil"/>
              <w:bottom w:val="single" w:sz="4" w:space="0" w:color="auto"/>
              <w:right w:val="single" w:sz="8" w:space="0" w:color="auto"/>
            </w:tcBorders>
            <w:tcMar>
              <w:top w:w="0" w:type="dxa"/>
              <w:left w:w="108" w:type="dxa"/>
              <w:bottom w:w="0" w:type="dxa"/>
              <w:right w:w="108" w:type="dxa"/>
            </w:tcMar>
            <w:vAlign w:val="center"/>
          </w:tcPr>
          <w:p w14:paraId="2C0ADC2C" w14:textId="77777777" w:rsidR="00D65517" w:rsidRDefault="00A0522B">
            <w:pPr>
              <w:rPr>
                <w:szCs w:val="24"/>
              </w:rPr>
            </w:pPr>
            <w:r>
              <w:t>dans les locaux situés au rez-de-chaussée des bâtiments de plus d’un étage contenant des installations de transformateurs, de poste de transformation ou d’onduleurs remplis d’hydrocarbures, lorsque la quantité totale d’hydrocarbures dépasse 10 tonnes;</w:t>
            </w:r>
          </w:p>
          <w:p w14:paraId="37AD4313" w14:textId="77777777" w:rsidR="00D65517" w:rsidRDefault="00A0522B">
            <w:pPr>
              <w:rPr>
                <w:szCs w:val="24"/>
              </w:rPr>
            </w:pPr>
            <w:r>
              <w:t xml:space="preserve">dans les locaux situés en dessous du rez-de-chaussée </w:t>
            </w:r>
            <w:r>
              <w:lastRenderedPageBreak/>
              <w:t>contenant des installations de transformateurs, de poste de transformation ou d’onduleurs remplis d’hydrocarbures, avec d’autres locaux situés au-dessus, lorsque la teneur totale en hydrocarbures est supérieure à 0,6 t</w:t>
            </w:r>
          </w:p>
        </w:tc>
      </w:tr>
      <w:tr w:rsidR="00D65517" w14:paraId="0331763B" w14:textId="77777777">
        <w:trPr>
          <w:trHeight w:val="295"/>
        </w:trPr>
        <w:tc>
          <w:tcPr>
            <w:tcW w:w="0" w:type="auto"/>
            <w:tcBorders>
              <w:top w:val="single" w:sz="4" w:space="0" w:color="auto"/>
              <w:left w:val="single" w:sz="4" w:space="0" w:color="auto"/>
              <w:bottom w:val="single" w:sz="4" w:space="0" w:color="auto"/>
              <w:right w:val="single" w:sz="4" w:space="0" w:color="auto"/>
            </w:tcBorders>
            <w:vAlign w:val="center"/>
          </w:tcPr>
          <w:p w14:paraId="62735393" w14:textId="77777777" w:rsidR="00D65517" w:rsidRDefault="00A0522B">
            <w:pPr>
              <w:jc w:val="center"/>
              <w:rPr>
                <w:szCs w:val="24"/>
              </w:rPr>
            </w:pPr>
            <w:r>
              <w:rPr>
                <w:color w:val="000000"/>
              </w:rPr>
              <w:lastRenderedPageBreak/>
              <w:t>3.</w:t>
            </w:r>
          </w:p>
        </w:tc>
        <w:tc>
          <w:tcPr>
            <w:tcW w:w="9041" w:type="dxa"/>
            <w:gridSpan w:val="5"/>
            <w:tcBorders>
              <w:top w:val="single" w:sz="4" w:space="0" w:color="auto"/>
              <w:left w:val="single" w:sz="4" w:space="0" w:color="auto"/>
              <w:bottom w:val="single" w:sz="4" w:space="0" w:color="auto"/>
              <w:right w:val="single" w:sz="4" w:space="0" w:color="auto"/>
            </w:tcBorders>
            <w:vAlign w:val="center"/>
          </w:tcPr>
          <w:p w14:paraId="7D5A1055" w14:textId="77777777" w:rsidR="00D65517" w:rsidRDefault="00A0522B">
            <w:pPr>
              <w:jc w:val="center"/>
              <w:rPr>
                <w:szCs w:val="24"/>
              </w:rPr>
            </w:pPr>
            <w:r>
              <w:t>Autres structures de génie civil</w:t>
            </w:r>
          </w:p>
        </w:tc>
      </w:tr>
      <w:tr w:rsidR="00D65517" w14:paraId="66313D76" w14:textId="77777777">
        <w:trPr>
          <w:trHeight w:val="630"/>
        </w:trPr>
        <w:tc>
          <w:tcPr>
            <w:tcW w:w="0" w:type="auto"/>
            <w:vMerge w:val="restart"/>
            <w:tcBorders>
              <w:top w:val="single" w:sz="4" w:space="0" w:color="auto"/>
              <w:left w:val="single" w:sz="8" w:space="0" w:color="auto"/>
              <w:right w:val="single" w:sz="8" w:space="0" w:color="auto"/>
            </w:tcBorders>
            <w:vAlign w:val="center"/>
          </w:tcPr>
          <w:p w14:paraId="1B9177E6" w14:textId="77777777" w:rsidR="00D65517" w:rsidRDefault="00D65517">
            <w:pPr>
              <w:rPr>
                <w:szCs w:val="24"/>
                <w:lang w:eastAsia="lt-LT"/>
              </w:rPr>
            </w:pPr>
          </w:p>
        </w:tc>
        <w:tc>
          <w:tcPr>
            <w:tcW w:w="3101" w:type="dxa"/>
            <w:vMerge w:val="restart"/>
            <w:tcBorders>
              <w:top w:val="single" w:sz="4" w:space="0" w:color="auto"/>
              <w:left w:val="nil"/>
              <w:right w:val="single" w:sz="8" w:space="0" w:color="auto"/>
            </w:tcBorders>
            <w:vAlign w:val="center"/>
          </w:tcPr>
          <w:p w14:paraId="36B16A74" w14:textId="77777777" w:rsidR="00D65517" w:rsidRDefault="00D65517">
            <w:pPr>
              <w:jc w:val="center"/>
              <w:rPr>
                <w:color w:val="000000"/>
                <w:szCs w:val="24"/>
              </w:rPr>
            </w:pPr>
          </w:p>
          <w:p w14:paraId="4F4DC1F3" w14:textId="77777777" w:rsidR="00D65517" w:rsidRDefault="00D65517">
            <w:pPr>
              <w:jc w:val="center"/>
              <w:rPr>
                <w:color w:val="000000"/>
                <w:szCs w:val="24"/>
              </w:rPr>
            </w:pPr>
          </w:p>
          <w:p w14:paraId="75167100" w14:textId="77777777" w:rsidR="00D65517" w:rsidRDefault="00D65517">
            <w:pPr>
              <w:jc w:val="center"/>
              <w:rPr>
                <w:color w:val="000000"/>
                <w:szCs w:val="24"/>
              </w:rPr>
            </w:pPr>
          </w:p>
          <w:p w14:paraId="78F9F226" w14:textId="77777777" w:rsidR="00D65517" w:rsidRDefault="00D65517">
            <w:pPr>
              <w:jc w:val="center"/>
              <w:rPr>
                <w:color w:val="000000"/>
                <w:szCs w:val="24"/>
              </w:rPr>
            </w:pPr>
          </w:p>
          <w:p w14:paraId="27CBA467" w14:textId="77777777" w:rsidR="00D65517" w:rsidRDefault="00D65517">
            <w:pPr>
              <w:jc w:val="center"/>
              <w:rPr>
                <w:color w:val="000000"/>
                <w:szCs w:val="24"/>
              </w:rPr>
            </w:pPr>
          </w:p>
          <w:p w14:paraId="4A6EBBFD" w14:textId="77777777" w:rsidR="00D65517" w:rsidRDefault="00D65517">
            <w:pPr>
              <w:jc w:val="center"/>
              <w:rPr>
                <w:color w:val="000000"/>
                <w:szCs w:val="24"/>
              </w:rPr>
            </w:pPr>
          </w:p>
          <w:p w14:paraId="152EB812" w14:textId="77777777" w:rsidR="00D65517" w:rsidRDefault="00D65517">
            <w:pPr>
              <w:jc w:val="center"/>
              <w:rPr>
                <w:color w:val="000000"/>
                <w:szCs w:val="24"/>
              </w:rPr>
            </w:pPr>
          </w:p>
          <w:p w14:paraId="3C58583E" w14:textId="77777777" w:rsidR="00D65517" w:rsidRDefault="00D65517">
            <w:pPr>
              <w:jc w:val="center"/>
              <w:rPr>
                <w:color w:val="000000"/>
                <w:szCs w:val="24"/>
              </w:rPr>
            </w:pPr>
          </w:p>
          <w:p w14:paraId="243E03DD" w14:textId="77777777" w:rsidR="00D65517" w:rsidRDefault="00D65517">
            <w:pPr>
              <w:jc w:val="center"/>
              <w:rPr>
                <w:color w:val="000000"/>
                <w:szCs w:val="24"/>
              </w:rPr>
            </w:pPr>
          </w:p>
          <w:p w14:paraId="7A26F7BE" w14:textId="77777777" w:rsidR="00D65517" w:rsidRDefault="00D65517">
            <w:pPr>
              <w:jc w:val="center"/>
              <w:rPr>
                <w:color w:val="000000"/>
                <w:szCs w:val="24"/>
              </w:rPr>
            </w:pPr>
          </w:p>
          <w:p w14:paraId="43FB38A6" w14:textId="77777777" w:rsidR="00D65517" w:rsidRDefault="00D65517">
            <w:pPr>
              <w:jc w:val="center"/>
              <w:rPr>
                <w:color w:val="000000"/>
                <w:szCs w:val="24"/>
              </w:rPr>
            </w:pPr>
          </w:p>
          <w:p w14:paraId="17B8FF44" w14:textId="77777777" w:rsidR="00D65517" w:rsidRDefault="00D65517">
            <w:pPr>
              <w:jc w:val="center"/>
              <w:rPr>
                <w:color w:val="000000"/>
                <w:szCs w:val="24"/>
              </w:rPr>
            </w:pPr>
          </w:p>
          <w:p w14:paraId="2F2587B4" w14:textId="77777777" w:rsidR="00D65517" w:rsidRDefault="00A0522B">
            <w:pPr>
              <w:jc w:val="center"/>
              <w:rPr>
                <w:szCs w:val="24"/>
              </w:rPr>
            </w:pPr>
            <w:r>
              <w:rPr>
                <w:color w:val="000000"/>
              </w:rPr>
              <w:t>structures de systèmes d’entreposage automatisées (Note 3)</w:t>
            </w:r>
          </w:p>
        </w:tc>
        <w:tc>
          <w:tcPr>
            <w:tcW w:w="1350" w:type="dxa"/>
            <w:vMerge w:val="restart"/>
            <w:tcBorders>
              <w:top w:val="single" w:sz="4" w:space="0" w:color="auto"/>
              <w:left w:val="nil"/>
              <w:right w:val="single" w:sz="4" w:space="0" w:color="auto"/>
            </w:tcBorders>
            <w:noWrap/>
            <w:tcMar>
              <w:top w:w="0" w:type="dxa"/>
              <w:left w:w="108" w:type="dxa"/>
              <w:bottom w:w="0" w:type="dxa"/>
              <w:right w:w="108" w:type="dxa"/>
            </w:tcMar>
            <w:vAlign w:val="center"/>
          </w:tcPr>
          <w:p w14:paraId="4DD3E07A" w14:textId="77777777" w:rsidR="00D65517" w:rsidRDefault="00D65517">
            <w:pPr>
              <w:jc w:val="center"/>
              <w:rPr>
                <w:color w:val="000000"/>
                <w:szCs w:val="24"/>
              </w:rPr>
            </w:pPr>
          </w:p>
          <w:p w14:paraId="54578B3A" w14:textId="77777777" w:rsidR="00D65517" w:rsidRDefault="00D65517">
            <w:pPr>
              <w:jc w:val="center"/>
              <w:rPr>
                <w:color w:val="000000"/>
                <w:szCs w:val="24"/>
              </w:rPr>
            </w:pPr>
          </w:p>
          <w:p w14:paraId="3D8500EB" w14:textId="77777777" w:rsidR="00D65517" w:rsidRDefault="00D65517">
            <w:pPr>
              <w:jc w:val="center"/>
              <w:rPr>
                <w:color w:val="000000"/>
                <w:szCs w:val="24"/>
              </w:rPr>
            </w:pPr>
          </w:p>
          <w:p w14:paraId="328110D6" w14:textId="77777777" w:rsidR="00D65517" w:rsidRDefault="00D65517">
            <w:pPr>
              <w:jc w:val="center"/>
              <w:rPr>
                <w:color w:val="000000"/>
                <w:szCs w:val="24"/>
              </w:rPr>
            </w:pPr>
          </w:p>
          <w:p w14:paraId="1C6FB6F0" w14:textId="77777777" w:rsidR="00D65517" w:rsidRDefault="00A0522B">
            <w:pPr>
              <w:jc w:val="center"/>
              <w:rPr>
                <w:szCs w:val="24"/>
              </w:rPr>
            </w:pPr>
            <w:r>
              <w:rPr>
                <w:color w:val="000000"/>
              </w:rPr>
              <w:t>(≥ 750)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C9DCD3" w14:textId="77777777" w:rsidR="00D65517" w:rsidRDefault="00D65517">
            <w:pPr>
              <w:ind w:firstLine="60"/>
              <w:jc w:val="center"/>
              <w:rPr>
                <w:szCs w:val="24"/>
                <w:lang w:eastAsia="lt-LT"/>
              </w:rPr>
            </w:pPr>
          </w:p>
        </w:tc>
        <w:tc>
          <w:tcPr>
            <w:tcW w:w="10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4F2930A4" w14:textId="77777777" w:rsidR="00D65517" w:rsidRDefault="00D65517">
            <w:pPr>
              <w:ind w:firstLine="60"/>
              <w:jc w:val="center"/>
              <w:rPr>
                <w:szCs w:val="24"/>
                <w:lang w:eastAsia="lt-LT"/>
              </w:rPr>
            </w:pPr>
          </w:p>
        </w:tc>
        <w:tc>
          <w:tcPr>
            <w:tcW w:w="234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A3BE0F0" w14:textId="77777777" w:rsidR="00D65517" w:rsidRDefault="00A0522B">
            <w:pPr>
              <w:rPr>
                <w:color w:val="000000"/>
                <w:szCs w:val="24"/>
              </w:rPr>
            </w:pPr>
            <w:r>
              <w:rPr>
                <w:color w:val="000000"/>
              </w:rPr>
              <w:t>structures classées dans les catégories Asg et Bsg en fonction du risque d’explosion ou d’incendie</w:t>
            </w:r>
          </w:p>
        </w:tc>
      </w:tr>
      <w:tr w:rsidR="00D65517" w14:paraId="33DC1D3E" w14:textId="77777777">
        <w:trPr>
          <w:trHeight w:val="630"/>
        </w:trPr>
        <w:tc>
          <w:tcPr>
            <w:tcW w:w="0" w:type="auto"/>
            <w:vMerge/>
            <w:tcBorders>
              <w:left w:val="single" w:sz="8" w:space="0" w:color="auto"/>
              <w:right w:val="single" w:sz="8" w:space="0" w:color="auto"/>
            </w:tcBorders>
            <w:vAlign w:val="center"/>
          </w:tcPr>
          <w:p w14:paraId="0A0FD5D3" w14:textId="77777777" w:rsidR="00D65517" w:rsidRDefault="00D65517">
            <w:pPr>
              <w:rPr>
                <w:szCs w:val="24"/>
                <w:lang w:eastAsia="lt-LT"/>
              </w:rPr>
            </w:pPr>
          </w:p>
        </w:tc>
        <w:tc>
          <w:tcPr>
            <w:tcW w:w="3101" w:type="dxa"/>
            <w:vMerge/>
            <w:tcBorders>
              <w:left w:val="nil"/>
              <w:right w:val="single" w:sz="8" w:space="0" w:color="auto"/>
            </w:tcBorders>
            <w:vAlign w:val="center"/>
          </w:tcPr>
          <w:p w14:paraId="1C8AC018" w14:textId="77777777" w:rsidR="00D65517" w:rsidRDefault="00D65517">
            <w:pPr>
              <w:jc w:val="center"/>
              <w:rPr>
                <w:szCs w:val="24"/>
                <w:lang w:eastAsia="lt-LT"/>
              </w:rPr>
            </w:pPr>
          </w:p>
        </w:tc>
        <w:tc>
          <w:tcPr>
            <w:tcW w:w="1350" w:type="dxa"/>
            <w:vMerge/>
            <w:tcBorders>
              <w:left w:val="nil"/>
              <w:bottom w:val="single" w:sz="8" w:space="0" w:color="auto"/>
              <w:right w:val="single" w:sz="4" w:space="0" w:color="auto"/>
            </w:tcBorders>
            <w:noWrap/>
            <w:tcMar>
              <w:top w:w="0" w:type="dxa"/>
              <w:left w:w="108" w:type="dxa"/>
              <w:bottom w:w="0" w:type="dxa"/>
              <w:right w:w="108" w:type="dxa"/>
            </w:tcMar>
            <w:vAlign w:val="center"/>
          </w:tcPr>
          <w:p w14:paraId="11F8144A" w14:textId="77777777" w:rsidR="00D65517" w:rsidRDefault="00D65517">
            <w:pPr>
              <w:jc w:val="center"/>
              <w:rPr>
                <w:szCs w:val="24"/>
                <w:lang w:eastAsia="lt-LT"/>
              </w:rPr>
            </w:pPr>
          </w:p>
        </w:tc>
        <w:tc>
          <w:tcPr>
            <w:tcW w:w="1170"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52F1DDE" w14:textId="77777777" w:rsidR="00D65517" w:rsidRDefault="00D65517">
            <w:pPr>
              <w:ind w:firstLine="60"/>
              <w:jc w:val="center"/>
              <w:rPr>
                <w:szCs w:val="24"/>
                <w:lang w:eastAsia="lt-LT"/>
              </w:rPr>
            </w:pPr>
          </w:p>
        </w:tc>
        <w:tc>
          <w:tcPr>
            <w:tcW w:w="108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2B99B653" w14:textId="77777777" w:rsidR="00D65517" w:rsidRDefault="00D65517">
            <w:pPr>
              <w:ind w:firstLine="60"/>
              <w:jc w:val="center"/>
              <w:rPr>
                <w:szCs w:val="24"/>
                <w:lang w:eastAsia="lt-LT"/>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F45E8D" w14:textId="77777777" w:rsidR="00D65517" w:rsidRDefault="00A0522B">
            <w:pPr>
              <w:rPr>
                <w:color w:val="000000"/>
                <w:szCs w:val="24"/>
              </w:rPr>
            </w:pPr>
            <w:r>
              <w:rPr>
                <w:color w:val="000000"/>
              </w:rPr>
              <w:t>stockage et entreposage de latex, de caoutchouc ou de produits dérivés, produits pharmaceutiques et réactifs, pétrole et produits dérivés dans des conteneurs, et notamment de liquides inflammables, hautement inflammables et combustibles</w:t>
            </w:r>
          </w:p>
        </w:tc>
      </w:tr>
      <w:tr w:rsidR="00D65517" w14:paraId="2D1360A4" w14:textId="77777777">
        <w:trPr>
          <w:trHeight w:val="630"/>
        </w:trPr>
        <w:tc>
          <w:tcPr>
            <w:tcW w:w="0" w:type="auto"/>
            <w:vMerge/>
            <w:tcBorders>
              <w:left w:val="single" w:sz="8" w:space="0" w:color="auto"/>
              <w:right w:val="single" w:sz="8" w:space="0" w:color="auto"/>
            </w:tcBorders>
            <w:vAlign w:val="center"/>
          </w:tcPr>
          <w:p w14:paraId="1E5A9B15" w14:textId="77777777" w:rsidR="00D65517" w:rsidRDefault="00D65517">
            <w:pPr>
              <w:rPr>
                <w:szCs w:val="24"/>
                <w:lang w:eastAsia="lt-LT"/>
              </w:rPr>
            </w:pPr>
          </w:p>
        </w:tc>
        <w:tc>
          <w:tcPr>
            <w:tcW w:w="3101" w:type="dxa"/>
            <w:vMerge/>
            <w:tcBorders>
              <w:left w:val="nil"/>
              <w:right w:val="single" w:sz="8" w:space="0" w:color="auto"/>
            </w:tcBorders>
            <w:vAlign w:val="center"/>
          </w:tcPr>
          <w:p w14:paraId="14FC3A04" w14:textId="77777777" w:rsidR="00D65517" w:rsidRDefault="00D65517">
            <w:pPr>
              <w:rPr>
                <w:szCs w:val="24"/>
                <w:lang w:eastAsia="lt-LT"/>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B4A6693" w14:textId="77777777" w:rsidR="00D65517" w:rsidRDefault="00A0522B">
            <w:pPr>
              <w:jc w:val="center"/>
              <w:rPr>
                <w:szCs w:val="24"/>
              </w:rPr>
            </w:pPr>
            <w:r>
              <w:rPr>
                <w:color w:val="000000"/>
              </w:rPr>
              <w:t>≥ 2 000</w:t>
            </w:r>
          </w:p>
        </w:tc>
        <w:tc>
          <w:tcPr>
            <w:tcW w:w="117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04DD4F1" w14:textId="77777777" w:rsidR="00D65517" w:rsidRDefault="00D65517">
            <w:pPr>
              <w:ind w:firstLine="60"/>
              <w:jc w:val="center"/>
              <w:rPr>
                <w:szCs w:val="24"/>
                <w:lang w:eastAsia="lt-LT"/>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EFC97" w14:textId="77777777" w:rsidR="00D65517" w:rsidRDefault="00D65517">
            <w:pPr>
              <w:ind w:firstLine="60"/>
              <w:jc w:val="center"/>
              <w:rPr>
                <w:szCs w:val="24"/>
                <w:lang w:eastAsia="lt-LT"/>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CFAED" w14:textId="77777777" w:rsidR="00D65517" w:rsidRDefault="00A0522B">
            <w:pPr>
              <w:rPr>
                <w:color w:val="000000"/>
                <w:szCs w:val="24"/>
              </w:rPr>
            </w:pPr>
            <w:r>
              <w:rPr>
                <w:color w:val="000000"/>
              </w:rPr>
              <w:t>les constructions sont classées dans la catégorie Cg en fonction du risque d’explosion ou d’incendie.</w:t>
            </w:r>
          </w:p>
        </w:tc>
      </w:tr>
      <w:tr w:rsidR="00D65517" w14:paraId="4733F9C4" w14:textId="77777777">
        <w:trPr>
          <w:trHeight w:val="630"/>
        </w:trPr>
        <w:tc>
          <w:tcPr>
            <w:tcW w:w="0" w:type="auto"/>
            <w:vMerge/>
            <w:tcBorders>
              <w:left w:val="single" w:sz="8" w:space="0" w:color="auto"/>
              <w:bottom w:val="single" w:sz="8" w:space="0" w:color="auto"/>
              <w:right w:val="single" w:sz="8" w:space="0" w:color="auto"/>
            </w:tcBorders>
            <w:vAlign w:val="center"/>
          </w:tcPr>
          <w:p w14:paraId="5B6F47DF" w14:textId="77777777" w:rsidR="00D65517" w:rsidRDefault="00D65517">
            <w:pPr>
              <w:rPr>
                <w:szCs w:val="24"/>
                <w:lang w:eastAsia="lt-LT"/>
              </w:rPr>
            </w:pPr>
          </w:p>
        </w:tc>
        <w:tc>
          <w:tcPr>
            <w:tcW w:w="3101" w:type="dxa"/>
            <w:vMerge/>
            <w:tcBorders>
              <w:left w:val="nil"/>
              <w:bottom w:val="single" w:sz="8" w:space="0" w:color="auto"/>
              <w:right w:val="single" w:sz="8" w:space="0" w:color="auto"/>
            </w:tcBorders>
            <w:vAlign w:val="center"/>
          </w:tcPr>
          <w:p w14:paraId="57251D1D" w14:textId="77777777" w:rsidR="00D65517" w:rsidRDefault="00D65517">
            <w:pPr>
              <w:rPr>
                <w:szCs w:val="24"/>
                <w:lang w:eastAsia="lt-LT"/>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5DAB8FA" w14:textId="77777777" w:rsidR="00D65517" w:rsidRDefault="00A0522B">
            <w:pPr>
              <w:jc w:val="center"/>
              <w:rPr>
                <w:szCs w:val="24"/>
              </w:rPr>
            </w:pPr>
            <w:r>
              <w:rPr>
                <w:color w:val="000000"/>
              </w:rPr>
              <w:t>(≥ 250)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F727AF" w14:textId="77777777" w:rsidR="00D65517" w:rsidRDefault="00D65517">
            <w:pPr>
              <w:ind w:firstLine="60"/>
              <w:jc w:val="center"/>
              <w:rPr>
                <w:szCs w:val="24"/>
                <w:lang w:eastAsia="lt-LT"/>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EBA4EC0" w14:textId="77777777" w:rsidR="00D65517" w:rsidRDefault="00D65517">
            <w:pPr>
              <w:ind w:firstLine="60"/>
              <w:jc w:val="center"/>
              <w:rPr>
                <w:szCs w:val="24"/>
                <w:lang w:eastAsia="lt-LT"/>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6BDE10" w14:textId="77777777" w:rsidR="00D65517" w:rsidRDefault="00A0522B">
            <w:pPr>
              <w:rPr>
                <w:color w:val="000000"/>
                <w:szCs w:val="24"/>
              </w:rPr>
            </w:pPr>
            <w:r>
              <w:rPr>
                <w:color w:val="000000"/>
              </w:rPr>
              <w:t xml:space="preserve">les structures sont classées dans les catégories Asg, Bsg et Cg en fonction du risque d’explosion ou d’incendie, et la production et les matériaux sont </w:t>
            </w:r>
            <w:r>
              <w:rPr>
                <w:color w:val="000000"/>
              </w:rPr>
              <w:lastRenderedPageBreak/>
              <w:t xml:space="preserve">stockés dans des rayonnages où la hauteur de stockage de la production et des matériaux par rapport au sol est supérieure à 5,5 m. </w:t>
            </w:r>
          </w:p>
          <w:p w14:paraId="7132DC22" w14:textId="77777777" w:rsidR="00D65517" w:rsidRDefault="00D65517">
            <w:pPr>
              <w:rPr>
                <w:color w:val="000000"/>
                <w:szCs w:val="24"/>
              </w:rPr>
            </w:pPr>
          </w:p>
        </w:tc>
      </w:tr>
    </w:tbl>
    <w:p w14:paraId="30019FF5" w14:textId="77777777" w:rsidR="00D65517" w:rsidRDefault="00D65517"/>
    <w:p w14:paraId="496245FB" w14:textId="77777777" w:rsidR="00D65517" w:rsidRDefault="00A0522B">
      <w:pPr>
        <w:spacing w:line="276" w:lineRule="auto"/>
        <w:ind w:firstLine="744"/>
        <w:jc w:val="both"/>
        <w:rPr>
          <w:b/>
          <w:bCs/>
          <w:color w:val="000000"/>
          <w:szCs w:val="24"/>
        </w:rPr>
      </w:pPr>
      <w:r>
        <w:rPr>
          <w:b/>
          <w:color w:val="000000"/>
        </w:rPr>
        <w:t>Remarques:</w:t>
      </w:r>
    </w:p>
    <w:p w14:paraId="5A238F11" w14:textId="77777777" w:rsidR="00D65517" w:rsidRDefault="00A0522B">
      <w:pPr>
        <w:spacing w:line="276" w:lineRule="auto"/>
        <w:ind w:right="15" w:firstLine="720"/>
        <w:jc w:val="both"/>
        <w:rPr>
          <w:color w:val="000000"/>
          <w:szCs w:val="24"/>
        </w:rPr>
      </w:pPr>
      <w:r>
        <w:rPr>
          <w:color w:val="000000"/>
        </w:rPr>
        <w:t>1. Lors de la détermination de la nécessité du système SFE, tous les indicateurs d’une seule ligne sont évalués.</w:t>
      </w:r>
    </w:p>
    <w:p w14:paraId="213453B2" w14:textId="77777777" w:rsidR="00D65517" w:rsidRDefault="00A0522B">
      <w:pPr>
        <w:spacing w:line="276" w:lineRule="auto"/>
        <w:ind w:right="15" w:firstLine="720"/>
        <w:jc w:val="both"/>
        <w:rPr>
          <w:color w:val="000000"/>
          <w:szCs w:val="24"/>
        </w:rPr>
      </w:pPr>
      <w:r>
        <w:rPr>
          <w:color w:val="000000"/>
        </w:rPr>
        <w:t xml:space="preserve">2. </w:t>
      </w:r>
      <w:r>
        <w:t>La surface est mesurée par la zone de la zone bâtie ou la surface de projection du toit sur la surface du sol.</w:t>
      </w:r>
    </w:p>
    <w:p w14:paraId="6F7BA94E" w14:textId="77777777" w:rsidR="00D65517" w:rsidRDefault="00A0522B">
      <w:pPr>
        <w:spacing w:line="276" w:lineRule="auto"/>
        <w:ind w:right="15" w:firstLine="720"/>
        <w:jc w:val="both"/>
        <w:rPr>
          <w:color w:val="000000"/>
          <w:szCs w:val="24"/>
        </w:rPr>
      </w:pPr>
      <w:r>
        <w:rPr>
          <w:color w:val="000000"/>
        </w:rPr>
        <w:t xml:space="preserve">3. Pour les structures porteuses en acier des bâtiments destinés aux systèmes de stockage automatisés, et lorsque le stockage de produits et de matériaux doit être assuré dans des rayonnages en acier (étagères) dont les structures sont utilisées comme structures porteuses du bâtiment, les exigences en matière de résistance au feu sont celles définies dans les exigences fondamentales de sécurité incendie [15.6] </w:t>
      </w:r>
      <w:r>
        <w:t>ne sont pas obligatoires</w:t>
      </w:r>
      <w:r>
        <w:rPr>
          <w:color w:val="000000"/>
        </w:rPr>
        <w:t xml:space="preserve"> lorsque, conformément à la série LST EN 12845, des systèmes fixes d’extinction d’incendie sont installés entre les rayonnages et qu’une protection supplémentaire par gicleurs automatiques est assurée conformément à l’une des exigences spécifiées:</w:t>
      </w:r>
    </w:p>
    <w:p w14:paraId="761B06C6" w14:textId="77777777" w:rsidR="00D65517" w:rsidRDefault="00A0522B">
      <w:pPr>
        <w:spacing w:line="276" w:lineRule="auto"/>
        <w:ind w:right="15" w:firstLine="720"/>
        <w:jc w:val="both"/>
        <w:rPr>
          <w:color w:val="000000"/>
          <w:szCs w:val="24"/>
        </w:rPr>
      </w:pPr>
      <w:r>
        <w:t>a. les gicleurs latéraux à installer doivent être dirigés vers au moins un côté de la structure et doivent être espacés uniformément sur toute la hauteur de la structure, à des intervalles d’au moins 4,6 m du sol.</w:t>
      </w:r>
      <w:r>
        <w:rPr>
          <w:b/>
          <w:color w:val="000000"/>
        </w:rPr>
        <w:t xml:space="preserve"> </w:t>
      </w:r>
      <w:r>
        <w:rPr>
          <w:color w:val="000000"/>
        </w:rPr>
        <w:t xml:space="preserve">Dans ce cas, les gicleurs latéraux sont autorisés pour protéger les structures porteuses en acier des bâtiments de hauteur illimitée pour les systèmes de stockage automatisés; </w:t>
      </w:r>
    </w:p>
    <w:p w14:paraId="05DFDA70" w14:textId="77777777" w:rsidR="00D65517" w:rsidRDefault="00A0522B">
      <w:pPr>
        <w:spacing w:line="276" w:lineRule="auto"/>
        <w:ind w:right="15" w:firstLine="720"/>
        <w:jc w:val="both"/>
        <w:rPr>
          <w:color w:val="000000"/>
        </w:rPr>
      </w:pPr>
      <w:r>
        <w:t xml:space="preserve">b. les systèmes fixes d’extinction d’incendie doivent être installés au plafond avec des gicleurs ayant un </w:t>
      </w:r>
      <w:r>
        <w:rPr>
          <w:color w:val="000000"/>
        </w:rPr>
        <w:t>indice de température nominale</w:t>
      </w:r>
      <w:r>
        <w:t xml:space="preserve"> de 68 °C ou 79 °C,</w:t>
      </w:r>
      <w:r>
        <w:rPr>
          <w:color w:val="000000"/>
        </w:rPr>
        <w:t xml:space="preserve"> </w:t>
      </w:r>
      <w:r>
        <w:t xml:space="preserve">avec une superficie d’extinction d’incendie calculée minimale de 260 m². </w:t>
      </w:r>
      <w:r>
        <w:rPr>
          <w:color w:val="000000"/>
        </w:rPr>
        <w:t xml:space="preserve">Lorsque la hauteur de stockage des matériaux, calculée à partir du sol, est comprise entre 4,6 m et 6,1 m, </w:t>
      </w:r>
      <w:r>
        <w:t>les gicleurs peuvent avoir</w:t>
      </w:r>
      <w:r>
        <w:rPr>
          <w:color w:val="000000"/>
        </w:rPr>
        <w:t xml:space="preserve"> un indice de température nominale</w:t>
      </w:r>
      <w:r>
        <w:t xml:space="preserve"> </w:t>
      </w:r>
      <w:r>
        <w:rPr>
          <w:color w:val="000000"/>
        </w:rPr>
        <w:t xml:space="preserve">supérieure à 141 °C, calculée conformément </w:t>
      </w:r>
      <w:r>
        <w:t>aux paramètres de conception spécifiés au paragraphe 7.2 de la norme LST EN 12845:2015+A1:2020.</w:t>
      </w:r>
    </w:p>
    <w:p w14:paraId="77CB9B94" w14:textId="77777777" w:rsidR="00D65517" w:rsidRDefault="00A0522B" w:rsidP="00A0522B">
      <w:pPr>
        <w:spacing w:line="276" w:lineRule="auto"/>
        <w:ind w:right="15" w:firstLine="720"/>
        <w:jc w:val="both"/>
      </w:pPr>
      <w:r>
        <w:rPr>
          <w:color w:val="000000"/>
        </w:rPr>
        <w:t>c. les systèmes de gicleurs ESFR (Réponse rapide de suppression précoce)montés au plafond, oules systèmes de gicleurs CMSA(Application spécifique au mode de contrôle).</w:t>
      </w:r>
      <w:r>
        <w:rPr>
          <w:i/>
          <w:color w:val="000000"/>
        </w:rPr>
        <w:t xml:space="preserve">  </w:t>
      </w:r>
    </w:p>
    <w:p w14:paraId="591C7300" w14:textId="77777777" w:rsidR="00A0522B" w:rsidRDefault="00A0522B">
      <w:pPr>
        <w:tabs>
          <w:tab w:val="right" w:pos="9808"/>
        </w:tabs>
        <w:spacing w:line="20" w:lineRule="atLeast"/>
      </w:pPr>
    </w:p>
    <w:p w14:paraId="3374B91E" w14:textId="77777777" w:rsidR="00A0522B" w:rsidRDefault="00A0522B">
      <w:pPr>
        <w:tabs>
          <w:tab w:val="right" w:pos="9808"/>
        </w:tabs>
        <w:spacing w:line="20" w:lineRule="atLeast"/>
      </w:pPr>
    </w:p>
    <w:p w14:paraId="1FEE7FE1" w14:textId="77777777" w:rsidR="00A0522B" w:rsidRDefault="00A0522B">
      <w:pPr>
        <w:tabs>
          <w:tab w:val="right" w:pos="9808"/>
        </w:tabs>
        <w:spacing w:line="20" w:lineRule="atLeast"/>
      </w:pPr>
    </w:p>
    <w:p w14:paraId="1BAC9543" w14:textId="77777777" w:rsidR="00D65517" w:rsidRDefault="00A0522B">
      <w:pPr>
        <w:tabs>
          <w:tab w:val="right" w:pos="9808"/>
        </w:tabs>
        <w:spacing w:line="20" w:lineRule="atLeast"/>
        <w:rPr>
          <w:szCs w:val="24"/>
        </w:rPr>
      </w:pPr>
      <w:r>
        <w:t>Directeur</w:t>
      </w:r>
    </w:p>
    <w:p w14:paraId="46E6D97F" w14:textId="77777777" w:rsidR="00D65517" w:rsidRDefault="00A0522B" w:rsidP="00A0522B">
      <w:pPr>
        <w:tabs>
          <w:tab w:val="left" w:pos="7088"/>
          <w:tab w:val="left" w:pos="7513"/>
          <w:tab w:val="right" w:pos="9639"/>
        </w:tabs>
        <w:spacing w:line="20" w:lineRule="atLeast"/>
        <w:rPr>
          <w:b/>
          <w:bCs/>
          <w:color w:val="000000"/>
          <w:szCs w:val="24"/>
        </w:rPr>
      </w:pPr>
      <w:r>
        <w:t>général du service interne</w:t>
      </w:r>
      <w:r>
        <w:tab/>
      </w:r>
      <w:r>
        <w:tab/>
      </w:r>
      <w:r>
        <w:tab/>
        <w:t>Saulius Greičius</w:t>
      </w:r>
    </w:p>
    <w:sectPr w:rsidR="00D65517" w:rsidSect="00D314D7">
      <w:headerReference w:type="even" r:id="rId8"/>
      <w:headerReference w:type="default" r:id="rId9"/>
      <w:footerReference w:type="even" r:id="rId10"/>
      <w:footerReference w:type="default" r:id="rId11"/>
      <w:footerReference w:type="first" r:id="rId12"/>
      <w:pgSz w:w="11906" w:h="16838"/>
      <w:pgMar w:top="1560" w:right="562" w:bottom="1440" w:left="1699" w:header="283" w:footer="562"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090C8" w14:textId="77777777" w:rsidR="00DC4C10" w:rsidRDefault="00DC4C10">
      <w:r>
        <w:separator/>
      </w:r>
    </w:p>
  </w:endnote>
  <w:endnote w:type="continuationSeparator" w:id="0">
    <w:p w14:paraId="3D25D57E" w14:textId="77777777" w:rsidR="00DC4C10" w:rsidRDefault="00DC4C10">
      <w:r>
        <w:continuationSeparator/>
      </w:r>
    </w:p>
  </w:endnote>
  <w:endnote w:type="continuationNotice" w:id="1">
    <w:p w14:paraId="03D90D73" w14:textId="77777777" w:rsidR="00DC4C10" w:rsidRDefault="00DC4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C749" w14:textId="77777777" w:rsidR="00D65517" w:rsidRDefault="00D65517">
    <w:pP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E2F3" w14:textId="77777777" w:rsidR="00D65517" w:rsidRDefault="00D65517">
    <w:pPr>
      <w:tabs>
        <w:tab w:val="center" w:pos="4513"/>
        <w:tab w:val="right"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EBA7" w14:textId="77777777" w:rsidR="00D65517" w:rsidRDefault="00D65517">
    <w:pP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E0351" w14:textId="77777777" w:rsidR="00DC4C10" w:rsidRDefault="00DC4C10">
      <w:r>
        <w:separator/>
      </w:r>
    </w:p>
  </w:footnote>
  <w:footnote w:type="continuationSeparator" w:id="0">
    <w:p w14:paraId="05B9476A" w14:textId="77777777" w:rsidR="00DC4C10" w:rsidRDefault="00DC4C10">
      <w:r>
        <w:continuationSeparator/>
      </w:r>
    </w:p>
  </w:footnote>
  <w:footnote w:type="continuationNotice" w:id="1">
    <w:p w14:paraId="72B63F4E" w14:textId="77777777" w:rsidR="00DC4C10" w:rsidRDefault="00DC4C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B2A6" w14:textId="77777777" w:rsidR="00D65517" w:rsidRDefault="00D65517">
    <w:pP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2E87" w14:textId="77777777" w:rsidR="00D65517" w:rsidRDefault="00A0522B">
    <w:pPr>
      <w:tabs>
        <w:tab w:val="center" w:pos="4513"/>
        <w:tab w:val="right" w:pos="9026"/>
      </w:tabs>
      <w:jc w:val="center"/>
    </w:pPr>
    <w:r>
      <w:fldChar w:fldCharType="begin"/>
    </w:r>
    <w:r>
      <w:instrText>PAGE   \* MERGEFORMAT</w:instrText>
    </w:r>
    <w:r>
      <w:fldChar w:fldCharType="separate"/>
    </w:r>
    <w:r w:rsidR="003C4AD3">
      <w:t>4</w:t>
    </w:r>
    <w:r>
      <w:fldChar w:fldCharType="end"/>
    </w:r>
  </w:p>
  <w:p w14:paraId="3648C4BD" w14:textId="77777777" w:rsidR="00D65517" w:rsidRDefault="00D65517">
    <w:pPr>
      <w:tabs>
        <w:tab w:val="center" w:pos="4513"/>
        <w:tab w:val="right"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C17"/>
    <w:rsid w:val="003C4AD3"/>
    <w:rsid w:val="00427620"/>
    <w:rsid w:val="006A2C17"/>
    <w:rsid w:val="00742DB3"/>
    <w:rsid w:val="007D4867"/>
    <w:rsid w:val="00A0522B"/>
    <w:rsid w:val="00D314D7"/>
    <w:rsid w:val="00D65517"/>
    <w:rsid w:val="00DC4C10"/>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08508"/>
  <w15:docId w15:val="{2B4989BA-D8A9-4074-AC1D-2EE74350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fr-FR"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A0522B"/>
    <w:pPr>
      <w:tabs>
        <w:tab w:val="center" w:pos="4819"/>
        <w:tab w:val="right" w:pos="9638"/>
      </w:tabs>
    </w:pPr>
  </w:style>
  <w:style w:type="character" w:customStyle="1" w:styleId="HeaderChar">
    <w:name w:val="Header Char"/>
    <w:basedOn w:val="DefaultParagraphFont"/>
    <w:link w:val="Header"/>
    <w:semiHidden/>
    <w:rsid w:val="00A0522B"/>
  </w:style>
  <w:style w:type="character" w:styleId="PlaceholderText">
    <w:name w:val="Placeholder Text"/>
    <w:basedOn w:val="DefaultParagraphFont"/>
    <w:rsid w:val="00A052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372316">
      <w:bodyDiv w:val="1"/>
      <w:marLeft w:val="0"/>
      <w:marRight w:val="0"/>
      <w:marTop w:val="0"/>
      <w:marBottom w:val="0"/>
      <w:divBdr>
        <w:top w:val="none" w:sz="0" w:space="0" w:color="auto"/>
        <w:left w:val="none" w:sz="0" w:space="0" w:color="auto"/>
        <w:bottom w:val="none" w:sz="0" w:space="0" w:color="auto"/>
        <w:right w:val="none" w:sz="0" w:space="0" w:color="auto"/>
      </w:divBdr>
    </w:div>
    <w:div w:id="765922720">
      <w:bodyDiv w:val="1"/>
      <w:marLeft w:val="0"/>
      <w:marRight w:val="0"/>
      <w:marTop w:val="0"/>
      <w:marBottom w:val="0"/>
      <w:divBdr>
        <w:top w:val="none" w:sz="0" w:space="0" w:color="auto"/>
        <w:left w:val="none" w:sz="0" w:space="0" w:color="auto"/>
        <w:bottom w:val="none" w:sz="0" w:space="0" w:color="auto"/>
        <w:right w:val="none" w:sz="0" w:space="0" w:color="auto"/>
      </w:divBdr>
    </w:div>
    <w:div w:id="88640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4505</Characters>
  <Application>Microsoft Office Word</Application>
  <DocSecurity>0</DocSecurity>
  <Lines>276</Lines>
  <Paragraphs>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Aurimas Gudžiauskas</dc:creator>
  <cp:keywords>class='Internal'</cp:keywords>
  <cp:lastModifiedBy>Ragnhild Efraimsson</cp:lastModifiedBy>
  <cp:revision>2</cp:revision>
  <dcterms:created xsi:type="dcterms:W3CDTF">2024-05-31T07:38:00Z</dcterms:created>
  <dcterms:modified xsi:type="dcterms:W3CDTF">2024-05-31T07:38:00Z</dcterms:modified>
</cp:coreProperties>
</file>