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C686" w14:textId="5E4FB39E" w:rsidR="00410252" w:rsidRDefault="00DD1D99" w:rsidP="00F263AA">
      <w:pPr>
        <w:pStyle w:val="Cmsor1"/>
        <w:tabs>
          <w:tab w:val="left" w:pos="3521"/>
        </w:tabs>
        <w:spacing w:before="72" w:line="362" w:lineRule="auto"/>
        <w:ind w:right="1066" w:hanging="3405"/>
        <w:rPr>
          <w:b w:val="0"/>
        </w:rPr>
      </w:pPr>
      <w:r>
        <w:t>sz.</w:t>
      </w:r>
      <w:r>
        <w:rPr>
          <w:lang w:val="el-GR"/>
        </w:rPr>
        <w:tab/>
      </w:r>
      <w:r>
        <w:t>„A fényszórók beállítására szolgáló vizsgálóberendezések vizsgálatáról szóló irányelv módosítása” (BMVI/</w:t>
      </w:r>
      <w:proofErr w:type="spellStart"/>
      <w:r>
        <w:t>StV</w:t>
      </w:r>
      <w:proofErr w:type="spellEnd"/>
      <w:r>
        <w:t xml:space="preserve"> 22/7341.1/40-00, 2020.8.11., 2021. évi Közlekedési Közlöny, 17. kiadás, 136. sz., 551. o.)</w:t>
      </w:r>
    </w:p>
    <w:p w14:paraId="4027BD6C" w14:textId="15FB3744" w:rsidR="00410252" w:rsidRDefault="00DD1D99" w:rsidP="00DD1D99">
      <w:pPr>
        <w:pStyle w:val="Szvegtrzs"/>
        <w:spacing w:before="132" w:line="242" w:lineRule="auto"/>
        <w:ind w:left="7165" w:hanging="101"/>
        <w:jc w:val="right"/>
      </w:pPr>
      <w:r>
        <w:t xml:space="preserve">Bonn, 2024.xx.xx. </w:t>
      </w:r>
      <w:r>
        <w:rPr>
          <w:lang w:val="el-GR"/>
        </w:rPr>
        <w:br/>
      </w:r>
      <w:proofErr w:type="spellStart"/>
      <w:r>
        <w:t>StV</w:t>
      </w:r>
      <w:proofErr w:type="spellEnd"/>
      <w:r>
        <w:t xml:space="preserve"> 22/7341.1/40-00</w:t>
      </w:r>
    </w:p>
    <w:p w14:paraId="4F9AC1A8" w14:textId="77777777" w:rsidR="00410252" w:rsidRDefault="00410252">
      <w:pPr>
        <w:pStyle w:val="Szvegtrzs"/>
        <w:spacing w:before="141"/>
        <w:ind w:left="0"/>
      </w:pPr>
    </w:p>
    <w:p w14:paraId="7F0439AC" w14:textId="77777777" w:rsidR="00410252" w:rsidRDefault="00DD1D99">
      <w:pPr>
        <w:pStyle w:val="Szvegtrzs"/>
        <w:spacing w:line="360" w:lineRule="auto"/>
        <w:ind w:right="110"/>
        <w:jc w:val="both"/>
      </w:pPr>
      <w:r>
        <w:t>A fényszórók beállítására szolgáló vizsgálóberendezések vizsgálatáról szóló irányelv közzétételét követően a legújabb műszaki fejlesztések (kézi vezérlésű vagy automatikus működésű, hosszanti irányban és keresztirányban szintező berendezések) miatt szükségessé válik a kapcsolódó vizsgálati követelmények kiigazítása és az iránymutatás típus-jóváhagyási eljárásának kiigazítása. A fényszórók beállítására szolgáló vizsgálóberendezések vizsgálatáról szóló irányelv (BMVI/</w:t>
      </w:r>
      <w:proofErr w:type="spellStart"/>
      <w:r>
        <w:t>StV</w:t>
      </w:r>
      <w:proofErr w:type="spellEnd"/>
      <w:r>
        <w:t xml:space="preserve"> 22/7341.1/40-00, 2020.8.11., 2021. évi Közlekedési Közlöny, 17. kiadás, 136. szám, 551. o.) a következőképpen módosul:</w:t>
      </w:r>
    </w:p>
    <w:p w14:paraId="60256E0C" w14:textId="77777777" w:rsidR="00410252" w:rsidRDefault="00410252">
      <w:pPr>
        <w:pStyle w:val="Szvegtrzs"/>
        <w:spacing w:before="139"/>
        <w:ind w:left="0"/>
      </w:pPr>
    </w:p>
    <w:p w14:paraId="16FBB839" w14:textId="77777777" w:rsidR="00410252" w:rsidRDefault="00DD1D99">
      <w:pPr>
        <w:pStyle w:val="Szvegtrzs"/>
        <w:spacing w:before="1"/>
      </w:pPr>
      <w:r>
        <w:t>Az irányelv teljes szövegében a „bekezdés” szót el kell hagyni, és helyébe a következő szó lép:</w:t>
      </w:r>
    </w:p>
    <w:p w14:paraId="51D731D5" w14:textId="77777777" w:rsidR="00410252" w:rsidRDefault="00DD1D99">
      <w:pPr>
        <w:pStyle w:val="Szvegtrzs"/>
        <w:spacing w:before="137"/>
      </w:pPr>
      <w:r>
        <w:t>„pont”. A következő módosítások ennek megfelelően a pontokra vonatkoznak.</w:t>
      </w:r>
    </w:p>
    <w:p w14:paraId="479F8B06" w14:textId="77777777" w:rsidR="00410252" w:rsidRDefault="00410252">
      <w:pPr>
        <w:pStyle w:val="Szvegtrzs"/>
        <w:spacing w:before="273"/>
        <w:ind w:left="0"/>
      </w:pPr>
    </w:p>
    <w:p w14:paraId="4EA54C6E" w14:textId="77777777" w:rsidR="00410252" w:rsidRDefault="00DD1D99">
      <w:pPr>
        <w:pStyle w:val="Szvegtrzs"/>
        <w:spacing w:line="362" w:lineRule="auto"/>
        <w:ind w:right="116"/>
        <w:jc w:val="both"/>
      </w:pPr>
      <w:r>
        <w:t>A 2. pontban a „típusmeghatározó jellemzők” meghatározásában szereplő felsorolás a „gyártó” jelöléssel egészül ki.</w:t>
      </w:r>
    </w:p>
    <w:p w14:paraId="3671FD57" w14:textId="77777777" w:rsidR="00410252" w:rsidRDefault="00410252">
      <w:pPr>
        <w:pStyle w:val="Szvegtrzs"/>
        <w:spacing w:before="134"/>
        <w:ind w:left="0"/>
      </w:pPr>
    </w:p>
    <w:p w14:paraId="4E10C33A" w14:textId="77777777" w:rsidR="00410252" w:rsidRDefault="00DD1D99">
      <w:pPr>
        <w:pStyle w:val="Szvegtrzs"/>
        <w:spacing w:line="360" w:lineRule="auto"/>
        <w:ind w:right="122"/>
        <w:jc w:val="both"/>
      </w:pPr>
      <w:r>
        <w:t>A 2. pont a „működési kézikönyv” utolsó meghatározása után a „szoftver” fogalommeghatározásával egészül ki:</w:t>
      </w:r>
    </w:p>
    <w:p w14:paraId="741E72FD" w14:textId="77777777" w:rsidR="00410252" w:rsidRDefault="00DD1D99">
      <w:pPr>
        <w:pStyle w:val="Szvegtrzs"/>
        <w:spacing w:before="3" w:line="360" w:lineRule="auto"/>
        <w:ind w:right="118"/>
        <w:jc w:val="both"/>
      </w:pPr>
      <w:r>
        <w:rPr>
          <w:b/>
        </w:rPr>
        <w:t xml:space="preserve">Szoftver: </w:t>
      </w:r>
      <w:r>
        <w:t>a programnak a biztonság és a mérés, valamint az adatátvitel szempontjából releváns részei.</w:t>
      </w:r>
    </w:p>
    <w:p w14:paraId="4F2E5BD4" w14:textId="77777777" w:rsidR="00410252" w:rsidRDefault="00410252">
      <w:pPr>
        <w:pStyle w:val="Szvegtrzs"/>
        <w:spacing w:before="135"/>
        <w:ind w:left="0"/>
      </w:pPr>
    </w:p>
    <w:p w14:paraId="4085C109" w14:textId="77777777" w:rsidR="00410252" w:rsidRDefault="00DD1D99">
      <w:pPr>
        <w:pStyle w:val="Szvegtrzs"/>
      </w:pPr>
      <w:r>
        <w:t>A 3. pont második mondata a következőre módosul:</w:t>
      </w:r>
    </w:p>
    <w:p w14:paraId="664B5B1F" w14:textId="77777777" w:rsidR="00410252" w:rsidRDefault="00DD1D99">
      <w:pPr>
        <w:pStyle w:val="Szvegtrzs"/>
        <w:spacing w:before="142"/>
      </w:pPr>
      <w:r>
        <w:t>„A fényszórók beállítására szolgáló vizsgálóberendezés minden egyes típusa esetében a kérelemnek a következőket kell tartalmaznia:</w:t>
      </w:r>
    </w:p>
    <w:p w14:paraId="73F3A0D4" w14:textId="77777777" w:rsidR="00410252" w:rsidRDefault="00DD1D99">
      <w:pPr>
        <w:pStyle w:val="Listaszerbekezds"/>
        <w:numPr>
          <w:ilvl w:val="0"/>
          <w:numId w:val="3"/>
        </w:numPr>
        <w:tabs>
          <w:tab w:val="left" w:pos="476"/>
        </w:tabs>
        <w:spacing w:before="134" w:line="355" w:lineRule="auto"/>
        <w:ind w:right="112"/>
        <w:rPr>
          <w:sz w:val="24"/>
        </w:rPr>
      </w:pPr>
      <w:r>
        <w:rPr>
          <w:sz w:val="24"/>
        </w:rPr>
        <w:t>kellően részletes rajzok, amelyek lehetővé teszik a fényszórók beállítására szolgáló vizsgálóberendezés típusának és a lencséknek az azonosítását</w:t>
      </w:r>
    </w:p>
    <w:p w14:paraId="646DECC9" w14:textId="77777777" w:rsidR="00410252" w:rsidRDefault="00DD1D99">
      <w:pPr>
        <w:pStyle w:val="Listaszerbekezds"/>
        <w:numPr>
          <w:ilvl w:val="0"/>
          <w:numId w:val="3"/>
        </w:numPr>
        <w:tabs>
          <w:tab w:val="left" w:pos="476"/>
        </w:tabs>
        <w:spacing w:before="1" w:line="355" w:lineRule="auto"/>
        <w:ind w:right="117"/>
        <w:rPr>
          <w:sz w:val="24"/>
        </w:rPr>
      </w:pPr>
      <w:r>
        <w:rPr>
          <w:sz w:val="24"/>
        </w:rPr>
        <w:t>az eszköz fő méreteit tartalmazó átfogó rajz, amely a típuscímke helyét is mutatja.</w:t>
      </w:r>
    </w:p>
    <w:p w14:paraId="6821B9F4" w14:textId="77777777" w:rsidR="00410252" w:rsidRDefault="00DD1D99">
      <w:pPr>
        <w:pStyle w:val="Listaszerbekezds"/>
        <w:numPr>
          <w:ilvl w:val="0"/>
          <w:numId w:val="3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lastRenderedPageBreak/>
        <w:t>a fényszórók beállítására szolgáló teljes vizsgálóberendezést első, oldalsó és hátsó nézetből bemutató fényképek</w:t>
      </w:r>
    </w:p>
    <w:p w14:paraId="01AA1A2D" w14:textId="563E3246" w:rsidR="00410252" w:rsidRDefault="00DD1D99">
      <w:pPr>
        <w:pStyle w:val="Listaszerbekezds"/>
        <w:numPr>
          <w:ilvl w:val="0"/>
          <w:numId w:val="3"/>
        </w:numPr>
        <w:tabs>
          <w:tab w:val="left" w:pos="476"/>
        </w:tabs>
        <w:spacing w:before="76" w:line="357" w:lineRule="auto"/>
        <w:ind w:right="107"/>
        <w:jc w:val="both"/>
        <w:rPr>
          <w:sz w:val="24"/>
        </w:rPr>
      </w:pPr>
      <w:r>
        <w:rPr>
          <w:sz w:val="24"/>
        </w:rPr>
        <w:t>a fényszórók beállítására szolgáló vizsgálóberendezés lényeges alkatrészeinek rövid műszaki leírása, mint például: váz, oszlop, optikai doboz, lencsék, szűrők, irányzék, amely ismerteti különösen a műszaki tulajdonságokat</w:t>
      </w:r>
    </w:p>
    <w:p w14:paraId="75BAF1C2" w14:textId="77777777" w:rsidR="00410252" w:rsidRDefault="00DD1D99">
      <w:pPr>
        <w:pStyle w:val="Listaszerbekezds"/>
        <w:numPr>
          <w:ilvl w:val="0"/>
          <w:numId w:val="3"/>
        </w:numPr>
        <w:tabs>
          <w:tab w:val="left" w:pos="476"/>
        </w:tabs>
        <w:spacing w:before="3" w:line="350" w:lineRule="auto"/>
        <w:ind w:right="113"/>
        <w:jc w:val="both"/>
        <w:rPr>
          <w:sz w:val="24"/>
        </w:rPr>
      </w:pPr>
      <w:r>
        <w:rPr>
          <w:sz w:val="24"/>
        </w:rPr>
        <w:t>a használt szoftver (beleértve a frissítés verzióját is), amennyiben a fényszórók beállítására szolgáló vizsgálóberendezés működéséhez szükséges</w:t>
      </w:r>
    </w:p>
    <w:p w14:paraId="1FD98F46" w14:textId="77777777" w:rsidR="00410252" w:rsidRDefault="00DD1D99">
      <w:pPr>
        <w:pStyle w:val="Listaszerbekezds"/>
        <w:numPr>
          <w:ilvl w:val="0"/>
          <w:numId w:val="3"/>
        </w:numPr>
        <w:tabs>
          <w:tab w:val="left" w:pos="475"/>
        </w:tabs>
        <w:spacing w:before="13"/>
        <w:ind w:left="475" w:hanging="359"/>
        <w:jc w:val="both"/>
        <w:rPr>
          <w:sz w:val="24"/>
        </w:rPr>
      </w:pPr>
      <w:r>
        <w:rPr>
          <w:sz w:val="24"/>
        </w:rPr>
        <w:t>valamennyi változat bemutatására alkalmas minták, mint például:</w:t>
      </w:r>
    </w:p>
    <w:p w14:paraId="785A2FBE" w14:textId="77777777" w:rsidR="00410252" w:rsidRDefault="00DD1D99">
      <w:pPr>
        <w:pStyle w:val="Listaszerbekezds"/>
        <w:numPr>
          <w:ilvl w:val="1"/>
          <w:numId w:val="3"/>
        </w:numPr>
        <w:tabs>
          <w:tab w:val="left" w:pos="836"/>
        </w:tabs>
        <w:spacing w:before="133"/>
        <w:ind w:left="836" w:hanging="360"/>
        <w:rPr>
          <w:sz w:val="24"/>
        </w:rPr>
      </w:pPr>
      <w:r>
        <w:rPr>
          <w:sz w:val="24"/>
        </w:rPr>
        <w:t>a fényszórók beállítására szolgáló vizsgálóberendezés háromkerekű vagy négykerekű váza</w:t>
      </w:r>
    </w:p>
    <w:p w14:paraId="36E67885" w14:textId="77777777" w:rsidR="00410252" w:rsidRDefault="00DD1D99">
      <w:pPr>
        <w:pStyle w:val="Listaszerbekezds"/>
        <w:numPr>
          <w:ilvl w:val="1"/>
          <w:numId w:val="3"/>
        </w:numPr>
        <w:tabs>
          <w:tab w:val="left" w:pos="836"/>
        </w:tabs>
        <w:ind w:left="836" w:hanging="360"/>
        <w:rPr>
          <w:sz w:val="24"/>
        </w:rPr>
      </w:pPr>
      <w:r>
        <w:rPr>
          <w:sz w:val="24"/>
        </w:rPr>
        <w:t>különböző oszlophosszúságok</w:t>
      </w:r>
    </w:p>
    <w:p w14:paraId="42AA60C1" w14:textId="77777777" w:rsidR="00410252" w:rsidRDefault="00DD1D99">
      <w:pPr>
        <w:pStyle w:val="Listaszerbekezds"/>
        <w:numPr>
          <w:ilvl w:val="1"/>
          <w:numId w:val="3"/>
        </w:numPr>
        <w:tabs>
          <w:tab w:val="left" w:pos="836"/>
        </w:tabs>
        <w:ind w:left="836" w:hanging="360"/>
        <w:rPr>
          <w:sz w:val="24"/>
        </w:rPr>
      </w:pPr>
      <w:r>
        <w:rPr>
          <w:sz w:val="24"/>
        </w:rPr>
        <w:t>az optikai doboz különböző kiegészítő berendezései</w:t>
      </w:r>
    </w:p>
    <w:p w14:paraId="1D4EAF2C" w14:textId="77777777" w:rsidR="00410252" w:rsidRDefault="00DD1D99">
      <w:pPr>
        <w:pStyle w:val="Listaszerbekezds"/>
        <w:numPr>
          <w:ilvl w:val="1"/>
          <w:numId w:val="3"/>
        </w:numPr>
        <w:tabs>
          <w:tab w:val="left" w:pos="836"/>
        </w:tabs>
        <w:ind w:left="836" w:hanging="360"/>
        <w:rPr>
          <w:sz w:val="24"/>
        </w:rPr>
      </w:pPr>
      <w:r>
        <w:rPr>
          <w:sz w:val="24"/>
        </w:rPr>
        <w:t>különböző irányzékok</w:t>
      </w:r>
    </w:p>
    <w:p w14:paraId="6EA2E367" w14:textId="77777777" w:rsidR="00410252" w:rsidRDefault="00DD1D99">
      <w:pPr>
        <w:pStyle w:val="Listaszerbekezds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működési kézikönyv”</w:t>
      </w:r>
    </w:p>
    <w:p w14:paraId="79FADE00" w14:textId="77777777" w:rsidR="00410252" w:rsidRDefault="00410252">
      <w:pPr>
        <w:pStyle w:val="Szvegtrzs"/>
        <w:ind w:left="0"/>
      </w:pPr>
    </w:p>
    <w:p w14:paraId="2823A24F" w14:textId="77777777" w:rsidR="00410252" w:rsidRDefault="00410252">
      <w:pPr>
        <w:pStyle w:val="Szvegtrzs"/>
        <w:spacing w:before="2"/>
        <w:ind w:left="0"/>
      </w:pPr>
    </w:p>
    <w:p w14:paraId="7A16715C" w14:textId="77777777" w:rsidR="00410252" w:rsidRDefault="00DD1D99">
      <w:pPr>
        <w:pStyle w:val="Szvegtrzs"/>
      </w:pPr>
      <w:r>
        <w:t>A 4. pont szövege a következőre módosul:</w:t>
      </w:r>
    </w:p>
    <w:p w14:paraId="4A07CD42" w14:textId="77777777" w:rsidR="00410252" w:rsidRDefault="00DD1D99">
      <w:pPr>
        <w:pStyle w:val="Szvegtrzs"/>
        <w:tabs>
          <w:tab w:val="left" w:pos="683"/>
        </w:tabs>
        <w:spacing w:before="137"/>
      </w:pPr>
      <w:r>
        <w:t>„4.</w:t>
      </w:r>
      <w:r>
        <w:tab/>
        <w:t>Címkézés</w:t>
      </w:r>
    </w:p>
    <w:p w14:paraId="285A3A1D" w14:textId="77777777" w:rsidR="00410252" w:rsidRDefault="00DD1D99">
      <w:pPr>
        <w:pStyle w:val="Szvegtrzs"/>
        <w:spacing w:before="137"/>
        <w:ind w:left="683"/>
      </w:pPr>
      <w:r>
        <w:t>A fényszórók beállítására szolgáló vizsgálóberendezésen fel kell tüntetni a következő feliratokat:</w:t>
      </w:r>
    </w:p>
    <w:p w14:paraId="28743BE9" w14:textId="77777777" w:rsidR="00410252" w:rsidRDefault="00DD1D99">
      <w:pPr>
        <w:pStyle w:val="Listaszerbekezds"/>
        <w:numPr>
          <w:ilvl w:val="1"/>
          <w:numId w:val="2"/>
        </w:numPr>
        <w:tabs>
          <w:tab w:val="left" w:pos="683"/>
        </w:tabs>
        <w:spacing w:before="142" w:line="360" w:lineRule="auto"/>
        <w:ind w:right="123"/>
        <w:rPr>
          <w:sz w:val="24"/>
        </w:rPr>
      </w:pPr>
      <w:r>
        <w:rPr>
          <w:sz w:val="24"/>
        </w:rPr>
        <w:t>A fényszórók beállítására szolgáló minden vizsgálóberendezésen jól olvasható, tartós és könnyen hozzáférhető típustáblát kell elhelyezni a következőkkel:</w:t>
      </w:r>
    </w:p>
    <w:p w14:paraId="0E2B172A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1043"/>
        </w:tabs>
        <w:spacing w:before="0" w:line="289" w:lineRule="exact"/>
        <w:ind w:hanging="360"/>
        <w:rPr>
          <w:sz w:val="24"/>
        </w:rPr>
      </w:pPr>
      <w:r>
        <w:rPr>
          <w:sz w:val="24"/>
        </w:rPr>
        <w:t>gyártó</w:t>
      </w:r>
    </w:p>
    <w:p w14:paraId="26245E9B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1043"/>
        </w:tabs>
        <w:ind w:hanging="360"/>
        <w:rPr>
          <w:sz w:val="24"/>
        </w:rPr>
      </w:pPr>
      <w:r>
        <w:rPr>
          <w:sz w:val="24"/>
        </w:rPr>
        <w:t>a fényszórók beállítására szolgáló vizsgálóberendezés típusa</w:t>
      </w:r>
    </w:p>
    <w:p w14:paraId="5C4E2A90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1043"/>
        </w:tabs>
        <w:ind w:hanging="360"/>
        <w:rPr>
          <w:sz w:val="24"/>
        </w:rPr>
      </w:pPr>
      <w:r>
        <w:rPr>
          <w:sz w:val="24"/>
        </w:rPr>
        <w:t>sorozatszám</w:t>
      </w:r>
    </w:p>
    <w:p w14:paraId="3DC3B060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1043"/>
        </w:tabs>
        <w:ind w:hanging="360"/>
        <w:rPr>
          <w:sz w:val="24"/>
        </w:rPr>
      </w:pPr>
      <w:r>
        <w:rPr>
          <w:sz w:val="24"/>
        </w:rPr>
        <w:t>a lencsék azonosítása</w:t>
      </w:r>
    </w:p>
    <w:p w14:paraId="17523974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1043"/>
        </w:tabs>
        <w:spacing w:before="133"/>
        <w:ind w:hanging="360"/>
        <w:rPr>
          <w:sz w:val="24"/>
        </w:rPr>
      </w:pPr>
      <w:r>
        <w:rPr>
          <w:sz w:val="24"/>
        </w:rPr>
        <w:t>típusjóváhagyási szám</w:t>
      </w:r>
    </w:p>
    <w:p w14:paraId="4872E42B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1043"/>
        </w:tabs>
        <w:ind w:hanging="360"/>
        <w:rPr>
          <w:sz w:val="24"/>
        </w:rPr>
      </w:pPr>
      <w:r>
        <w:rPr>
          <w:sz w:val="24"/>
        </w:rPr>
        <w:t>gyártás éve és hónapja</w:t>
      </w:r>
    </w:p>
    <w:p w14:paraId="7AA814F8" w14:textId="77777777" w:rsidR="00410252" w:rsidRDefault="00DD1D99">
      <w:pPr>
        <w:pStyle w:val="Szvegtrzs"/>
        <w:spacing w:before="141" w:line="360" w:lineRule="auto"/>
        <w:ind w:left="683" w:right="126"/>
        <w:jc w:val="both"/>
      </w:pPr>
      <w:r>
        <w:t>Az öntapadós tábláknak jól olvashatónak és tartósnak kell lenniük, és azokat állandó jelleggel rögzíteni kell.</w:t>
      </w:r>
    </w:p>
    <w:p w14:paraId="1D3955A6" w14:textId="77777777" w:rsidR="00410252" w:rsidRDefault="00DD1D99">
      <w:pPr>
        <w:pStyle w:val="Szvegtrzs"/>
        <w:spacing w:before="3" w:line="360" w:lineRule="auto"/>
        <w:ind w:left="683" w:right="121"/>
        <w:jc w:val="both"/>
      </w:pPr>
      <w:r>
        <w:t>Az információ olvashatósága és a rögzítés szilárdsága nem változhat, még akkor sem, ha a használati utasításnak megfelelően rögzített táblák ki vannak téve a szokásos forgalomban jelen lévő üzemanyagok, olajok és folyadékok hatásának. Az öntapadós tábláknak ellen kell állniuk a normál üzemi rezgéseknek, a kopásnak, a hidegnek és a hőnek, valamint az időjárási viszonyoknak.</w:t>
      </w:r>
    </w:p>
    <w:p w14:paraId="3B9775FB" w14:textId="77777777" w:rsidR="00410252" w:rsidRDefault="00DD1D99">
      <w:pPr>
        <w:pStyle w:val="Szvegtrzs"/>
        <w:spacing w:line="360" w:lineRule="auto"/>
        <w:ind w:left="683" w:right="118"/>
        <w:jc w:val="both"/>
      </w:pPr>
      <w:r>
        <w:lastRenderedPageBreak/>
        <w:t>A tábla akkor minősül „jól olvashatónak”, ha normál fényviszonyok között, technikai segédeszközök nélkül is olvasható. A fóliacímkék eltávolítás után nem használhatók fel újra.</w:t>
      </w:r>
    </w:p>
    <w:p w14:paraId="5E958427" w14:textId="01FA5671" w:rsidR="00410252" w:rsidRDefault="00DD1D99">
      <w:pPr>
        <w:pStyle w:val="Listaszerbekezds"/>
        <w:numPr>
          <w:ilvl w:val="1"/>
          <w:numId w:val="2"/>
        </w:numPr>
        <w:tabs>
          <w:tab w:val="left" w:pos="683"/>
        </w:tabs>
        <w:spacing w:before="79" w:line="360" w:lineRule="auto"/>
        <w:ind w:right="116"/>
        <w:jc w:val="both"/>
        <w:rPr>
          <w:sz w:val="24"/>
        </w:rPr>
      </w:pPr>
      <w:r>
        <w:rPr>
          <w:sz w:val="24"/>
        </w:rPr>
        <w:t>Ha a fényszórók beállítására szolgáló vizsgálóberendezés rendelkezik a</w:t>
      </w:r>
      <w:r w:rsidR="00FC29E6">
        <w:rPr>
          <w:sz w:val="24"/>
        </w:rPr>
        <w:t xml:space="preserve"> 9.8.2.</w:t>
      </w:r>
      <w:r>
        <w:rPr>
          <w:sz w:val="24"/>
        </w:rPr>
        <w:t xml:space="preserve"> pont szerinti szintező berendezéssel, annak működtetését (kézi vezérlésű vagy automatikus) a leolvasó egység közelében egyértelműen és tartósan fel kell tüntetni.</w:t>
      </w:r>
    </w:p>
    <w:p w14:paraId="28FBC6C1" w14:textId="77777777" w:rsidR="00410252" w:rsidRDefault="00DD1D99">
      <w:pPr>
        <w:pStyle w:val="Szvegtrzs"/>
        <w:spacing w:before="2" w:line="360" w:lineRule="auto"/>
        <w:ind w:left="683" w:right="117"/>
        <w:jc w:val="both"/>
      </w:pPr>
      <w:r>
        <w:t>Ezt egy piros hátterű piktogram (legalább Ø 60 mm) révén kell megvalósítani, amelyen a „szintező berendezés” és az „automatikus” vagy „kézi vezérlésű” szavakat fehér betűkkel, egy központi fekete „felkiáltójel” körül kell elrendezni.</w:t>
      </w:r>
    </w:p>
    <w:p w14:paraId="5E0493E2" w14:textId="77777777" w:rsidR="00410252" w:rsidRDefault="00410252">
      <w:pPr>
        <w:pStyle w:val="Szvegtrzs"/>
        <w:spacing w:before="137"/>
        <w:ind w:left="0"/>
      </w:pPr>
    </w:p>
    <w:p w14:paraId="70AA20A9" w14:textId="77777777" w:rsidR="00410252" w:rsidRDefault="00DD1D99">
      <w:pPr>
        <w:pStyle w:val="Szvegtrzs"/>
        <w:spacing w:before="1"/>
        <w:jc w:val="both"/>
      </w:pPr>
      <w:r>
        <w:t>Az 5. pont szövege a következőre módosul:</w:t>
      </w:r>
    </w:p>
    <w:p w14:paraId="49B3F23F" w14:textId="77777777" w:rsidR="00410252" w:rsidRDefault="00DD1D99">
      <w:pPr>
        <w:pStyle w:val="Szvegtrzs"/>
        <w:spacing w:before="136"/>
        <w:jc w:val="both"/>
      </w:pPr>
      <w:r>
        <w:t>„5.  Típusjóváhagyás</w:t>
      </w:r>
    </w:p>
    <w:p w14:paraId="176148A9" w14:textId="77777777" w:rsidR="00410252" w:rsidRDefault="00DD1D99">
      <w:pPr>
        <w:pStyle w:val="Szvegtrzs"/>
        <w:spacing w:before="142" w:line="360" w:lineRule="auto"/>
        <w:ind w:left="683" w:right="112"/>
        <w:jc w:val="both"/>
      </w:pPr>
      <w:r>
        <w:t>A 12.1. pontban említett típusjóváhagyást vagy újbóli típusjóváhagyást a sikeres vizsgálatot követően kell kiadni a típusjóváhagyásról és a típusjóváhagyási szám kiadásáról, ill. a már meglévő típusjóváhagyási szám kiegészítéssel történő újbóli kiadásáról szóló szakértői vélemény útján.</w:t>
      </w:r>
    </w:p>
    <w:p w14:paraId="0A2D32D8" w14:textId="77777777" w:rsidR="00410252" w:rsidRDefault="00DD1D99">
      <w:pPr>
        <w:pStyle w:val="Szvegtrzs"/>
        <w:spacing w:before="1" w:line="360" w:lineRule="auto"/>
        <w:ind w:left="683" w:right="121"/>
        <w:jc w:val="both"/>
      </w:pPr>
      <w:r>
        <w:t>A típusjóváhagyási számot és a meglévő típusjóváhagyási szám kiegészítését tartósan el kell helyezni a berendezés külső részén a következők szerint:</w:t>
      </w:r>
    </w:p>
    <w:p w14:paraId="03044BD5" w14:textId="77777777" w:rsidR="00410252" w:rsidRDefault="00DD1D99">
      <w:pPr>
        <w:pStyle w:val="Listaszerbekezds"/>
        <w:numPr>
          <w:ilvl w:val="0"/>
          <w:numId w:val="1"/>
        </w:numPr>
        <w:tabs>
          <w:tab w:val="left" w:pos="1043"/>
        </w:tabs>
        <w:spacing w:before="0" w:line="288" w:lineRule="exact"/>
        <w:ind w:left="1043" w:hanging="360"/>
        <w:rPr>
          <w:sz w:val="24"/>
        </w:rPr>
      </w:pPr>
      <w:r>
        <w:rPr>
          <w:sz w:val="24"/>
        </w:rPr>
        <w:t>a típusjóváhagyás négyjegyű évszáma</w:t>
      </w:r>
    </w:p>
    <w:p w14:paraId="56DDE92B" w14:textId="77777777" w:rsidR="00410252" w:rsidRDefault="00DD1D99">
      <w:pPr>
        <w:pStyle w:val="Listaszerbekezds"/>
        <w:numPr>
          <w:ilvl w:val="0"/>
          <w:numId w:val="1"/>
        </w:numPr>
        <w:tabs>
          <w:tab w:val="left" w:pos="1043"/>
        </w:tabs>
        <w:ind w:left="1043" w:hanging="360"/>
        <w:rPr>
          <w:sz w:val="24"/>
        </w:rPr>
      </w:pPr>
      <w:r>
        <w:rPr>
          <w:sz w:val="24"/>
        </w:rPr>
        <w:t>a típusjóváhagyás hónapja</w:t>
      </w:r>
    </w:p>
    <w:p w14:paraId="1A46F8B5" w14:textId="77777777" w:rsidR="00410252" w:rsidRDefault="00DD1D99">
      <w:pPr>
        <w:pStyle w:val="Listaszerbekezds"/>
        <w:numPr>
          <w:ilvl w:val="0"/>
          <w:numId w:val="1"/>
        </w:numPr>
        <w:tabs>
          <w:tab w:val="left" w:pos="1043"/>
          <w:tab w:val="left" w:pos="5081"/>
        </w:tabs>
        <w:spacing w:line="355" w:lineRule="auto"/>
        <w:ind w:right="1304" w:firstLine="0"/>
        <w:rPr>
          <w:sz w:val="24"/>
        </w:rPr>
      </w:pPr>
      <w:r>
        <w:rPr>
          <w:sz w:val="24"/>
        </w:rPr>
        <w:t>a műszaki ellenőrző szerv egyedileg hozzárendelt azonosító száma – példa a típusjóváhagyási számra:</w:t>
      </w:r>
      <w:r>
        <w:rPr>
          <w:sz w:val="24"/>
        </w:rPr>
        <w:tab/>
        <w:t>2020-04-01234567XYZ</w:t>
      </w:r>
    </w:p>
    <w:p w14:paraId="2FBFF951" w14:textId="77777777" w:rsidR="00410252" w:rsidRDefault="00DD1D99">
      <w:pPr>
        <w:pStyle w:val="Szvegtrzs"/>
        <w:spacing w:before="4"/>
        <w:ind w:left="5081"/>
      </w:pPr>
      <w:r>
        <w:t>2020-04-01234567XYZ_01 (1. függelék)”</w:t>
      </w:r>
    </w:p>
    <w:p w14:paraId="72CC6FCA" w14:textId="77777777" w:rsidR="00410252" w:rsidRDefault="00410252">
      <w:pPr>
        <w:pStyle w:val="Szvegtrzs"/>
        <w:ind w:left="0"/>
      </w:pPr>
    </w:p>
    <w:p w14:paraId="27E990A5" w14:textId="77777777" w:rsidR="00410252" w:rsidRDefault="00410252">
      <w:pPr>
        <w:pStyle w:val="Szvegtrzs"/>
        <w:spacing w:before="2"/>
        <w:ind w:left="0"/>
      </w:pPr>
    </w:p>
    <w:p w14:paraId="465ED1F3" w14:textId="77777777" w:rsidR="00410252" w:rsidRDefault="00DD1D99">
      <w:pPr>
        <w:pStyle w:val="Szvegtrzs"/>
        <w:spacing w:before="1" w:line="360" w:lineRule="auto"/>
      </w:pPr>
      <w:r>
        <w:t>A 6. pont (1) bekezdésében a „Szövetségi Közlekedési és Digitális Infrastruktúraügyi Minisztérium” szövegrész helyébe a „Szövetségi Digitális és Közlekedési Minisztérium” szöveg lép.</w:t>
      </w:r>
    </w:p>
    <w:p w14:paraId="3EA9201C" w14:textId="77777777" w:rsidR="00410252" w:rsidRDefault="00410252">
      <w:pPr>
        <w:pStyle w:val="Szvegtrzs"/>
        <w:spacing w:before="134"/>
        <w:ind w:left="0"/>
      </w:pPr>
    </w:p>
    <w:p w14:paraId="79419AED" w14:textId="77777777" w:rsidR="00410252" w:rsidRDefault="00DD1D99">
      <w:pPr>
        <w:pStyle w:val="Szvegtrzs"/>
        <w:spacing w:before="1"/>
      </w:pPr>
      <w:r>
        <w:t>A 6. pont utolsó bekezdése a következőre módosul:</w:t>
      </w:r>
    </w:p>
    <w:p w14:paraId="64E15E3F" w14:textId="77777777" w:rsidR="00410252" w:rsidRDefault="00DD1D99">
      <w:pPr>
        <w:pStyle w:val="Szvegtrzs"/>
        <w:spacing w:before="141" w:line="360" w:lineRule="auto"/>
      </w:pPr>
      <w:r>
        <w:t>„A megfelelően akkreditált kalibráló szolgáltatók kérésére a következő információk bocsáthatók rendelkezésre:</w:t>
      </w:r>
    </w:p>
    <w:p w14:paraId="34E9834F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476"/>
        </w:tabs>
        <w:spacing w:before="0" w:line="289" w:lineRule="exact"/>
        <w:ind w:left="476" w:hanging="360"/>
        <w:rPr>
          <w:sz w:val="24"/>
        </w:rPr>
      </w:pPr>
      <w:r>
        <w:rPr>
          <w:sz w:val="24"/>
        </w:rPr>
        <w:t>kérelmező:</w:t>
      </w:r>
    </w:p>
    <w:p w14:paraId="7D5F412A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gyártó</w:t>
      </w:r>
    </w:p>
    <w:p w14:paraId="4A53F5CC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lastRenderedPageBreak/>
        <w:t>a fényszórók beállítására szolgáló vizsgálóberendezés típusa</w:t>
      </w:r>
    </w:p>
    <w:p w14:paraId="12097199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műszaki vizsgáló testület</w:t>
      </w:r>
    </w:p>
    <w:p w14:paraId="0F57AFEF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476"/>
        </w:tabs>
        <w:spacing w:before="134"/>
        <w:ind w:left="476" w:hanging="360"/>
        <w:rPr>
          <w:sz w:val="24"/>
        </w:rPr>
      </w:pPr>
      <w:r>
        <w:rPr>
          <w:sz w:val="24"/>
        </w:rPr>
        <w:t>típusjóváhagyási szám</w:t>
      </w:r>
    </w:p>
    <w:p w14:paraId="0A3EA0EC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476"/>
        </w:tabs>
        <w:spacing w:before="76"/>
        <w:ind w:left="476" w:hanging="360"/>
        <w:rPr>
          <w:sz w:val="24"/>
        </w:rPr>
      </w:pPr>
      <w:r>
        <w:rPr>
          <w:sz w:val="24"/>
        </w:rPr>
        <w:t>bizonyítvány száma dátummal</w:t>
      </w:r>
    </w:p>
    <w:p w14:paraId="1FB02EF7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engedélyezett szoftververziók, ha a fényszórók beállítására szolgáló vizsgálóberendezés működéséhez szükséges</w:t>
      </w:r>
    </w:p>
    <w:p w14:paraId="45067A2B" w14:textId="77777777" w:rsidR="00410252" w:rsidRDefault="00DD1D99">
      <w:pPr>
        <w:pStyle w:val="Listaszerbekezds"/>
        <w:numPr>
          <w:ilvl w:val="2"/>
          <w:numId w:val="2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a típusjóváhagyás lejárati dátuma</w:t>
      </w:r>
    </w:p>
    <w:p w14:paraId="2489A58E" w14:textId="3FA499AA" w:rsidR="00410252" w:rsidRDefault="00FC29E6">
      <w:pPr>
        <w:pStyle w:val="Listaszerbekezds"/>
        <w:numPr>
          <w:ilvl w:val="2"/>
          <w:numId w:val="2"/>
        </w:numPr>
        <w:tabs>
          <w:tab w:val="left" w:pos="476"/>
        </w:tabs>
        <w:spacing w:before="139" w:line="355" w:lineRule="auto"/>
        <w:ind w:left="476" w:right="118" w:hanging="360"/>
        <w:rPr>
          <w:sz w:val="24"/>
        </w:rPr>
      </w:pPr>
      <w:r>
        <w:rPr>
          <w:sz w:val="24"/>
        </w:rPr>
        <w:t>a 7.6.</w:t>
      </w:r>
      <w:r w:rsidR="00DD1D99">
        <w:rPr>
          <w:sz w:val="24"/>
        </w:rPr>
        <w:t xml:space="preserve"> pont szerinti feltételek és megjegyzések</w:t>
      </w:r>
      <w:r>
        <w:rPr>
          <w:sz w:val="24"/>
        </w:rPr>
        <w:t>.</w:t>
      </w:r>
      <w:r w:rsidR="00DD1D99">
        <w:rPr>
          <w:sz w:val="24"/>
        </w:rPr>
        <w:t>”</w:t>
      </w:r>
    </w:p>
    <w:p w14:paraId="4FA0FB92" w14:textId="77777777" w:rsidR="00410252" w:rsidRDefault="00410252">
      <w:pPr>
        <w:pStyle w:val="Szvegtrzs"/>
        <w:spacing w:before="141"/>
        <w:ind w:left="0"/>
      </w:pPr>
    </w:p>
    <w:p w14:paraId="6DDFF8B6" w14:textId="77777777" w:rsidR="00410252" w:rsidRDefault="00DD1D99">
      <w:pPr>
        <w:pStyle w:val="Szvegtrzs"/>
        <w:spacing w:line="360" w:lineRule="auto"/>
        <w:ind w:right="114"/>
        <w:jc w:val="both"/>
      </w:pPr>
      <w:r>
        <w:t>A 7.9. pontban a „Szövetségi Közlekedési és Digitális Infrastruktúraügyi Minisztérium (HAVE)” szövegrész helyébe a „Szövetségi Digitális és Közlekedési Minisztérium” szöveg lép.</w:t>
      </w:r>
    </w:p>
    <w:p w14:paraId="445554CE" w14:textId="77777777" w:rsidR="00410252" w:rsidRDefault="00410252">
      <w:pPr>
        <w:pStyle w:val="Szvegtrzs"/>
        <w:spacing w:before="139"/>
        <w:ind w:left="0"/>
      </w:pPr>
    </w:p>
    <w:p w14:paraId="18A331E3" w14:textId="77777777" w:rsidR="00410252" w:rsidRDefault="00DD1D99">
      <w:pPr>
        <w:pStyle w:val="Szvegtrzs"/>
        <w:jc w:val="both"/>
      </w:pPr>
      <w:r>
        <w:t>A szöveg a 7.15. pont előtt a következő új 7.15. ponttal egészül ki.</w:t>
      </w:r>
    </w:p>
    <w:p w14:paraId="47BD9D24" w14:textId="77777777" w:rsidR="00410252" w:rsidRDefault="00DD1D99">
      <w:pPr>
        <w:pStyle w:val="Szvegtrzs"/>
        <w:spacing w:before="137" w:line="360" w:lineRule="auto"/>
        <w:ind w:left="683" w:right="116" w:hanging="567"/>
        <w:jc w:val="both"/>
      </w:pPr>
      <w:r>
        <w:t>„7.15. Minden fényszórók beállítására szolgáló vizsgálóberendezésnek hosszanti és keresztirányban megfelelő módon állíthatónak kell lennie, hogy a fényszórók beállítására szolgáló vizsgálóberendezés kalibrálásának részeként figyelembe lehessen venni a jármű alapfelületének hosszanti és keresztirányú dőlésszögét.”</w:t>
      </w:r>
    </w:p>
    <w:p w14:paraId="50425973" w14:textId="77777777" w:rsidR="00410252" w:rsidRDefault="00410252">
      <w:pPr>
        <w:pStyle w:val="Szvegtrzs"/>
        <w:spacing w:before="139"/>
        <w:ind w:left="0"/>
      </w:pPr>
    </w:p>
    <w:p w14:paraId="1C6E75C8" w14:textId="77777777" w:rsidR="00410252" w:rsidRDefault="00DD1D99">
      <w:pPr>
        <w:pStyle w:val="Szvegtrzs"/>
        <w:jc w:val="both"/>
      </w:pPr>
      <w:r>
        <w:t>A korábbi 7.15. pont 7.16. pontként a következőre módosul:</w:t>
      </w:r>
    </w:p>
    <w:p w14:paraId="54A94DCD" w14:textId="77777777" w:rsidR="00410252" w:rsidRDefault="00DD1D99">
      <w:pPr>
        <w:pStyle w:val="Szvegtrzs"/>
        <w:spacing w:before="137" w:line="360" w:lineRule="auto"/>
        <w:ind w:left="683" w:right="112" w:hanging="567"/>
        <w:jc w:val="both"/>
      </w:pPr>
      <w:r>
        <w:t>„7.16. Minden fényszórók beállítására szolgáló vizsgálóberendezésnek megfelelő eszközökkel kalibrálhatónak kell lennie. A kalibráláshoz és beállításhoz szükséges információkat az ASA Egyesület adatbázisán keresztül megkülönböztetésmentes módon az akkreditált kalibráló laboratóriumok rendelkezésére kell bocsátani. Ez magában foglalja a megfelelő eszközfunkciókhoz (beleértve a hardver- és szoftverfelületeket, adatnaplókat) való hozzáférést is.</w:t>
      </w:r>
    </w:p>
    <w:p w14:paraId="7E1A8AA2" w14:textId="77777777" w:rsidR="00410252" w:rsidRDefault="00410252">
      <w:pPr>
        <w:pStyle w:val="Szvegtrzs"/>
        <w:spacing w:before="141"/>
        <w:ind w:left="0"/>
      </w:pPr>
    </w:p>
    <w:p w14:paraId="5B456EE6" w14:textId="77777777" w:rsidR="00410252" w:rsidRDefault="00DD1D99">
      <w:pPr>
        <w:pStyle w:val="Szvegtrzs"/>
      </w:pPr>
      <w:r>
        <w:t>A 9.7. pontban a „bekezdések” szót el kell hagyni, és helyébe a „pontok” szó lép.</w:t>
      </w:r>
    </w:p>
    <w:p w14:paraId="11BC45C0" w14:textId="77777777" w:rsidR="00410252" w:rsidRDefault="00410252">
      <w:pPr>
        <w:pStyle w:val="Szvegtrzs"/>
        <w:spacing w:before="274"/>
        <w:ind w:left="0"/>
      </w:pPr>
    </w:p>
    <w:p w14:paraId="7ECC8234" w14:textId="77777777" w:rsidR="00410252" w:rsidRDefault="00DD1D99">
      <w:pPr>
        <w:pStyle w:val="Szvegtrzs"/>
      </w:pPr>
      <w:r>
        <w:t>A szöveg a 9.8.1. pont előtt a következő új 9.8.1. ponttal egészül ki:</w:t>
      </w:r>
    </w:p>
    <w:p w14:paraId="1251A431" w14:textId="4C76AD80" w:rsidR="00410252" w:rsidRDefault="00DD1D99" w:rsidP="00FC29E6">
      <w:pPr>
        <w:pStyle w:val="Szvegtrzs"/>
        <w:spacing w:before="137" w:line="360" w:lineRule="auto"/>
        <w:ind w:left="683" w:right="189" w:hanging="567"/>
        <w:rPr>
          <w:b/>
        </w:rPr>
      </w:pPr>
      <w:r>
        <w:t xml:space="preserve">„9.8.1. </w:t>
      </w:r>
      <w:r w:rsidR="00FC29E6">
        <w:t>A 7.15</w:t>
      </w:r>
      <w:r>
        <w:t xml:space="preserve">. pontban szereplő követelmény teljesítettnek tekintendő, ha az ellenőrzés során a projektort a hossztengelye körül egymás után ± 1,5 %-kal elforgatják, keresztirányban pedig legfeljebb ± 1,5 %-kal megdöntik, és ez a beállítás részeként kompenzálható. A fényszórók beállítására szolgáló vizsgálóberendezés megfelelő </w:t>
      </w:r>
      <w:r>
        <w:lastRenderedPageBreak/>
        <w:t xml:space="preserve">beállítása után </w:t>
      </w:r>
      <w:r w:rsidR="00FC29E6">
        <w:t>a 9.4., 9.7. és 9.8. pontban</w:t>
      </w:r>
      <w:r>
        <w:t xml:space="preserve"> említett vizsgálatokat meg kell ismételni.”</w:t>
      </w:r>
    </w:p>
    <w:p w14:paraId="6E3AE374" w14:textId="77777777" w:rsidR="00410252" w:rsidRDefault="00DD1D99">
      <w:pPr>
        <w:pStyle w:val="Szvegtrzs"/>
        <w:spacing w:before="79" w:line="360" w:lineRule="auto"/>
      </w:pPr>
      <w:r>
        <w:t>A korábbi 9.8.1. pont 9.8.2. pontra változik, és a szöveg kiegészül a következő mondattal: „Ezt az ellenőrzést ezenkívül a 9.8.1. pont szerint beállított állapotban kell elvégezni.”</w:t>
      </w:r>
    </w:p>
    <w:p w14:paraId="6434DDE9" w14:textId="77777777" w:rsidR="00410252" w:rsidRDefault="00410252">
      <w:pPr>
        <w:pStyle w:val="Szvegtrzs"/>
        <w:spacing w:before="140"/>
        <w:ind w:left="0"/>
      </w:pPr>
    </w:p>
    <w:p w14:paraId="5B322EC0" w14:textId="77777777" w:rsidR="00410252" w:rsidRDefault="00DD1D99">
      <w:pPr>
        <w:pStyle w:val="Szvegtrzs"/>
      </w:pPr>
      <w:r>
        <w:t>A 10. pont (2) bekezdésének első mondata a következőre módosul:</w:t>
      </w:r>
    </w:p>
    <w:p w14:paraId="2F38664D" w14:textId="77777777" w:rsidR="00410252" w:rsidRDefault="00DD1D99">
      <w:pPr>
        <w:pStyle w:val="Szvegtrzs"/>
        <w:spacing w:before="243" w:line="360" w:lineRule="auto"/>
        <w:ind w:right="136"/>
      </w:pPr>
      <w:r>
        <w:t>„A vezető műszaki vizsgáló testület vagy a KBA bármikor felülvizsgálhatja a gyártásmegfelelőség ellenőrzésére alkalmazott eljárásokat a fényszórók beállítására szolgáló vizsgálóberendezés gyártójának költségére.”</w:t>
      </w:r>
    </w:p>
    <w:p w14:paraId="21B956B1" w14:textId="77777777" w:rsidR="00410252" w:rsidRDefault="00410252">
      <w:pPr>
        <w:pStyle w:val="Szvegtrzs"/>
        <w:spacing w:before="138"/>
        <w:ind w:left="0"/>
      </w:pPr>
    </w:p>
    <w:p w14:paraId="5E3F790C" w14:textId="77777777" w:rsidR="00410252" w:rsidRDefault="00DD1D99">
      <w:pPr>
        <w:pStyle w:val="Szvegtrzs"/>
      </w:pPr>
      <w:r>
        <w:t>A helyesbítést legkésőbb a közzétételtől számított három hónapon belül kell alkalmazni.</w:t>
      </w:r>
    </w:p>
    <w:p w14:paraId="4413BCC4" w14:textId="77777777" w:rsidR="00410252" w:rsidRDefault="00410252">
      <w:pPr>
        <w:pStyle w:val="Szvegtrzs"/>
        <w:ind w:left="0"/>
      </w:pPr>
    </w:p>
    <w:p w14:paraId="443D8B43" w14:textId="77777777" w:rsidR="00410252" w:rsidRDefault="00410252">
      <w:pPr>
        <w:pStyle w:val="Szvegtrzs"/>
        <w:spacing w:before="257"/>
        <w:ind w:left="0"/>
      </w:pPr>
    </w:p>
    <w:p w14:paraId="08145DF0" w14:textId="77777777" w:rsidR="00410252" w:rsidRDefault="00DD1D99" w:rsidP="00DD1D99">
      <w:pPr>
        <w:pStyle w:val="Szvegtrzs"/>
        <w:ind w:left="5670" w:firstLine="426"/>
      </w:pPr>
      <w:r>
        <w:t>A Szövetségi Digitális és Közlekedési Minisztérium nevében:</w:t>
      </w:r>
    </w:p>
    <w:p w14:paraId="10647670" w14:textId="77777777" w:rsidR="00410252" w:rsidRDefault="00DD1D99">
      <w:pPr>
        <w:pStyle w:val="Szvegtrzs"/>
        <w:spacing w:before="1"/>
        <w:ind w:left="6498"/>
      </w:pPr>
      <w:proofErr w:type="spellStart"/>
      <w:r>
        <w:t>Iris</w:t>
      </w:r>
      <w:proofErr w:type="spellEnd"/>
      <w:r>
        <w:t> </w:t>
      </w:r>
      <w:proofErr w:type="spellStart"/>
      <w:r>
        <w:t>Reimold</w:t>
      </w:r>
      <w:proofErr w:type="spellEnd"/>
    </w:p>
    <w:sectPr w:rsidR="00410252" w:rsidSect="002C0462">
      <w:pgSz w:w="11910" w:h="16840"/>
      <w:pgMar w:top="1320" w:right="1300" w:bottom="156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86DFF"/>
    <w:multiLevelType w:val="multilevel"/>
    <w:tmpl w:val="7E8ADE06"/>
    <w:lvl w:ilvl="0">
      <w:start w:val="4"/>
      <w:numFmt w:val="decimal"/>
      <w:lvlText w:val="%1"/>
      <w:lvlJc w:val="left"/>
      <w:pPr>
        <w:ind w:left="683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2">
      <w:numFmt w:val="bullet"/>
      <w:lvlText w:val=""/>
      <w:lvlJc w:val="left"/>
      <w:pPr>
        <w:ind w:left="10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3">
      <w:numFmt w:val="bullet"/>
      <w:lvlText w:val="•"/>
      <w:lvlJc w:val="left"/>
      <w:pPr>
        <w:ind w:left="2073" w:hanging="36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106" w:hanging="36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139" w:hanging="36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172" w:hanging="36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205" w:hanging="36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238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43BC3CFD"/>
    <w:multiLevelType w:val="hybridMultilevel"/>
    <w:tmpl w:val="C996F9BC"/>
    <w:lvl w:ilvl="0" w:tplc="339686D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E93E8F2A">
      <w:numFmt w:val="bullet"/>
      <w:lvlText w:val="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2" w:tplc="CC207754">
      <w:numFmt w:val="bullet"/>
      <w:lvlText w:val="•"/>
      <w:lvlJc w:val="left"/>
      <w:pPr>
        <w:ind w:left="1780" w:hanging="361"/>
      </w:pPr>
      <w:rPr>
        <w:rFonts w:hint="default"/>
        <w:lang w:val="de-DE" w:eastAsia="en-US" w:bidi="ar-SA"/>
      </w:rPr>
    </w:lvl>
    <w:lvl w:ilvl="3" w:tplc="68B8E656">
      <w:numFmt w:val="bullet"/>
      <w:lvlText w:val="•"/>
      <w:lvlJc w:val="left"/>
      <w:pPr>
        <w:ind w:left="2720" w:hanging="361"/>
      </w:pPr>
      <w:rPr>
        <w:rFonts w:hint="default"/>
        <w:lang w:val="de-DE" w:eastAsia="en-US" w:bidi="ar-SA"/>
      </w:rPr>
    </w:lvl>
    <w:lvl w:ilvl="4" w:tplc="1DF484BC">
      <w:numFmt w:val="bullet"/>
      <w:lvlText w:val="•"/>
      <w:lvlJc w:val="left"/>
      <w:pPr>
        <w:ind w:left="3661" w:hanging="361"/>
      </w:pPr>
      <w:rPr>
        <w:rFonts w:hint="default"/>
        <w:lang w:val="de-DE" w:eastAsia="en-US" w:bidi="ar-SA"/>
      </w:rPr>
    </w:lvl>
    <w:lvl w:ilvl="5" w:tplc="BEBCCF26">
      <w:numFmt w:val="bullet"/>
      <w:lvlText w:val="•"/>
      <w:lvlJc w:val="left"/>
      <w:pPr>
        <w:ind w:left="4601" w:hanging="361"/>
      </w:pPr>
      <w:rPr>
        <w:rFonts w:hint="default"/>
        <w:lang w:val="de-DE" w:eastAsia="en-US" w:bidi="ar-SA"/>
      </w:rPr>
    </w:lvl>
    <w:lvl w:ilvl="6" w:tplc="A1D63AC2">
      <w:numFmt w:val="bullet"/>
      <w:lvlText w:val="•"/>
      <w:lvlJc w:val="left"/>
      <w:pPr>
        <w:ind w:left="5542" w:hanging="361"/>
      </w:pPr>
      <w:rPr>
        <w:rFonts w:hint="default"/>
        <w:lang w:val="de-DE" w:eastAsia="en-US" w:bidi="ar-SA"/>
      </w:rPr>
    </w:lvl>
    <w:lvl w:ilvl="7" w:tplc="B4582200">
      <w:numFmt w:val="bullet"/>
      <w:lvlText w:val="•"/>
      <w:lvlJc w:val="left"/>
      <w:pPr>
        <w:ind w:left="6482" w:hanging="361"/>
      </w:pPr>
      <w:rPr>
        <w:rFonts w:hint="default"/>
        <w:lang w:val="de-DE" w:eastAsia="en-US" w:bidi="ar-SA"/>
      </w:rPr>
    </w:lvl>
    <w:lvl w:ilvl="8" w:tplc="BC1ACAF2">
      <w:numFmt w:val="bullet"/>
      <w:lvlText w:val="•"/>
      <w:lvlJc w:val="left"/>
      <w:pPr>
        <w:ind w:left="7423" w:hanging="361"/>
      </w:pPr>
      <w:rPr>
        <w:rFonts w:hint="default"/>
        <w:lang w:val="de-DE" w:eastAsia="en-US" w:bidi="ar-SA"/>
      </w:rPr>
    </w:lvl>
  </w:abstractNum>
  <w:abstractNum w:abstractNumId="2" w15:restartNumberingAfterBreak="0">
    <w:nsid w:val="58561FFB"/>
    <w:multiLevelType w:val="hybridMultilevel"/>
    <w:tmpl w:val="14F44C56"/>
    <w:lvl w:ilvl="0" w:tplc="E9644960">
      <w:numFmt w:val="bullet"/>
      <w:lvlText w:val=""/>
      <w:lvlJc w:val="left"/>
      <w:pPr>
        <w:ind w:left="68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B86E596">
      <w:numFmt w:val="bullet"/>
      <w:lvlText w:val="•"/>
      <w:lvlJc w:val="left"/>
      <w:pPr>
        <w:ind w:left="1542" w:hanging="361"/>
      </w:pPr>
      <w:rPr>
        <w:rFonts w:hint="default"/>
        <w:lang w:val="de-DE" w:eastAsia="en-US" w:bidi="ar-SA"/>
      </w:rPr>
    </w:lvl>
    <w:lvl w:ilvl="2" w:tplc="6774410C">
      <w:numFmt w:val="bullet"/>
      <w:lvlText w:val="•"/>
      <w:lvlJc w:val="left"/>
      <w:pPr>
        <w:ind w:left="2404" w:hanging="361"/>
      </w:pPr>
      <w:rPr>
        <w:rFonts w:hint="default"/>
        <w:lang w:val="de-DE" w:eastAsia="en-US" w:bidi="ar-SA"/>
      </w:rPr>
    </w:lvl>
    <w:lvl w:ilvl="3" w:tplc="C746677E">
      <w:numFmt w:val="bullet"/>
      <w:lvlText w:val="•"/>
      <w:lvlJc w:val="left"/>
      <w:pPr>
        <w:ind w:left="3267" w:hanging="361"/>
      </w:pPr>
      <w:rPr>
        <w:rFonts w:hint="default"/>
        <w:lang w:val="de-DE" w:eastAsia="en-US" w:bidi="ar-SA"/>
      </w:rPr>
    </w:lvl>
    <w:lvl w:ilvl="4" w:tplc="DF462C74">
      <w:numFmt w:val="bullet"/>
      <w:lvlText w:val="•"/>
      <w:lvlJc w:val="left"/>
      <w:pPr>
        <w:ind w:left="4129" w:hanging="361"/>
      </w:pPr>
      <w:rPr>
        <w:rFonts w:hint="default"/>
        <w:lang w:val="de-DE" w:eastAsia="en-US" w:bidi="ar-SA"/>
      </w:rPr>
    </w:lvl>
    <w:lvl w:ilvl="5" w:tplc="E012A74E">
      <w:numFmt w:val="bullet"/>
      <w:lvlText w:val="•"/>
      <w:lvlJc w:val="left"/>
      <w:pPr>
        <w:ind w:left="4992" w:hanging="361"/>
      </w:pPr>
      <w:rPr>
        <w:rFonts w:hint="default"/>
        <w:lang w:val="de-DE" w:eastAsia="en-US" w:bidi="ar-SA"/>
      </w:rPr>
    </w:lvl>
    <w:lvl w:ilvl="6" w:tplc="DC0EBBA6">
      <w:numFmt w:val="bullet"/>
      <w:lvlText w:val="•"/>
      <w:lvlJc w:val="left"/>
      <w:pPr>
        <w:ind w:left="5854" w:hanging="361"/>
      </w:pPr>
      <w:rPr>
        <w:rFonts w:hint="default"/>
        <w:lang w:val="de-DE" w:eastAsia="en-US" w:bidi="ar-SA"/>
      </w:rPr>
    </w:lvl>
    <w:lvl w:ilvl="7" w:tplc="64AA54C2">
      <w:numFmt w:val="bullet"/>
      <w:lvlText w:val="•"/>
      <w:lvlJc w:val="left"/>
      <w:pPr>
        <w:ind w:left="6716" w:hanging="361"/>
      </w:pPr>
      <w:rPr>
        <w:rFonts w:hint="default"/>
        <w:lang w:val="de-DE" w:eastAsia="en-US" w:bidi="ar-SA"/>
      </w:rPr>
    </w:lvl>
    <w:lvl w:ilvl="8" w:tplc="04BE3998">
      <w:numFmt w:val="bullet"/>
      <w:lvlText w:val="•"/>
      <w:lvlJc w:val="left"/>
      <w:pPr>
        <w:ind w:left="7579" w:hanging="361"/>
      </w:pPr>
      <w:rPr>
        <w:rFonts w:hint="default"/>
        <w:lang w:val="de-DE" w:eastAsia="en-US" w:bidi="ar-SA"/>
      </w:rPr>
    </w:lvl>
  </w:abstractNum>
  <w:num w:numId="1" w16cid:durableId="1015964641">
    <w:abstractNumId w:val="2"/>
  </w:num>
  <w:num w:numId="2" w16cid:durableId="549994605">
    <w:abstractNumId w:val="0"/>
  </w:num>
  <w:num w:numId="3" w16cid:durableId="170204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252"/>
    <w:rsid w:val="002C0462"/>
    <w:rsid w:val="00410252"/>
    <w:rsid w:val="00913297"/>
    <w:rsid w:val="00DD1D99"/>
    <w:rsid w:val="00F263AA"/>
    <w:rsid w:val="00FC29E6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E592"/>
  <w15:docId w15:val="{9A6E57DE-A180-461A-8D58-F8BD83FB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9"/>
    <w:qFormat/>
    <w:pPr>
      <w:ind w:left="352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38"/>
      <w:ind w:left="476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984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Krautscheid, Rainer</dc:creator>
  <cp:lastModifiedBy>User</cp:lastModifiedBy>
  <cp:revision>4</cp:revision>
  <dcterms:created xsi:type="dcterms:W3CDTF">2024-04-22T10:08:00Z</dcterms:created>
  <dcterms:modified xsi:type="dcterms:W3CDTF">2024-05-07T13:28:00Z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2019</vt:lpwstr>
  </property>
</Properties>
</file>