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Zbierka zákonov Švédska</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Uverejnené</w:t>
                            </w:r>
                            <w:r>
                              <w:rPr>
                                <w:sz w:val="20"/>
                              </w:rPr>
                              <w:br/>
                              <w:t>4. októbra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Uverejnené</w:t>
                      </w:r>
                      <w:r>
                        <w:rPr>
                          <w:sz w:val="20"/>
                        </w:rPr>
                        <w:br/>
                      </w:r>
                      <w:r>
                        <w:rPr>
                          <w:sz w:val="20"/>
                        </w:rPr>
                        <w:t xml:space="preserve">4. októbra 2024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Nariadenie,</w:t>
      </w:r>
      <w:r>
        <w:br/>
        <w:t>ktorým sa mení nariadenie (2020: 1180) o určitých emisiách skleníkových plynov</w:t>
      </w:r>
    </w:p>
    <w:bookmarkEnd w:id="1"/>
    <w:p w14:paraId="4CF55EA6" w14:textId="4FF59BAE" w:rsidR="006B5876" w:rsidRPr="00496B57" w:rsidRDefault="0087398B" w:rsidP="009204A0">
      <w:pPr>
        <w:pStyle w:val="BodyText"/>
        <w:ind w:right="-143"/>
      </w:pPr>
      <w:r>
        <w:t>Vydané 3. októbra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Vláda stanovuje,</w:t>
      </w:r>
      <w:r w:rsidR="006934C3">
        <w:rPr>
          <w:rStyle w:val="FootnoteReference"/>
        </w:rPr>
        <w:footnoteReference w:id="2"/>
      </w:r>
      <w:r>
        <w:t xml:space="preserve"> pokiaľ ide o nariadenie (2020:1180) o určitých emisiách skleníkových plynov,</w:t>
      </w:r>
      <w:r>
        <w:rPr>
          <w:rStyle w:val="FootnoteReference"/>
        </w:rPr>
        <w:footnoteReference w:id="3"/>
      </w:r>
      <w:r>
        <w:t xml:space="preserve"> nasledujúce:</w:t>
      </w:r>
    </w:p>
    <w:p w14:paraId="32290B19" w14:textId="77777777" w:rsidR="0087398B" w:rsidRDefault="0087398B" w:rsidP="009204A0">
      <w:pPr>
        <w:pStyle w:val="BodyText"/>
        <w:spacing w:line="264" w:lineRule="exact"/>
        <w:ind w:left="371" w:right="-143" w:firstLine="55"/>
      </w:pPr>
      <w:r>
        <w:rPr>
          <w:i/>
        </w:rPr>
        <w:t>že</w:t>
      </w:r>
      <w:r>
        <w:t xml:space="preserve"> príloha sa stáva prílohou 1;</w:t>
      </w:r>
    </w:p>
    <w:p w14:paraId="46D8DBAE" w14:textId="63C4E246" w:rsidR="0087398B" w:rsidRDefault="0087398B" w:rsidP="009204A0">
      <w:pPr>
        <w:pStyle w:val="BodyText"/>
        <w:spacing w:before="8"/>
        <w:ind w:left="142" w:right="-143" w:firstLine="284"/>
      </w:pPr>
      <w:r>
        <w:rPr>
          <w:i/>
        </w:rPr>
        <w:t>že</w:t>
      </w:r>
      <w:r>
        <w:t xml:space="preserve"> kapitola 1 oddiely 1 – 3 a 9, kapitola 3 oddiely 1, 2, 6, 14 a 15, kapitola 4 oddiel 2, kapitola 6 oddiely 2 – 4, kapitola 9 oddiely 2 a 5, kapitola 10 oddiel 5 a kapitola 11 oddiel 1 majú nasledujúce znenie;</w:t>
      </w:r>
    </w:p>
    <w:p w14:paraId="5DDB15D3" w14:textId="102D69C7" w:rsidR="0087398B" w:rsidRDefault="0087398B" w:rsidP="009204A0">
      <w:pPr>
        <w:pStyle w:val="BodyText"/>
        <w:spacing w:before="8"/>
        <w:ind w:left="142" w:right="-143" w:firstLine="284"/>
      </w:pPr>
      <w:r>
        <w:rPr>
          <w:i/>
        </w:rPr>
        <w:t>že</w:t>
      </w:r>
      <w:r>
        <w:t xml:space="preserve"> sa vkladá nová kapitola, kapitola 3a, dva nové odseky, kapitola 9 oddiel 5a a kapitola 11 oddiel 4, a nová príloha, príloha 2, v nasledujúcom znení.</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Kapitola 1</w:t>
      </w:r>
    </w:p>
    <w:p w14:paraId="05A75EF9" w14:textId="1308DC20" w:rsidR="0087398B" w:rsidRDefault="0087398B" w:rsidP="009204A0">
      <w:pPr>
        <w:pStyle w:val="BodyText"/>
        <w:spacing w:before="117"/>
        <w:ind w:left="144" w:right="-143"/>
      </w:pPr>
      <w:r>
        <w:rPr>
          <w:b/>
        </w:rPr>
        <w:t>Oddiel 1</w:t>
      </w:r>
      <w:r>
        <w:rPr>
          <w:rStyle w:val="FootnoteReference"/>
          <w:b/>
        </w:rPr>
        <w:footnoteReference w:id="4"/>
      </w:r>
      <w:r>
        <w:rPr>
          <w:sz w:val="15"/>
        </w:rPr>
        <w:t xml:space="preserve"> </w:t>
      </w:r>
      <w:r>
        <w:t>Toto nariadenie obsahuje ustanovenia o uplatňovaní zákona (2020:1173) o určitých emisiách skleníkových plynov. Nariadenie obsahuje aj ustanovenia o medzinárodnej spolupráci podľa článku 6 Parížskej dohody.</w:t>
      </w:r>
    </w:p>
    <w:p w14:paraId="00F32F08" w14:textId="77777777" w:rsidR="0087398B" w:rsidRDefault="0087398B" w:rsidP="009204A0">
      <w:pPr>
        <w:pStyle w:val="BodyText"/>
        <w:spacing w:line="264" w:lineRule="exact"/>
        <w:ind w:left="370" w:right="-143"/>
      </w:pPr>
      <w:r>
        <w:t>Nariadenie dopĺňa:</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nariadenia EÚ prijaté na základe smernice 2003/87/ES Európskeho parlamentu a Rady z 13. októbra 2003 o vytvorení systému obchodovania s emisnými kvótami skleníkových plynov v spoločenstve, a ktorou sa mení a dopĺňa smernica Rady 96/61/ES, v znení zmien smernice Európskeho parlamentu a Rady (EÚ) 2023/959 (smernica o systéme obchodovania s emisiami (ETS));</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nariadenie Európskeho parlamentu a Rady (EÚ) 2015/757 z 29. apríla 2015 o monitorovaní, nahlasovaní a overovaní emisií oxidu uhličitého z námornej dopravy a o zmene smernice 2009/16/ES (nariadenie EÚ o monitorovaní, nahlasovaní a overovaní emisií) a</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nariadenia EÚ prijaté na základe nariadenia EÚ o monitorovaní, nahlasovaní a overovaní emisií.</w:t>
      </w:r>
    </w:p>
    <w:p w14:paraId="1E8B2506" w14:textId="77777777" w:rsidR="0087398B" w:rsidRDefault="0087398B" w:rsidP="009204A0">
      <w:pPr>
        <w:pStyle w:val="BodyText"/>
        <w:spacing w:before="7"/>
        <w:ind w:left="370" w:right="-143"/>
      </w:pPr>
      <w:r>
        <w:t>Toto nariadenie sa vydáva na základe</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 xml:space="preserve">oddielu 7 ods. 1 zákona o určitých emisiách skleníkových plynov, </w:t>
      </w:r>
      <w:r>
        <w:rPr>
          <w:sz w:val="23"/>
        </w:rPr>
        <w:lastRenderedPageBreak/>
        <w:t>pokiaľ ide o kapitolu 3 oddiely 1 – 7 a kapitolu 3a oddiely 1 – 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oddielu 7 ods. 2 zákona o určitých emisiách skleníkových plynov, pokiaľ ide o kapitolu 3 oddiely 9a a 9b;</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oddielu 11 zákona o určitých emisiách skleníkových plynov, pokiaľ ide o kapitolu 4 oddiel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oddielu 11a zákona o určitých emisiách skleníkových plynov, pokiaľ ide o kapitolu 4 oddiely 1a a 11 – 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12 zákona o určitých emisiách skleníkových plynov, pokiaľ ide o kapitolu 3 oddiely 8 a 10, kapitolu 3a oddiely 7 – 9 a kapitolu 4 oddiel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13 zákona o určitých emisiách skleníkových plynov, pokiaľ ide o kapitolu 3 oddiel 14, kapitolu 3a oddiel 15, kapitolu 4 oddiely 1, 2 a 7 – 8c a kapitolu 4a oddiely 1 – 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15 zákona o určitých emisiách skleníkových plynov, pokiaľ ide o kapitolu 5 oddiely 3, 8 – 11 a 13 – 17 a kapitolu 11 oddiel 1 ods.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17 zákona o určitých emisiách skleníkových plynov, pokiaľ ide o kapitolu 3 oddiel 15, kapitolu 3a oddiel 16, kapitolu 4a oddiely 6 – 11, kapitolu 8 oddiely 2 – 5 a kapitolu 9 oddiely 2 – 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21 zákona o určitých emisiách skleníkových plynov, pokiaľ ide o kapitolu 7 oddiely 2 a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oddielu 22 zákona o určitých emisiách skleníkových plynov, pokiaľ ide o kapitolu 7 oddiely 4 a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oddielu 25 zákona o určitých emisiách skleníkových plynov, pokiaľ ide o kapitolu 3 oddiel 13, kapitolu 3a oddiely 12 – 14, kapitolu 4 oddiely 4, 9 a 10, kapitolu 5 oddiely 5 – 7 a kapitolu 11 oddiel 1 ods. 1</w:t>
      </w:r>
    </w:p>
    <w:p w14:paraId="686564C4" w14:textId="77777777" w:rsidR="0087398B" w:rsidRDefault="0087398B" w:rsidP="009204A0">
      <w:pPr>
        <w:pStyle w:val="BodyText"/>
        <w:spacing w:line="264" w:lineRule="exact"/>
        <w:ind w:left="144" w:right="-143"/>
      </w:pPr>
      <w:r>
        <w:t>a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oddielu 26 zákona o určitých emisiách skleníkových plynov, pokiaľ ide o kapitolu 7 oddiel 8 a kapitolu 11 oddiel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oddielu 41 zákona o určitých emisiách skleníkových plynov, pokiaľ ide o kapitolu 10 oddiely 1 – 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oddielu 42 zákona o určitých emisiách skleníkových plynov, pokiaľ ide o kapitolu 10 oddiely 10 a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oddielu 42a zákona o určitých emisiách skleníkových plynov, pokiaľ ide o kapitolu 10 oddiely 18 – 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oddielu 43 zákona o určitých emisiách skleníkových plynov, pokiaľ ide o kapitolu 10 oddiely 14 a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kapitoly 8 oddielu 11 nástroja vlády, pokiaľ ide o kapitolu 11 oddiel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kapitoly 10 oddielu 2 nástroja vlády, pokiaľ ide o kapitolu 11 oddiel 3, a</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kapitoly 8 oddielu 7 nástroja vlády, pokiaľ ide o ostatné ustanovenia.</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Oddiel 2</w:t>
      </w:r>
      <w:r>
        <w:rPr>
          <w:rStyle w:val="FootnoteReference"/>
          <w:b/>
          <w:spacing w:val="-5"/>
        </w:rPr>
        <w:footnoteReference w:id="5"/>
      </w:r>
      <w:r>
        <w:rPr>
          <w:sz w:val="15"/>
        </w:rPr>
        <w:tab/>
      </w:r>
      <w:r>
        <w:t>Ustanovenia tohto nariadenia sa vzťahujú na:</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obsah a slovník nariadenia (kapitola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orgány (kapitola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emisie zo zariadení (kapitola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emisie z palivových činností (kapitola 3a);</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emisie z letových činností (kapitola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emisie z činností námornej dopravy (kapitola 4a);</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prideľovanie emisných kvót (kapitola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elektronické nakladanie s dokumentmi (kapitola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register Únie (kapitola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vydávanie a vracanie emisných kvót (kapitola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odovzdanie emisných kvót (kapitola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medzinárodnú spoluprácu podľa článku 6 Parížskej dohody (kapitola 9a);</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sankcie (kapitola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povolenia (kapitola 11) a</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odvolania (kapitola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Oddiel 3</w:t>
      </w:r>
      <w:r>
        <w:rPr>
          <w:rStyle w:val="FootnoteReference"/>
          <w:b/>
        </w:rPr>
        <w:footnoteReference w:id="6"/>
      </w:r>
      <w:r>
        <w:rPr>
          <w:sz w:val="15"/>
        </w:rPr>
        <w:t xml:space="preserve"> </w:t>
      </w:r>
      <w:r>
        <w:t>V oddieloch 4 –13 sa vysvetľujú slová a výrazy použité v nariadení. V ostatných prípadoch majú slová a výrazy v nariadení rovnaký význam ako v zákone (2020:1173) o určitých emisiách skleníkových plynov.</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Oddiel 9</w:t>
      </w:r>
      <w:r>
        <w:rPr>
          <w:rStyle w:val="FootnoteReference"/>
          <w:b/>
        </w:rPr>
        <w:footnoteReference w:id="7"/>
      </w:r>
      <w:r>
        <w:rPr>
          <w:sz w:val="15"/>
        </w:rPr>
        <w:t xml:space="preserve"> </w:t>
      </w:r>
      <w:r>
        <w:t>Na účely tohto nariadenia znamená výraz „nový účastník“ zariadenie, ktoré vykonáva akúkoľvek z činností opísaných v prílohe 1, na ktoré sa vzťahuje povolenie na emisie skleníkových plynov prvýkrát vydané</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od 1. júla 2019 do 31. decembra 2025 na obdobie prideľovania 2021 – 2025;  alebo</w:t>
      </w:r>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od 1. júla 2024 do 31. decembra 2030 na obdobie prideľovania 2026 – 2030.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Kapitola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Oddiel 1</w:t>
      </w:r>
      <w:r>
        <w:rPr>
          <w:rStyle w:val="FootnoteReference"/>
          <w:b/>
        </w:rPr>
        <w:footnoteReference w:id="8"/>
      </w:r>
      <w:r>
        <w:rPr>
          <w:sz w:val="15"/>
        </w:rPr>
        <w:tab/>
      </w:r>
      <w:r>
        <w:t>Bez licencie je v zariadení zakázané vykonávať činnosť uvedenú v prílohe 1.</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Oddiel 2</w:t>
      </w:r>
      <w:r>
        <w:rPr>
          <w:rStyle w:val="FootnoteReference"/>
          <w:b/>
        </w:rPr>
        <w:footnoteReference w:id="9"/>
      </w:r>
      <w:r>
        <w:t>    Ustanovenia tohto nariadenia sa nevzťahujú na emisie zo:</w:t>
      </w:r>
      <w:r>
        <w:rPr>
          <w:sz w:val="15"/>
        </w:rPr>
        <w:tab/>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zariadenia alebo časti zariadenia, ktoré sa používa len na účely výskumu alebo vývoja alebo na testovanie nových výrobkov alebo nových procesov;</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zariadenia, v období rokov 2026 až 2030, v ktorom viac ako 95 % celkových emisií skleníkových plynov zariadenia v období rokov 2019 až 2023 pochádza zo spaľovania biomasy, ktorá spĺňa kritériá pre nulový emisný faktor podľa nariadenia o monitorovaní a nahlasovaní; alebo</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zariadenia, v období rokov 2031 až 2035, v ktorom viac ako 95 % celkových emisií skleníkových plynov zariadenia v období rokov 2024 až 2028 pochádza zo spaľovania biomasy, ktorá spĺňa kritériá pre nulový emisný faktor podľa nariadenia o monitorovaní a nahlasovaní.</w:t>
      </w:r>
    </w:p>
    <w:p w14:paraId="29E82A44" w14:textId="77777777" w:rsidR="0087398B" w:rsidRDefault="0087398B" w:rsidP="009204A0">
      <w:pPr>
        <w:pStyle w:val="BodyText"/>
        <w:ind w:left="143" w:right="-143" w:firstLine="227"/>
      </w:pPr>
      <w:r>
        <w:t>Bez ohľadu na prvý odsek sa ustanovenia v tomto nariadení vzťahujú na palivové činnosti, ktorými sa sprístupňujú palivové výrobky spaľované v zariadeniach uvedených v prvom odseku.</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Oddiel 6</w:t>
      </w:r>
      <w:r>
        <w:rPr>
          <w:b/>
        </w:rPr>
        <w:tab/>
      </w:r>
      <w:r>
        <w:t>Povolenie sa udelí, ak:</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zariadenie, na ktorom sa činnosť vykonáva, podlieha potrebným povoleniam podľa zákona o životnom prostredí alebo starších právnych predpisov v oblasti životného prostredia a</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prevádzkovateľ bol vyhodnotený ako schopný spoľahlivo monitorovať a nahlasovať emisie skleníkových plynov z danej činnosti.</w:t>
      </w:r>
    </w:p>
    <w:p w14:paraId="26DCBC4A" w14:textId="77777777" w:rsidR="0087398B" w:rsidRDefault="0087398B" w:rsidP="009204A0">
      <w:pPr>
        <w:pStyle w:val="BodyText"/>
        <w:ind w:left="143" w:right="-143" w:firstLine="227"/>
      </w:pPr>
      <w:r>
        <w:lastRenderedPageBreak/>
        <w:t>Ak na to existujú dôvody, Švédska agentúra na ochranu životného prostredia môže rozhodnúť, že sa činnosť môže začať aj v prípade, ak rozhodnutie o povolení ešte nenadobudlo definitívnu právoplatnosť.</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Oddiel 14</w:t>
      </w:r>
      <w:r>
        <w:rPr>
          <w:rStyle w:val="FootnoteReference"/>
          <w:b/>
          <w:sz w:val="23"/>
        </w:rPr>
        <w:footnoteReference w:id="10"/>
      </w:r>
      <w:r>
        <w:rPr>
          <w:sz w:val="15"/>
        </w:rPr>
        <w:tab/>
      </w:r>
      <w:r>
        <w:rPr>
          <w:sz w:val="23"/>
        </w:rPr>
        <w:t>Najneskôr do dátumu vykazovania uvedeného v kapitole 9 oddiele 5 prevádzkovateľ zabezpečí, aby sa na emisie skleníkových plynov, na ktoré sa vzťahuje opis uvedený v prílohe 1, vzťahovali emisné kvóty.</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Oddiel 15</w:t>
      </w:r>
      <w:r>
        <w:rPr>
          <w:rStyle w:val="FootnoteReference"/>
          <w:b/>
          <w:spacing w:val="-4"/>
          <w:sz w:val="23"/>
        </w:rPr>
        <w:footnoteReference w:id="11"/>
      </w:r>
      <w:r>
        <w:rPr>
          <w:sz w:val="15"/>
        </w:rPr>
        <w:tab/>
      </w:r>
      <w:r>
        <w:rPr>
          <w:sz w:val="23"/>
        </w:rPr>
        <w:t>V prípade emisií skleníkových plynov z činností zariadenia, na ktoré sa vzťahuje opis 1a prílohy 1, sa neuplatňuje:</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podľa oddielu 14 povinnosť zabezpečiť, aby sa na emisie skleníkových plynov vzťahovali emisné kvóty, a</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ustanovenia o odovzdaní emisných kvót uvedené v oddiele 17 zákona (2020:1173) o určitých emisiách skleníkových plynov a oddiele 7 ods. 2 tejto kapitoly.</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Kapitola 3a. Emisie z palivových činností</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Požiadavka povolenia</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Oddiel 1</w:t>
      </w:r>
      <w:r>
        <w:rPr>
          <w:b/>
          <w:sz w:val="23"/>
        </w:rPr>
        <w:tab/>
      </w:r>
      <w:r>
        <w:rPr>
          <w:sz w:val="23"/>
        </w:rPr>
        <w:t>Palivová činnosť, ktorou sa sprístupňujú palivové výrobky na spotrebu a ktoré sa spaľujú v odvetviach uvedených v prílohe 2, sa môže vykonávať až po vydaní povolenia na emisie skleníkových plynov Švédskou agentúrou na ochranu životného prostredia, pokiaľ nie je v oddieloch 2 alebo 3 stanovené inak.</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Oddiel 2</w:t>
      </w:r>
      <w:r>
        <w:rPr>
          <w:b/>
          <w:sz w:val="23"/>
        </w:rPr>
        <w:tab/>
      </w:r>
      <w:r>
        <w:rPr>
          <w:sz w:val="23"/>
        </w:rPr>
        <w:t>Táto kapitola sa nevzťahuje na palivové činnosti, ktoré</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sprístupňujú len také palivové výrobky, ktoré:</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majú nulový emisný faktor; alebo</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sú nebezpečné alebo predstavujú komunálny odpad; alebo</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sprístupňujú len palivové výrobky v súvislosti s:</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predajom na diaľku, ako sa uvádza v kapitole 4c zákona o dani z energie (1994:1776), alebo</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postupom pre zdanený tovar uvedeným v kapitole 4d rovnakého zákona.</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Oddiel 3</w:t>
      </w:r>
      <w:r>
        <w:rPr>
          <w:b/>
          <w:sz w:val="23"/>
        </w:rPr>
        <w:tab/>
      </w:r>
      <w:r>
        <w:rPr>
          <w:sz w:val="23"/>
        </w:rPr>
        <w:t>Táto kapitola sa nevzťahuje na palivové činnosti, pri ktorých sa sprístupňujú len palivové výrobky spaľované pri:</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činnosti uvedenej v prílohe 1 k tomuto nariadeniu, alebo</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činnosti v inom členskom štáte EÚ podliehajúcej ustanoveniam, ktorými sa vykonáva príloha I k smernici o systéme obchodovania s emisiami (ETS) v danom štáte.</w:t>
      </w:r>
    </w:p>
    <w:p w14:paraId="0EB54C8F" w14:textId="77777777" w:rsidR="00EE4403" w:rsidRDefault="00EE4403" w:rsidP="00EE4403">
      <w:pPr>
        <w:pStyle w:val="BodyText"/>
        <w:ind w:left="143" w:right="38" w:firstLine="227"/>
      </w:pPr>
      <w:r>
        <w:t>Bez ohľadu na prvý odsek sa táto kapitola vzťahuje na palivové činnosti, pri ktorých sa sprístupňujú palivové výrobky spaľované:</w:t>
      </w:r>
    </w:p>
    <w:p w14:paraId="5C46B15C" w14:textId="6D091532" w:rsidR="00EE4403" w:rsidRDefault="00EE4403" w:rsidP="00EE4403">
      <w:pPr>
        <w:pStyle w:val="BodyText"/>
        <w:ind w:left="143" w:right="38" w:firstLine="227"/>
      </w:pPr>
      <w:r>
        <w:t>1. v súvislosti s prepravou skleníkových plynov na účely geologického ukladania v úložisku schválenom v súlade so smernicou Európskeho parlamentu a Rady 2009/31/ES z 23. apríla 2009 o geologickom ukladaní oxidu uhličitého a o zmene a doplnení smernice Rady 85/337/EHS, smerníc Európskeho parlamentu a Rady 2000/60/ES, 2001/80/ES, 2004/35/ES, 2006/12/ES, 2008/1/ES a nariadenia (ES) č. 1013/2006; alebo</w:t>
      </w:r>
    </w:p>
    <w:p w14:paraId="1F0F0518" w14:textId="788CC356" w:rsidR="00EE4403" w:rsidRDefault="00EE4403" w:rsidP="00EE4403">
      <w:pPr>
        <w:pStyle w:val="BodyText"/>
        <w:ind w:left="143" w:right="39" w:firstLine="227"/>
      </w:pPr>
      <w:r>
        <w:t>2. v zariadeniach vylúčených na základe článku 27a smernice o ETS.</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Oddiel 4</w:t>
      </w:r>
      <w:r>
        <w:rPr>
          <w:b/>
          <w:sz w:val="23"/>
        </w:rPr>
        <w:tab/>
      </w:r>
      <w:r>
        <w:rPr>
          <w:sz w:val="23"/>
        </w:rPr>
        <w:t>Prevádzkovateľ, ktorý chce požiadať o povolenie na emisie skleníkových plynov, tak musí urobiť vo Švédskej agentúre na ochranu životného prostredia.</w:t>
      </w:r>
    </w:p>
    <w:p w14:paraId="5D445D47" w14:textId="77777777" w:rsidR="00EE4403" w:rsidRDefault="00EE4403" w:rsidP="00EE4403">
      <w:pPr>
        <w:pStyle w:val="BodyText"/>
        <w:spacing w:line="264" w:lineRule="exact"/>
        <w:ind w:left="370"/>
      </w:pPr>
      <w:r>
        <w:t>Žiadosť musí obsahovať:</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podrobnosti o:</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prevádzkovateľovi;</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druhoch palivových výrobkov, ktoré prevádzkovateľ zamýšľa sprístupniť, a príslušných prostriedkoch sprístupnenia a</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tom, v ktorých odvetviach uvedených v prílohe 2 sa majú palivové výrobky na spaľovanie používať;</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plán monitorovania;</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netechnické zhrnutie údajov uvedených v bodoch 1 a 2 a</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údaje o tom, kto je zodpovedný za kontakt s orgánmi. Ak na to existujú osobitné dôvody, Švédska agentúra na ochranu životného prostredia môže v jednotlivých prípadoch rozhodnúť, že plán monitorovania sa môže predložiť v inom čase, ako je čas uvedený v článku 75b ods. 2 nariadenia o monitorovaní a nahlasovaní.</w:t>
      </w:r>
    </w:p>
    <w:p w14:paraId="56BBEF4C" w14:textId="77777777" w:rsidR="0084626D" w:rsidRPr="009204A0" w:rsidRDefault="0084626D" w:rsidP="0084626D">
      <w:pPr>
        <w:pStyle w:val="Heading2"/>
        <w:spacing w:before="70"/>
        <w:rPr>
          <w:sz w:val="23"/>
          <w:szCs w:val="23"/>
        </w:rPr>
      </w:pPr>
      <w:r>
        <w:rPr>
          <w:noProof/>
          <w:sz w:val="23"/>
        </w:rPr>
        <w:lastRenderedPageBreak/>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Podmienky pre povolenia</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Oddiel 5</w:t>
      </w:r>
      <w:r>
        <w:rPr>
          <w:b/>
          <w:sz w:val="23"/>
        </w:rPr>
        <w:tab/>
      </w:r>
      <w:r>
        <w:rPr>
          <w:sz w:val="23"/>
        </w:rPr>
        <w:t>Povolenia sa udelia, ak bude prevádzkovateľ posúdený ako schopný spoľahlivého monitorovania a nahlasovania emisií skleníkových plynov z jednotlivých činností.</w:t>
      </w:r>
    </w:p>
    <w:p w14:paraId="392F1898" w14:textId="0E8BFB2E" w:rsidR="0084626D" w:rsidRPr="009204A0" w:rsidRDefault="0084626D" w:rsidP="0084626D">
      <w:pPr>
        <w:pStyle w:val="BodyText"/>
        <w:ind w:left="143" w:right="39" w:firstLine="227"/>
        <w:rPr>
          <w:szCs w:val="23"/>
        </w:rPr>
      </w:pPr>
      <w:r>
        <w:t>Ak na to existujú dôvody, Švédska agentúra na ochranu životného prostredia môže rozhodnúť, že činnosť sa môže začať aj v prípade, že rozhodnutie o povolení ešte nenadobudlo definitívnu právoplatnosť.</w:t>
      </w:r>
    </w:p>
    <w:p w14:paraId="5ECF4102" w14:textId="77777777" w:rsidR="0084626D" w:rsidRPr="009204A0" w:rsidRDefault="0084626D" w:rsidP="009204A0">
      <w:pPr>
        <w:pStyle w:val="Heading2"/>
        <w:spacing w:before="200"/>
        <w:rPr>
          <w:sz w:val="23"/>
          <w:szCs w:val="23"/>
        </w:rPr>
      </w:pPr>
      <w:r>
        <w:rPr>
          <w:sz w:val="23"/>
        </w:rPr>
        <w:t>Povinné podmienky povolenia</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Oddiel 6</w:t>
      </w:r>
      <w:r>
        <w:rPr>
          <w:b/>
          <w:sz w:val="23"/>
        </w:rPr>
        <w:tab/>
      </w:r>
      <w:r>
        <w:rPr>
          <w:sz w:val="23"/>
        </w:rPr>
        <w:t>Povolenie podlieha nasledujúcim podmienkam:</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prevádzkovateľ musí monitorovať a nahlasovať emisie v súlade s plánom monitorovania a</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emisné kvóty sa musia odovzdávať v súlade s kapitolou 9.</w:t>
      </w:r>
    </w:p>
    <w:p w14:paraId="6A92CD34" w14:textId="77777777" w:rsidR="0084626D" w:rsidRPr="009204A0" w:rsidRDefault="0084626D" w:rsidP="009204A0">
      <w:pPr>
        <w:pStyle w:val="Heading2"/>
        <w:spacing w:before="200"/>
        <w:rPr>
          <w:sz w:val="23"/>
          <w:szCs w:val="23"/>
        </w:rPr>
      </w:pPr>
      <w:r>
        <w:rPr>
          <w:sz w:val="23"/>
        </w:rPr>
        <w:t>Zmena palivovej činnosti</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Oddiel 7</w:t>
      </w:r>
      <w:r>
        <w:rPr>
          <w:b/>
          <w:sz w:val="23"/>
        </w:rPr>
        <w:tab/>
      </w:r>
      <w:r>
        <w:rPr>
          <w:sz w:val="23"/>
        </w:rPr>
        <w:t>Prevádzkovateľ musí čo najskôr agentúre na ochranu životného prostredia oznámiť všetky plánované zmeny týkajúce sa palivovej činnosti alebo palivových výrobkov sprístupnených na spotrebu.</w:t>
      </w:r>
    </w:p>
    <w:p w14:paraId="0728B7BE" w14:textId="77777777" w:rsidR="0084626D" w:rsidRPr="009204A0" w:rsidRDefault="0084626D" w:rsidP="0084626D">
      <w:pPr>
        <w:pStyle w:val="BodyText"/>
        <w:ind w:left="143" w:right="39" w:firstLine="227"/>
        <w:rPr>
          <w:szCs w:val="23"/>
        </w:rPr>
      </w:pPr>
      <w:r>
        <w:t>Oznámenie sa však vyžaduje len vtedy, ak zmeny môžu mať väčší než len malý vplyv na emisie skleníkových plynov.</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Oddiel 8</w:t>
      </w:r>
      <w:r>
        <w:rPr>
          <w:b/>
          <w:sz w:val="23"/>
        </w:rPr>
        <w:tab/>
      </w:r>
      <w:r>
        <w:rPr>
          <w:sz w:val="23"/>
        </w:rPr>
        <w:t>Švédska agentúra na ochranu životného prostredia preskúma, či zmena uvedená v oddiele 7 vyžaduje stanovenie zmenených alebo nových podmienok monitorovania a podávania správ v prípade danej činnosti. Ak sú takéto podmienky potrebné, orgán udelí nové povolenie.</w:t>
      </w:r>
    </w:p>
    <w:p w14:paraId="0453A9F9" w14:textId="77777777" w:rsidR="0084626D" w:rsidRPr="009204A0" w:rsidRDefault="0084626D" w:rsidP="009204A0">
      <w:pPr>
        <w:pStyle w:val="Heading2"/>
        <w:spacing w:before="200"/>
        <w:rPr>
          <w:sz w:val="23"/>
          <w:szCs w:val="23"/>
        </w:rPr>
      </w:pPr>
      <w:r>
        <w:rPr>
          <w:sz w:val="23"/>
        </w:rPr>
        <w:t>Prevzatie výkonu palivovej činnosti</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Oddiel 9</w:t>
      </w:r>
      <w:r>
        <w:rPr>
          <w:b/>
          <w:sz w:val="23"/>
        </w:rPr>
        <w:tab/>
      </w:r>
      <w:r>
        <w:rPr>
          <w:sz w:val="23"/>
        </w:rPr>
        <w:t>Ak nový prevádzkovateľ prevezme vykonávanie celej palivovej činnosti alebo jej časti, oznámi to agentúre na ochranu životného prostredia čo najskôr.</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Oddiel 10</w:t>
      </w:r>
      <w:r>
        <w:rPr>
          <w:b/>
          <w:sz w:val="23"/>
        </w:rPr>
        <w:tab/>
      </w:r>
      <w:r>
        <w:rPr>
          <w:sz w:val="23"/>
        </w:rPr>
        <w:t>V prípade oznámenia nového prevádzkovateľa vydá Švédska agentúra na ochranu životného prostredia nové povolenie.</w:t>
      </w:r>
    </w:p>
    <w:p w14:paraId="2018E725" w14:textId="77777777" w:rsidR="0084626D" w:rsidRPr="009204A0" w:rsidRDefault="0084626D" w:rsidP="009204A0">
      <w:pPr>
        <w:pStyle w:val="Heading2"/>
        <w:spacing w:before="200"/>
        <w:rPr>
          <w:sz w:val="23"/>
          <w:szCs w:val="23"/>
        </w:rPr>
      </w:pPr>
      <w:r>
        <w:rPr>
          <w:sz w:val="23"/>
        </w:rPr>
        <w:t>Informácie pre Švédsku energetickú agentúru</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Oddiel 11</w:t>
      </w:r>
      <w:r>
        <w:rPr>
          <w:b/>
          <w:sz w:val="23"/>
        </w:rPr>
        <w:tab/>
      </w:r>
      <w:r>
        <w:rPr>
          <w:sz w:val="23"/>
        </w:rPr>
        <w:t>Švédska agentúra na ochranu životného prostredia informuje Švédsku energetickú agentúru o rozhodnutiach týkajúcich sa:</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nového povolenia;</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zrušeného povolenia, alebo</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povolenia pre nového prevádzkovateľa.</w:t>
      </w:r>
    </w:p>
    <w:p w14:paraId="3AC9D82F" w14:textId="77777777" w:rsidR="0084626D" w:rsidRPr="009204A0" w:rsidRDefault="0084626D" w:rsidP="009204A0">
      <w:pPr>
        <w:pStyle w:val="Heading2"/>
        <w:spacing w:before="200"/>
        <w:rPr>
          <w:sz w:val="23"/>
          <w:szCs w:val="23"/>
        </w:rPr>
      </w:pPr>
      <w:r>
        <w:rPr>
          <w:sz w:val="23"/>
        </w:rPr>
        <w:t>Monitorovanie a nahlasovanie</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Oddiel 12</w:t>
      </w:r>
      <w:r>
        <w:rPr>
          <w:b/>
          <w:sz w:val="23"/>
        </w:rPr>
        <w:tab/>
      </w:r>
      <w:r>
        <w:rPr>
          <w:sz w:val="23"/>
        </w:rPr>
        <w:t>Prevádzkovateľ monitoruje a nahlasuje emisie v súlade s nariadením o monitorovaní a nahlasovaní.</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Oddiel 13</w:t>
      </w:r>
      <w:r>
        <w:rPr>
          <w:b/>
          <w:sz w:val="23"/>
        </w:rPr>
        <w:tab/>
      </w:r>
      <w:r>
        <w:rPr>
          <w:sz w:val="23"/>
        </w:rPr>
        <w:t>Pokiaľ ide o nahlasovanie emisií za rok 2024, Švédska agentúra na ochranu životného prostredia môže prevádzkovateľovi umožniť, aby nemusel odôvodniť, prečo konkrétna metóda monitorovania nie je technicky uskutočniteľná alebo prečo by daná metóda monitorovania znamenala neprimerané náklady podľa článku 75c alebo 75d nariadenia o monitorovaní a nahlasovaní.</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lastRenderedPageBreak/>
        <w:t>Oddiel 14</w:t>
      </w:r>
      <w:r>
        <w:rPr>
          <w:b/>
          <w:sz w:val="23"/>
        </w:rPr>
        <w:tab/>
      </w:r>
      <w:r>
        <w:rPr>
          <w:sz w:val="23"/>
        </w:rPr>
        <w:t>V rokoch 2028, 2029 a 2030 prevádzkovateľ v súlade s vykonávacím aktom prijatým Európskou komisiou na základe</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 xml:space="preserve"> článku 30f ods. 3 smernice o ETS vykáže náklady spojené s povinnosťou odovzdať emisné kvóty v prípade palivovej činnosti a emisné kvóty, ktoré boli prenesené na používateľa palivových výrobkov sprístupnených na spotrebu.</w:t>
      </w:r>
    </w:p>
    <w:p w14:paraId="78AEB0A8" w14:textId="6A6B09A4" w:rsidR="00F37F2B" w:rsidRPr="009204A0" w:rsidRDefault="00F37F2B" w:rsidP="00F37F2B">
      <w:pPr>
        <w:pStyle w:val="BodyText"/>
        <w:ind w:left="143" w:right="38" w:firstLine="227"/>
        <w:rPr>
          <w:szCs w:val="23"/>
        </w:rPr>
      </w:pPr>
      <w:r>
        <w:t>Správa sa musí podať do 30. apríla každého roka a vzťahuje sa na priemerné náklady za predchádzajúci kalendárny rok.</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Požiadavky na emisné kvóty</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Oddiel 15</w:t>
      </w:r>
      <w:r>
        <w:rPr>
          <w:b/>
          <w:sz w:val="23"/>
        </w:rPr>
        <w:tab/>
      </w:r>
      <w:r>
        <w:rPr>
          <w:sz w:val="23"/>
        </w:rPr>
        <w:t>Najneskôr do dátumu vykazovania uvedeného v kapitole 9 oddiele 5a musí prevádzkovateľ zabezpečiť, aby sa na emisie skleníkových plynov z činnosti vzťahovali emisné kvóty.</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Výnimky z povinnosti odovzdania</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Oddiel 16</w:t>
      </w:r>
      <w:r>
        <w:rPr>
          <w:b/>
          <w:sz w:val="23"/>
        </w:rPr>
        <w:tab/>
      </w:r>
      <w:r>
        <w:rPr>
          <w:sz w:val="23"/>
        </w:rPr>
        <w:t>Prevádzkovateľ nesmie odovzdať emisné kvóty za činnosti uvedené v oddiele 2 alebo oddiele 3 prvom odseku.</w:t>
      </w:r>
    </w:p>
    <w:p w14:paraId="73DE73D8" w14:textId="77777777" w:rsidR="00F37F2B" w:rsidRPr="009204A0" w:rsidRDefault="00F37F2B" w:rsidP="00F37F2B">
      <w:pPr>
        <w:pStyle w:val="Heading1"/>
        <w:spacing w:before="260"/>
        <w:rPr>
          <w:sz w:val="23"/>
          <w:szCs w:val="23"/>
        </w:rPr>
      </w:pPr>
      <w:bookmarkStart w:id="5" w:name="4€kap."/>
      <w:bookmarkEnd w:id="5"/>
      <w:r>
        <w:rPr>
          <w:sz w:val="23"/>
        </w:rPr>
        <w:t>Kapitola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Oddiel 2</w:t>
      </w:r>
      <w:r>
        <w:rPr>
          <w:b/>
          <w:sz w:val="23"/>
        </w:rPr>
        <w:tab/>
      </w:r>
      <w:r>
        <w:rPr>
          <w:sz w:val="23"/>
        </w:rPr>
        <w:t>Najneskôr do dátumu vykazovania uvedeného v kapitole 9 oddiele 5 musí prevádzkovateľ zabezpečiť, aby sa na emisie oxidu uhličitého z letov v rámci EHP vzťahovali emisné kvóty.</w:t>
      </w:r>
    </w:p>
    <w:p w14:paraId="3633BFAE" w14:textId="77777777" w:rsidR="00F37F2B" w:rsidRPr="009204A0" w:rsidRDefault="00F37F2B" w:rsidP="00F37F2B">
      <w:pPr>
        <w:pStyle w:val="Heading1"/>
        <w:spacing w:before="260"/>
        <w:rPr>
          <w:sz w:val="23"/>
          <w:szCs w:val="23"/>
        </w:rPr>
      </w:pPr>
      <w:bookmarkStart w:id="6" w:name="6€kap."/>
      <w:bookmarkEnd w:id="6"/>
      <w:r>
        <w:rPr>
          <w:sz w:val="23"/>
        </w:rPr>
        <w:t>Kapitola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Oddiel 2</w:t>
      </w:r>
      <w:r w:rsidR="006F34A1" w:rsidRPr="009204A0">
        <w:rPr>
          <w:rStyle w:val="FootnoteReference"/>
          <w:b/>
        </w:rPr>
        <w:footnoteReference w:id="12"/>
      </w:r>
      <w:r>
        <w:rPr>
          <w:sz w:val="23"/>
        </w:rPr>
        <w:tab/>
        <w:t>Žiadosť o povolenie podľa kapitoly 3 oddielu 5 alebo kapitoly 3a oddielu 4 sa predkladá Švédskej agentúre na ochranu životného prostredia elektronicky prostredníctvom technického riešenia uvedeného v oddiele 1.</w:t>
      </w:r>
    </w:p>
    <w:p w14:paraId="02A5F8AB" w14:textId="77777777" w:rsidR="00F37F2B" w:rsidRPr="009204A0" w:rsidRDefault="00F37F2B" w:rsidP="00F37F2B">
      <w:pPr>
        <w:pStyle w:val="BodyText"/>
        <w:ind w:left="143" w:right="38" w:firstLine="227"/>
        <w:rPr>
          <w:szCs w:val="23"/>
        </w:rPr>
      </w:pPr>
      <w:r>
        <w:t>Ak na to existujú osobitné dôvody, Švédska agentúra na ochranu životného prostredia môže v jednotlivých prípadoch rozhodnúť, že žiadosť o povolenie sa môže predložiť iným spôsobom.</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Oddiel 3</w:t>
      </w:r>
      <w:r>
        <w:rPr>
          <w:b/>
          <w:sz w:val="23"/>
        </w:rPr>
        <w:tab/>
      </w:r>
      <w:r>
        <w:rPr>
          <w:sz w:val="23"/>
        </w:rPr>
        <w:t>Dokumenty týkajúce sa monitorovania, nahlasovania a overovania emisií sa musia Švédskej agentúre na ochranu životného prostredia predložiť elektronicky prostredníctvom technického riešenia uvedeného v oddiele 1.</w:t>
      </w:r>
    </w:p>
    <w:p w14:paraId="6852A207" w14:textId="77777777" w:rsidR="00F37F2B" w:rsidRPr="009204A0" w:rsidRDefault="00F37F2B" w:rsidP="00F37F2B">
      <w:pPr>
        <w:pStyle w:val="BodyText"/>
        <w:spacing w:line="264" w:lineRule="exact"/>
        <w:ind w:left="370"/>
        <w:rPr>
          <w:szCs w:val="23"/>
        </w:rPr>
      </w:pPr>
      <w:r>
        <w:t>Ide o tieto dokumenty:</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správy o emisiách;</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plány monitorovania;</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oznámenia o návrhoch na zmeny plánov monitorovania podľa článku 15 nariadenia o monitorovaní a nahlasovaní;</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správy o zlepšeniach metodiky monitorovania podľa článku 69 alebo 75q nariadenia o monitorovaní a nahlasovaní a</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overovacie správy pre správy o emisiách podľa článku 27 ods. 1 alebo 43r nariadenia o overovaní.</w:t>
      </w:r>
    </w:p>
    <w:p w14:paraId="60AE532E" w14:textId="6C904E57" w:rsidR="00F37F2B" w:rsidRPr="009204A0" w:rsidRDefault="00F37F2B" w:rsidP="00F37F2B">
      <w:pPr>
        <w:pStyle w:val="BodyText"/>
        <w:ind w:left="143" w:firstLine="227"/>
        <w:rPr>
          <w:szCs w:val="23"/>
        </w:rPr>
      </w:pPr>
      <w:r>
        <w:t>Ak na to existujú osobitné dôvody, Švédska agentúra na ochranu životného prostredia môže v jednotlivých prípadoch rozhodnúť, že dokumenty možno poskytnúť iným spôsobom.</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w:lastRenderedPageBreak/>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Oddiel 4</w:t>
      </w:r>
      <w:r>
        <w:rPr>
          <w:b/>
          <w:sz w:val="23"/>
        </w:rPr>
        <w:tab/>
      </w:r>
      <w:r>
        <w:rPr>
          <w:sz w:val="23"/>
        </w:rPr>
        <w:t>Pri vydávaní overovacích správ pre správy o emisiách prevádzkovateľom podľa článku 27 ods. 1 alebo 43r nariadenia o overovaní používajú overovatelia technické riešenie uvedené v oddiele 1.</w:t>
      </w:r>
    </w:p>
    <w:p w14:paraId="422D47E8" w14:textId="77777777" w:rsidR="00F37F2B" w:rsidRPr="009204A0" w:rsidRDefault="00F37F2B" w:rsidP="00F37F2B">
      <w:pPr>
        <w:pStyle w:val="BodyText"/>
        <w:ind w:left="143" w:right="38" w:firstLine="227"/>
        <w:rPr>
          <w:szCs w:val="23"/>
        </w:rPr>
      </w:pPr>
      <w:r>
        <w:t>Ak na to existujú osobitné dôvody, Švédska agentúra na ochranu životného prostredia môže v jednotlivých prípadoch rozhodnúť, že overovacie správy možno vydať iným spôsobom.</w:t>
      </w:r>
    </w:p>
    <w:p w14:paraId="6DF5904A" w14:textId="77777777" w:rsidR="003360E7" w:rsidRPr="009204A0" w:rsidRDefault="003360E7" w:rsidP="003360E7">
      <w:pPr>
        <w:pStyle w:val="Heading1"/>
        <w:rPr>
          <w:sz w:val="25"/>
          <w:szCs w:val="25"/>
        </w:rPr>
      </w:pPr>
      <w:r>
        <w:rPr>
          <w:sz w:val="25"/>
        </w:rPr>
        <w:t>Kapitola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Oddiel 2</w:t>
      </w:r>
      <w:r>
        <w:rPr>
          <w:b/>
        </w:rPr>
        <w:tab/>
      </w:r>
      <w:r>
        <w:t>Ak Švédska agentúra na ochranu životného prostredia stanovila emisie v súlade s článkom 70 alebo článkom 75r nariadenia o monitorovaní a nahlasovaní, možno tieto považovať za celkové emisie uvedené v oddiele 16 zákona (2020:1173) o určitých emisiách skleníkových plynov.</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Oddiel 5</w:t>
      </w:r>
      <w:r>
        <w:rPr>
          <w:rStyle w:val="FootnoteReference"/>
          <w:b/>
        </w:rPr>
        <w:footnoteReference w:id="13"/>
      </w:r>
      <w:r>
        <w:rPr>
          <w:sz w:val="15"/>
        </w:rPr>
        <w:tab/>
      </w:r>
      <w:r>
        <w:t>Emisné kvóty sa v prípade zariadení, leteckých činností alebo činností námornej dopravy musia odovzdať do 30. septembra, aj keď tento deň pripadne na sobotu alebo nedeľu, pričom sa týkajú emisií za predchádzajúci kalendárny rok.</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Oddiel 5a</w:t>
      </w:r>
      <w:r>
        <w:rPr>
          <w:b/>
        </w:rPr>
        <w:tab/>
      </w:r>
      <w:r>
        <w:t>Emisné kvóty na palivové činnosti sa po prvýkrát odovzdajú v roku 2028. Emisné kvóty sa musia odovzdať do 31. mája, aj keď tento deň pripadne na sobotu alebo nedeľu, pričom sa týkajú emisií za predchádzajúci kalendárny rok.</w:t>
      </w:r>
    </w:p>
    <w:p w14:paraId="3FFC34B6" w14:textId="77777777" w:rsidR="003360E7" w:rsidRDefault="003360E7" w:rsidP="003360E7">
      <w:pPr>
        <w:pStyle w:val="BodyText"/>
        <w:ind w:left="143" w:right="38" w:firstLine="227"/>
      </w:pPr>
      <w:r>
        <w:t>Ak Európska komisia vydala také oznámenie, ako sa uvádza v článku 30k smernice o ETS, emisné kvóty sa, na rozdiel od toho, čo je stanovené v prvom odseku, musia po prvýkrát odovzdať v roku 2029.</w:t>
      </w:r>
    </w:p>
    <w:p w14:paraId="497F0D9F" w14:textId="77777777" w:rsidR="003360E7" w:rsidRPr="009204A0" w:rsidRDefault="003360E7" w:rsidP="003360E7">
      <w:pPr>
        <w:pStyle w:val="Heading1"/>
        <w:spacing w:before="259"/>
        <w:rPr>
          <w:sz w:val="25"/>
          <w:szCs w:val="25"/>
        </w:rPr>
      </w:pPr>
      <w:bookmarkStart w:id="7" w:name="10€kap."/>
      <w:bookmarkEnd w:id="7"/>
      <w:r>
        <w:rPr>
          <w:sz w:val="25"/>
        </w:rPr>
        <w:t>Kapitola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Oddiel 5</w:t>
      </w:r>
      <w:r>
        <w:rPr>
          <w:rStyle w:val="FootnoteReference"/>
          <w:b/>
        </w:rPr>
        <w:footnoteReference w:id="14"/>
      </w:r>
      <w:r>
        <w:rPr>
          <w:sz w:val="15"/>
        </w:rPr>
        <w:tab/>
      </w:r>
      <w:r>
        <w:t>Prevádzkovateľ, ktorý neodovzdal dostatočné emisné kvóty podľa oddielu 16 zákona (2020:1173) o určitých emisiách skleníkových plynov, zaplatí pokutu v súvislosti s emisiami, za ktoré neboli odovzdané kvóty.</w:t>
      </w:r>
    </w:p>
    <w:p w14:paraId="1EC0E523" w14:textId="14507451" w:rsidR="003360E7" w:rsidRDefault="003360E7" w:rsidP="003360E7">
      <w:pPr>
        <w:pStyle w:val="BodyText"/>
        <w:ind w:left="143" w:right="38" w:firstLine="227"/>
      </w:pPr>
      <w:r>
        <w:t>Výška pokuty sa v prípade zariadení a leteckých činností alebo činností námornej dopravy rovná sume zodpovedajúcej 100 EUR za tonu ekvivalentu oxidu uhličitého k 1. októbru, alebo k 1. júnu v prípade palivových činností v roku, v ktorom mali byť emisné kvóty odovzdané. Ak z prepočtu vykonaného s cieľom zohľadniť zmenu vo všeobecnej cenovej situácii od roku 2013 vyplynie vyššia cena ako 100 EUR, pokuta bude namiesto toho vyššia suma.</w:t>
      </w:r>
    </w:p>
    <w:p w14:paraId="6923218A" w14:textId="77777777" w:rsidR="003360E7" w:rsidRDefault="003360E7" w:rsidP="003360E7">
      <w:pPr>
        <w:pStyle w:val="BodyText"/>
        <w:ind w:left="143" w:right="38" w:firstLine="227"/>
      </w:pPr>
      <w:r>
        <w:t>Zmena všeobecnej cenovej situácie sa vypočíta na základe európskeho indexu spotrebiteľských cien, ktorý každoročne oznamuje Európska komisia.</w:t>
      </w:r>
    </w:p>
    <w:p w14:paraId="03CAA352" w14:textId="77777777" w:rsidR="003360E7" w:rsidRPr="009204A0" w:rsidRDefault="003360E7" w:rsidP="003360E7">
      <w:pPr>
        <w:pStyle w:val="Heading1"/>
        <w:spacing w:before="258"/>
        <w:rPr>
          <w:sz w:val="25"/>
          <w:szCs w:val="25"/>
        </w:rPr>
      </w:pPr>
      <w:bookmarkStart w:id="8" w:name="11€kap."/>
      <w:bookmarkEnd w:id="8"/>
      <w:r>
        <w:rPr>
          <w:sz w:val="25"/>
        </w:rPr>
        <w:t>Kapitola 11</w:t>
      </w:r>
    </w:p>
    <w:p w14:paraId="0FE841C1" w14:textId="57A3D636" w:rsidR="003360E7" w:rsidRDefault="003360E7" w:rsidP="003360E7">
      <w:pPr>
        <w:pStyle w:val="BodyText"/>
        <w:tabs>
          <w:tab w:val="left" w:pos="709"/>
        </w:tabs>
        <w:spacing w:before="117"/>
        <w:ind w:left="143"/>
      </w:pPr>
      <w:r>
        <w:rPr>
          <w:b/>
        </w:rPr>
        <w:t>Oddiel 1</w:t>
      </w:r>
      <w:r>
        <w:rPr>
          <w:b/>
        </w:rPr>
        <w:tab/>
      </w:r>
      <w:r>
        <w:t>Švédska agentúra na ochranu životného prostredia môže vydať:</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 xml:space="preserve">ustanovenia pre zjednodušené a štandardizované plány monitorovania podľa článkov 13 a 75b nariadenia o monitorovaní a </w:t>
      </w:r>
      <w:r>
        <w:rPr>
          <w:sz w:val="23"/>
        </w:rPr>
        <w:lastRenderedPageBreak/>
        <w:t>nahlasovaní;</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ďalšie predpisy o prideľovaní emisných kvót a</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predpisy týkajúce sa predkladania plánov monitorovania v čase odlišnom od času uvedeného v článku 75b ods. 2 nariadenia o monitorovaní a nahlasovaní.</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Oddiel 4</w:t>
      </w:r>
      <w:r>
        <w:rPr>
          <w:b/>
        </w:rPr>
        <w:tab/>
      </w:r>
      <w:r>
        <w:t>Švédska dopravná agentúra môže vydať predpisy o poplatkoch za náklady orgánu vynaložené na zamietnutie alebo zadržanie lodí a o zákaze vstupu lodí do švédskych prístavov v súlade s kapitolou 2 oddielom 6 ods. 2 a 3 a kapitolou 10 oddielmi 18 – 21.</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Toto nariadenie nadobúda účinnosť 1. novembra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Prevádzkovateľ, ktorý k 1. januáru 2025 vykonáva palivovú činnosť, na ktorú sa vzťahuje požiadavka povolenia </w:t>
      </w:r>
      <w:bookmarkStart w:id="9" w:name="_Hlk181108000"/>
      <w:r>
        <w:rPr>
          <w:sz w:val="23"/>
        </w:rPr>
        <w:t>podľa kapitoly 3a oddielu 1, môže naďalej vykonávať činnosť bez povolenia. Po skončení roka 2024 sa však činnosť môže vykonávať bez povolenia len vtedy, ak bola žiadosť o povolenie podaná do 1. januára 2025 a najneskôr do prijatia konečného rozhodnutia o povolení.</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Prevádzkovateľ, ktorý nemá povolenie uvedené v kapitole 3a oddiele 1, monitoruje a nahlasuje emisie za rok 2024 v súlade s kapitolou 3a oddielom 12, ak prevádzkovateľ:</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v čase nadobudnutia účinnosti alebo pred 1. januárom 2025 začne vykonávať palivovú činnosť, na ktorú sa vzťahuje požiadavka povolenia, a</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požiadal o povolenie pred 1. januárom 2025.</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V mene vlády</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t>Linnéa Klefbäck</w:t>
      </w:r>
    </w:p>
    <w:p w14:paraId="610E5E97" w14:textId="51EB8BBE" w:rsidR="006B5876" w:rsidRDefault="006B5876" w:rsidP="00A95636">
      <w:pPr>
        <w:pStyle w:val="BodyText"/>
        <w:keepLines/>
        <w:tabs>
          <w:tab w:val="left" w:pos="3827"/>
        </w:tabs>
        <w:ind w:left="3827" w:hanging="3827"/>
        <w:jc w:val="left"/>
      </w:pPr>
      <w:r>
        <w:tab/>
        <w:t>(Ministerstvo pre klímu a podnikanie)</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Príloha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Emisie skleníkových plynov zo spaľovania palivových výrobkov v určitých odvetviach</w:t>
      </w:r>
      <w:bookmarkEnd w:id="10"/>
    </w:p>
    <w:p w14:paraId="01592EC9" w14:textId="0C97ECAC" w:rsidR="00FA7079" w:rsidRDefault="00FA7079" w:rsidP="00FA7079">
      <w:pPr>
        <w:pStyle w:val="BodyText"/>
        <w:spacing w:before="120"/>
        <w:ind w:left="143" w:right="-143"/>
      </w:pPr>
      <w:r>
        <w:t>V tejto prílohe sa uvádzajú opisy odvetví, v ktorých sa spaľujú sprístupňované palivové výrobky.</w:t>
      </w:r>
    </w:p>
    <w:p w14:paraId="4EF68906" w14:textId="77777777" w:rsidR="00FA7079" w:rsidRDefault="00FA7079" w:rsidP="00FA7079">
      <w:pPr>
        <w:spacing w:before="145" w:line="380" w:lineRule="atLeast"/>
        <w:ind w:left="143" w:right="-143"/>
        <w:rPr>
          <w:b/>
          <w:sz w:val="23"/>
        </w:rPr>
      </w:pPr>
      <w:r>
        <w:rPr>
          <w:b/>
          <w:sz w:val="23"/>
        </w:rPr>
        <w:t>Opis odvetví</w:t>
      </w:r>
    </w:p>
    <w:p w14:paraId="55648AD1" w14:textId="4EA5F00A" w:rsidR="00FA7079" w:rsidRDefault="00FA7079" w:rsidP="00FA7079">
      <w:pPr>
        <w:spacing w:line="380" w:lineRule="atLeast"/>
        <w:ind w:left="142" w:right="-143"/>
        <w:rPr>
          <w:sz w:val="23"/>
        </w:rPr>
      </w:pPr>
      <w:r>
        <w:rPr>
          <w:b/>
          <w:sz w:val="23"/>
        </w:rPr>
        <w:t xml:space="preserve">Opis 1. </w:t>
      </w:r>
      <w:r>
        <w:rPr>
          <w:sz w:val="23"/>
        </w:rPr>
        <w:t>Energetický priemysel.</w:t>
      </w:r>
    </w:p>
    <w:p w14:paraId="0D2E5DCE" w14:textId="77777777" w:rsidR="00FA7079" w:rsidRDefault="00FA7079" w:rsidP="00FA7079">
      <w:pPr>
        <w:pStyle w:val="BodyText"/>
        <w:spacing w:before="10"/>
        <w:ind w:left="370" w:right="-143"/>
      </w:pPr>
      <w:r>
        <w:t>Toto odvetvie zahŕňa:</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kombinovanú výrobu tepla a elektrickej energie;</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teplárne;</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výrobu elektrickej energie;</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rafináciu ropy;</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výrobu koksu;</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energetické odvetvia iné ako tie, ktoré sú uvedené v bodoch 1 – 5 a</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používanie terénnych motorových vozidiel a iných pracovných strojov pri činnostiach uvedených v bodoch 1 – 6.</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Opis 2. </w:t>
      </w:r>
      <w:r>
        <w:rPr>
          <w:sz w:val="23"/>
        </w:rPr>
        <w:t>Výrobný priemysel a stavebníctvo.</w:t>
      </w:r>
    </w:p>
    <w:p w14:paraId="28A00688" w14:textId="77777777" w:rsidR="00FA7079" w:rsidRDefault="00FA7079" w:rsidP="00FA7079">
      <w:pPr>
        <w:pStyle w:val="BodyText"/>
        <w:spacing w:before="8"/>
        <w:ind w:left="370" w:right="-143"/>
      </w:pPr>
      <w:r>
        <w:t>Toto odvetvie zahŕňa:</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železiarsky a oceliarsky priemysel;</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výrobu cementu, vápna a sadry;</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výrobu skla;</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priemysel ostatných nekovových nerastných surovín;</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chemický priemysel;</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stavebníctvo;</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ťažobný priemysel;</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gumárenský a plastový priemysel;</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textilný a kožiarsky priemysel;</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drevospracujúci priemysel;</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strojársky priemysel;</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celulózový a papierenský priemysel a tlačiarenský priemysel;</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kovopriemysel;</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potravinársky priemysel;</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tabakový priemysel;</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výrobný a stavebný priemysel iný ako uvedený v bodoch 1 – 15 a</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používanie terénnych motorových vozidiel a iných pracovných strojov pri činnostiach uvedených v bodoch 1 – 16.</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Opis 3. </w:t>
      </w:r>
      <w:r>
        <w:rPr>
          <w:sz w:val="23"/>
        </w:rPr>
        <w:t>Cestná doprava.</w:t>
      </w:r>
    </w:p>
    <w:p w14:paraId="40B3086E" w14:textId="77777777" w:rsidR="00FA7079" w:rsidRDefault="00FA7079" w:rsidP="00FA7079">
      <w:pPr>
        <w:pStyle w:val="BodyText"/>
        <w:spacing w:before="8"/>
        <w:ind w:left="370" w:right="-143"/>
      </w:pPr>
      <w:r>
        <w:t>Toto odvetvie zahŕňa cestnú dopravu využívajúcu tieto vozidlá:</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osobné automobily;</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traktory;</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ľahké nákladné vozidlá;</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ťažké nákladné vozidlá;</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ľahké autobusy;</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ťažké autobusy;</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mopedy a</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motocykle.</w:t>
      </w:r>
    </w:p>
    <w:p w14:paraId="37411B6E" w14:textId="46E4B9CB" w:rsidR="006B5876" w:rsidRDefault="00FA7079" w:rsidP="00FA7079">
      <w:pPr>
        <w:pStyle w:val="BodyTextIndent"/>
        <w:ind w:right="-143"/>
      </w:pPr>
      <w:r>
        <w:t>Toto odvetvie však nezahŕňa cestnú dopravu vozidlami používanými na vojenské účely.</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Opis 4. </w:t>
      </w:r>
      <w:r>
        <w:rPr>
          <w:sz w:val="23"/>
        </w:rPr>
        <w:t>Železničná doprava.</w:t>
      </w:r>
    </w:p>
    <w:p w14:paraId="2D20A171" w14:textId="77777777" w:rsidR="00FA7079" w:rsidRDefault="00FA7079" w:rsidP="00FA7079">
      <w:pPr>
        <w:pStyle w:val="BodyText"/>
        <w:spacing w:before="7"/>
        <w:ind w:left="143" w:right="-1" w:firstLine="227"/>
      </w:pPr>
      <w:r>
        <w:t>Toto odvetvie zahŕňa nákladnú a osobnú železničnú dopravu s výnimkou železničnej dopravy na vojenské účely.</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Opis 5. </w:t>
      </w:r>
      <w:r>
        <w:rPr>
          <w:sz w:val="23"/>
        </w:rPr>
        <w:t>Rekreačné plavidlá.</w:t>
      </w:r>
    </w:p>
    <w:p w14:paraId="49658B6A" w14:textId="77777777" w:rsidR="00FA7079" w:rsidRDefault="00FA7079" w:rsidP="00FA7079">
      <w:pPr>
        <w:pStyle w:val="BodyText"/>
        <w:spacing w:before="7"/>
        <w:ind w:left="370" w:right="-1"/>
      </w:pPr>
      <w:r>
        <w:t>Toto odvetvie zahŕňa rekreačné plavidlá s výnimkou rybárskych plavidiel.</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Opis 6. </w:t>
      </w:r>
      <w:r>
        <w:rPr>
          <w:sz w:val="23"/>
        </w:rPr>
        <w:t>Letiská a prístavy.</w:t>
      </w:r>
    </w:p>
    <w:p w14:paraId="1796BAA8" w14:textId="77777777" w:rsidR="00FA7079" w:rsidRDefault="00FA7079" w:rsidP="00FA7079">
      <w:pPr>
        <w:pStyle w:val="BodyText"/>
        <w:spacing w:before="7"/>
        <w:ind w:left="370" w:right="-1"/>
      </w:pPr>
      <w:r>
        <w:t>Toto odvetvie zahŕňa:</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letiská;</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prístavy a</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používanie terénnych motorových vozidiel a iných pracovných strojov na letiskách a v prístavoch.</w:t>
      </w:r>
    </w:p>
    <w:p w14:paraId="36B58759" w14:textId="77777777" w:rsidR="00FA7079" w:rsidRDefault="00FA7079" w:rsidP="00FA7079">
      <w:pPr>
        <w:pStyle w:val="BodyText"/>
        <w:spacing w:line="264" w:lineRule="exact"/>
        <w:ind w:left="370" w:right="-1"/>
      </w:pPr>
      <w:r>
        <w:t>Toto odvetvie však nezahŕňa:</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letiská vojenskej flotily;</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vojenské prístavy;</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vojenské činnosti na civilných letiskách;</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vojenské činnosti v civilných prístavoch a</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používanie terénnych motorových vozidiel a iných pracovných strojov na letiskách, v prístavoch alebo pri činnostiach na vojenské účely uvedené v bodoch 1 – 4.</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Opis 7. </w:t>
      </w:r>
      <w:r>
        <w:rPr>
          <w:sz w:val="23"/>
        </w:rPr>
        <w:t>Obchodné a verejné priestory.</w:t>
      </w:r>
    </w:p>
    <w:p w14:paraId="53FBABAC" w14:textId="77777777" w:rsidR="00FA7079" w:rsidRDefault="00FA7079" w:rsidP="00FA7079">
      <w:pPr>
        <w:pStyle w:val="BodyText"/>
        <w:spacing w:before="8"/>
        <w:ind w:left="370" w:right="-1"/>
      </w:pPr>
      <w:r>
        <w:t>Toto odvetvie zahŕňa:</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obchodné priestory;</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verejné priestory;</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používanie terénnych motorových vozidiel a iných pracovných strojov v priestoroch uvedených v bodoch 1 a 2.</w:t>
      </w:r>
    </w:p>
    <w:p w14:paraId="0BE9D50E" w14:textId="77777777" w:rsidR="00FA7079" w:rsidRDefault="00FA7079" w:rsidP="00FA7079">
      <w:pPr>
        <w:pStyle w:val="BodyText"/>
        <w:spacing w:line="264" w:lineRule="exact"/>
        <w:ind w:left="370" w:right="-1"/>
      </w:pPr>
      <w:r>
        <w:t>Toto odvetvie však nezahŕňa:</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priestory používané na vojenské účely a</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používanie terénnych motorových vozidiel a iných pracovných strojov v priestoroch používaných na vojenské účely.</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Opis 8. </w:t>
      </w:r>
      <w:r>
        <w:rPr>
          <w:sz w:val="23"/>
        </w:rPr>
        <w:t>Bývanie.</w:t>
      </w:r>
    </w:p>
    <w:p w14:paraId="2A40D6B7" w14:textId="77777777" w:rsidR="00FA7079" w:rsidRDefault="00FA7079" w:rsidP="00FA7079">
      <w:pPr>
        <w:pStyle w:val="BodyText"/>
        <w:spacing w:before="7"/>
        <w:ind w:left="370" w:right="-1"/>
      </w:pPr>
      <w:r>
        <w:t>Toto odvetvie zahŕňa:</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bývanie a</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používanie terénnych motorových vozidiel a iných pracovných strojov v súvislosti s bývaním.</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Opis 9. </w:t>
      </w:r>
      <w:r>
        <w:rPr>
          <w:sz w:val="23"/>
        </w:rPr>
        <w:t>Rybolov, poľnohospodárstvo, lesné hospodárstvo a akvakultúra.</w:t>
      </w:r>
    </w:p>
    <w:p w14:paraId="00E3EBD4" w14:textId="77777777" w:rsidR="00FA7079" w:rsidRDefault="00FA7079" w:rsidP="00FA7079">
      <w:pPr>
        <w:pStyle w:val="BodyText"/>
        <w:spacing w:before="8"/>
        <w:ind w:left="370" w:right="-1"/>
      </w:pPr>
      <w:r>
        <w:t>Toto odvetvie zahŕňa:</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priestory, ktoré tvoria súčasť rybolovu, poľnohospodárstva, lesného hospodárstva alebo akvakultúry, a</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používanie rybárskych plavidiel, terénnych motorových vozidiel a iných pracovných strojov pri rybárskych, poľnohospodárskych, lesníckych alebo akvakultúrnych činnostiach.</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947F" w14:textId="77777777" w:rsidR="00771625" w:rsidRDefault="00771625" w:rsidP="00680442">
      <w:r>
        <w:separator/>
      </w:r>
    </w:p>
  </w:endnote>
  <w:endnote w:type="continuationSeparator" w:id="0">
    <w:p w14:paraId="5E7A861C" w14:textId="77777777" w:rsidR="00771625" w:rsidRDefault="00771625"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F8E5" w14:textId="77777777" w:rsidR="00771625" w:rsidRDefault="00771625" w:rsidP="00680442"/>
  </w:footnote>
  <w:footnote w:type="continuationSeparator" w:id="0">
    <w:p w14:paraId="79B4EDBD" w14:textId="77777777" w:rsidR="00771625" w:rsidRPr="00C26807" w:rsidRDefault="00771625" w:rsidP="00C26807">
      <w:pPr>
        <w:pStyle w:val="Footer"/>
      </w:pPr>
    </w:p>
  </w:footnote>
  <w:footnote w:type="continuationNotice" w:id="1">
    <w:p w14:paraId="0D7E3067" w14:textId="77777777" w:rsidR="00771625" w:rsidRDefault="00771625"/>
  </w:footnote>
  <w:footnote w:id="2">
    <w:p w14:paraId="11C463CD" w14:textId="17AB6FCE" w:rsidR="006934C3" w:rsidRDefault="006934C3">
      <w:pPr>
        <w:pStyle w:val="FootnoteText"/>
      </w:pPr>
      <w:r>
        <w:rPr>
          <w:rStyle w:val="FootnoteReference"/>
        </w:rPr>
        <w:footnoteRef/>
      </w:r>
      <w:r>
        <w:t xml:space="preserve"> Pozri smernicu Európskeho parlamentu a Rady 2003/87/ES z 13. októbra 2003 o vytvorení systému obchodovania s emisnými kvótami skleníkových plynov v spoločenstve, a ktorou sa mení a dopĺňa smernica Rady 96/61/ES, v znení zmien smernice Európskeho parlamentu a Rady (EÚ) 2023/959. Pozri tiež smernicu Európskeho parlamentu a Rady (EÚ) 2015/1535 z 9. septembra 2015, ktorou sa stanovuje postup pri poskytovaní informácií v oblasti technických predpisov a pravidiel vzťahujúcich sa na služby informačnej spoločnosti.</w:t>
      </w:r>
    </w:p>
  </w:footnote>
  <w:footnote w:id="3">
    <w:p w14:paraId="6A6C2ADD" w14:textId="362623FE" w:rsidR="006B5876" w:rsidRDefault="006B5876">
      <w:pPr>
        <w:pStyle w:val="FootnoteText"/>
      </w:pPr>
      <w:r>
        <w:rPr>
          <w:rStyle w:val="FootnoteReference"/>
        </w:rPr>
        <w:footnoteRef/>
      </w:r>
      <w:r>
        <w:t xml:space="preserve"> </w:t>
      </w:r>
      <w:r>
        <w:t>Najnovšie znenie prílohy 2024:306.</w:t>
      </w:r>
    </w:p>
  </w:footnote>
  <w:footnote w:id="4">
    <w:p w14:paraId="14E99B2F" w14:textId="7F61498E" w:rsidR="0087398B" w:rsidRPr="0087398B" w:rsidRDefault="0087398B">
      <w:pPr>
        <w:pStyle w:val="FootnoteText"/>
      </w:pPr>
      <w:r>
        <w:rPr>
          <w:rStyle w:val="FootnoteReference"/>
        </w:rPr>
        <w:footnoteRef/>
      </w:r>
      <w:r>
        <w:t xml:space="preserve"> </w:t>
      </w:r>
      <w:r>
        <w:t xml:space="preserve">Aktuálne </w:t>
      </w:r>
      <w:r>
        <w:t>znenie 2024:529.</w:t>
      </w:r>
    </w:p>
  </w:footnote>
  <w:footnote w:id="5">
    <w:p w14:paraId="11E457C8" w14:textId="3FB7050D" w:rsidR="0087398B" w:rsidRPr="0087398B" w:rsidRDefault="0087398B">
      <w:pPr>
        <w:pStyle w:val="FootnoteText"/>
      </w:pPr>
      <w:r>
        <w:rPr>
          <w:rStyle w:val="FootnoteReference"/>
        </w:rPr>
        <w:footnoteRef/>
      </w:r>
      <w:r>
        <w:t xml:space="preserve"> </w:t>
      </w:r>
      <w:r>
        <w:t xml:space="preserve">Aktuálne </w:t>
      </w:r>
      <w:r>
        <w:t>znenie 2024:529.</w:t>
      </w:r>
    </w:p>
  </w:footnote>
  <w:footnote w:id="6">
    <w:p w14:paraId="6724CD84" w14:textId="7CD075E6" w:rsidR="0087398B" w:rsidRPr="0087398B" w:rsidRDefault="0087398B">
      <w:pPr>
        <w:pStyle w:val="FootnoteText"/>
      </w:pPr>
      <w:r>
        <w:rPr>
          <w:rStyle w:val="FootnoteReference"/>
        </w:rPr>
        <w:footnoteRef/>
      </w:r>
      <w:r>
        <w:t xml:space="preserve"> </w:t>
      </w:r>
      <w:r>
        <w:t xml:space="preserve">Aktuálne </w:t>
      </w:r>
      <w:r>
        <w:t>znenie 2023:729.</w:t>
      </w:r>
    </w:p>
  </w:footnote>
  <w:footnote w:id="7">
    <w:p w14:paraId="36096C68" w14:textId="0A6E90B7" w:rsidR="0087398B" w:rsidRPr="0087398B" w:rsidRDefault="0087398B">
      <w:pPr>
        <w:pStyle w:val="FootnoteText"/>
      </w:pPr>
      <w:r>
        <w:rPr>
          <w:rStyle w:val="FootnoteReference"/>
        </w:rPr>
        <w:footnoteRef/>
      </w:r>
      <w:r>
        <w:t xml:space="preserve"> </w:t>
      </w:r>
      <w:r>
        <w:t xml:space="preserve">Aktuálne </w:t>
      </w:r>
      <w:r>
        <w:t>znenie 2023:729.</w:t>
      </w:r>
    </w:p>
  </w:footnote>
  <w:footnote w:id="8">
    <w:p w14:paraId="0D4526B3" w14:textId="0E42ABCC" w:rsidR="0087398B" w:rsidRPr="0087398B" w:rsidRDefault="0087398B">
      <w:pPr>
        <w:pStyle w:val="FootnoteText"/>
      </w:pPr>
      <w:r>
        <w:rPr>
          <w:rStyle w:val="FootnoteReference"/>
        </w:rPr>
        <w:footnoteRef/>
      </w:r>
      <w:r>
        <w:t xml:space="preserve"> </w:t>
      </w:r>
      <w:r>
        <w:t xml:space="preserve">Aktuálne </w:t>
      </w:r>
      <w:r>
        <w:t>znenie 2023:729.</w:t>
      </w:r>
    </w:p>
  </w:footnote>
  <w:footnote w:id="9">
    <w:p w14:paraId="45B59D33" w14:textId="46FC63F0" w:rsidR="0087398B" w:rsidRPr="0087398B" w:rsidRDefault="0087398B">
      <w:pPr>
        <w:pStyle w:val="FootnoteText"/>
      </w:pPr>
      <w:r>
        <w:rPr>
          <w:rStyle w:val="FootnoteReference"/>
        </w:rPr>
        <w:footnoteRef/>
      </w:r>
      <w:r>
        <w:t xml:space="preserve"> </w:t>
      </w:r>
      <w:r>
        <w:t xml:space="preserve">Aktuálne </w:t>
      </w:r>
      <w:r>
        <w:t>znenie 2024:306.</w:t>
      </w:r>
    </w:p>
  </w:footnote>
  <w:footnote w:id="10">
    <w:p w14:paraId="11D88F75" w14:textId="09B99361" w:rsidR="0087398B" w:rsidRPr="0087398B" w:rsidRDefault="0087398B">
      <w:pPr>
        <w:pStyle w:val="FootnoteText"/>
      </w:pPr>
      <w:r>
        <w:rPr>
          <w:rStyle w:val="FootnoteReference"/>
        </w:rPr>
        <w:footnoteRef/>
      </w:r>
      <w:r>
        <w:t xml:space="preserve"> </w:t>
      </w:r>
      <w:r>
        <w:t xml:space="preserve">Aktuálne </w:t>
      </w:r>
      <w:r>
        <w:t>znenie 2023:729.</w:t>
      </w:r>
    </w:p>
  </w:footnote>
  <w:footnote w:id="11">
    <w:p w14:paraId="1A55E684" w14:textId="700454C6" w:rsidR="0087398B" w:rsidRPr="0087398B" w:rsidRDefault="0087398B">
      <w:pPr>
        <w:pStyle w:val="FootnoteText"/>
      </w:pPr>
      <w:r>
        <w:rPr>
          <w:rStyle w:val="FootnoteReference"/>
        </w:rPr>
        <w:footnoteRef/>
      </w:r>
      <w:r>
        <w:t xml:space="preserve"> </w:t>
      </w:r>
      <w:r>
        <w:t xml:space="preserve">Aktuálne </w:t>
      </w:r>
      <w:r>
        <w:t>znenie 2023:729.</w:t>
      </w:r>
    </w:p>
  </w:footnote>
  <w:footnote w:id="12">
    <w:p w14:paraId="2233AE39" w14:textId="2BBA5B46" w:rsidR="006F34A1" w:rsidRPr="003360E7" w:rsidRDefault="006F34A1" w:rsidP="006F34A1">
      <w:pPr>
        <w:pStyle w:val="FootnoteText"/>
      </w:pPr>
      <w:r>
        <w:rPr>
          <w:rStyle w:val="FootnoteReference"/>
        </w:rPr>
        <w:footnoteRef/>
      </w:r>
      <w:r>
        <w:t xml:space="preserve"> </w:t>
      </w:r>
      <w:r>
        <w:t xml:space="preserve">Aktuálne </w:t>
      </w:r>
      <w:r>
        <w:t>znenie 2024:529.</w:t>
      </w:r>
    </w:p>
  </w:footnote>
  <w:footnote w:id="13">
    <w:p w14:paraId="559E807C" w14:textId="56749FAD" w:rsidR="003360E7" w:rsidRPr="003360E7" w:rsidRDefault="003360E7">
      <w:pPr>
        <w:pStyle w:val="FootnoteText"/>
      </w:pPr>
      <w:r>
        <w:rPr>
          <w:rStyle w:val="FootnoteReference"/>
        </w:rPr>
        <w:footnoteRef/>
      </w:r>
      <w:r>
        <w:t xml:space="preserve"> </w:t>
      </w:r>
      <w:r>
        <w:t xml:space="preserve">Aktuálne </w:t>
      </w:r>
      <w:r>
        <w:t>znenie 2023:729.</w:t>
      </w:r>
    </w:p>
  </w:footnote>
  <w:footnote w:id="14">
    <w:p w14:paraId="71BA1D3B" w14:textId="23F33435" w:rsidR="003360E7" w:rsidRPr="003360E7" w:rsidRDefault="003360E7">
      <w:pPr>
        <w:pStyle w:val="FootnoteText"/>
      </w:pPr>
      <w:r>
        <w:rPr>
          <w:rStyle w:val="FootnoteReference"/>
        </w:rPr>
        <w:footnoteRef/>
      </w:r>
      <w:r>
        <w:t xml:space="preserve"> </w:t>
      </w:r>
      <w:r>
        <w:t xml:space="preserve">Aktuálne </w:t>
      </w:r>
      <w:r>
        <w:t>znenie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771625">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71625"/>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52D5"/>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1</TotalTime>
  <Pages>11</Pages>
  <Words>3163</Words>
  <Characters>18001</Characters>
  <Application>Microsoft Office Word</Application>
  <DocSecurity>0</DocSecurity>
  <Lines>473</Lines>
  <Paragraphs>271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2024-11-07T09:23:00Z</dcterms:created>
  <dcterms:modified xsi:type="dcterms:W3CDTF">2024-11-07T09:23:00Z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