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2BED7" w14:textId="77777777" w:rsidR="00F27993" w:rsidRDefault="00B24FEF">
      <w:pPr>
        <w:pStyle w:val="BodyText"/>
        <w:jc w:val="center"/>
        <w:rPr>
          <w:rFonts w:ascii="Times New Roman" w:hAnsi="Times New Roman"/>
          <w:b/>
          <w:bCs/>
        </w:rPr>
      </w:pPr>
      <w:r>
        <w:rPr>
          <w:rFonts w:ascii="Times New Roman" w:hAnsi="Times New Roman"/>
          <w:b/>
        </w:rPr>
        <w:t xml:space="preserve">Legge [...] del 2024 </w:t>
      </w:r>
    </w:p>
    <w:p w14:paraId="47704101" w14:textId="77777777" w:rsidR="00F27993" w:rsidRDefault="00B24FEF">
      <w:pPr>
        <w:pStyle w:val="BodyText"/>
        <w:spacing w:before="240" w:after="480" w:line="240" w:lineRule="auto"/>
        <w:jc w:val="center"/>
        <w:rPr>
          <w:rFonts w:ascii="Times New Roman" w:hAnsi="Times New Roman"/>
          <w:b/>
          <w:bCs/>
        </w:rPr>
      </w:pPr>
      <w:r>
        <w:rPr>
          <w:rFonts w:ascii="Times New Roman" w:hAnsi="Times New Roman"/>
          <w:b/>
        </w:rPr>
        <w:t>che limita l'accesso a contenuti pornografici su internet ai fini della protezione dei minori e modifica talune leggi relative ai servizi del commercio elettronico e alla pubblicità</w:t>
      </w:r>
    </w:p>
    <w:p w14:paraId="387AA9CB" w14:textId="77777777" w:rsidR="00F27993" w:rsidRDefault="00B24FEF">
      <w:pPr>
        <w:pStyle w:val="BodyText"/>
        <w:spacing w:before="280" w:after="0" w:line="240" w:lineRule="auto"/>
        <w:jc w:val="center"/>
        <w:rPr>
          <w:rFonts w:ascii="Times New Roman" w:hAnsi="Times New Roman"/>
          <w:b/>
          <w:bCs/>
        </w:rPr>
      </w:pPr>
      <w:r>
        <w:rPr>
          <w:rFonts w:ascii="Times New Roman" w:hAnsi="Times New Roman"/>
          <w:b/>
        </w:rPr>
        <w:t>1. Modifica della legge CVIII del 2001 su taluni aspetti dei servizi del commercio elettronico e dei servizi della società dell'informazione</w:t>
      </w:r>
    </w:p>
    <w:p w14:paraId="54D08FD6" w14:textId="77777777" w:rsidR="00F27993" w:rsidRDefault="00B24FEF">
      <w:pPr>
        <w:pStyle w:val="BodyText"/>
        <w:spacing w:before="240" w:after="240" w:line="240" w:lineRule="auto"/>
        <w:jc w:val="center"/>
        <w:rPr>
          <w:rFonts w:ascii="Times New Roman" w:hAnsi="Times New Roman"/>
          <w:b/>
          <w:bCs/>
        </w:rPr>
      </w:pPr>
      <w:r>
        <w:rPr>
          <w:rFonts w:ascii="Times New Roman" w:hAnsi="Times New Roman"/>
          <w:b/>
        </w:rPr>
        <w:t xml:space="preserve">Sezione 1 </w:t>
      </w:r>
    </w:p>
    <w:p w14:paraId="602ADC55" w14:textId="77777777" w:rsidR="00F27993" w:rsidRDefault="00B24FEF">
      <w:pPr>
        <w:pStyle w:val="BodyText"/>
        <w:spacing w:after="0" w:line="240" w:lineRule="auto"/>
        <w:jc w:val="both"/>
        <w:rPr>
          <w:rFonts w:ascii="Times New Roman" w:hAnsi="Times New Roman"/>
        </w:rPr>
      </w:pPr>
      <w:r>
        <w:rPr>
          <w:rFonts w:ascii="Times New Roman" w:hAnsi="Times New Roman"/>
        </w:rPr>
        <w:t xml:space="preserve">(1) Alla sezione 13 della legge CVIII del 2001 su taluni aspetti dei servizi del commercio elettronico e dei servizi della società dell'informazione è aggiunto il seguente paragrafo 13 bis: </w:t>
      </w:r>
    </w:p>
    <w:p w14:paraId="67538FAE" w14:textId="77777777" w:rsidR="00F27993" w:rsidRDefault="00B24FEF">
      <w:pPr>
        <w:pStyle w:val="BodyText"/>
        <w:spacing w:before="240" w:after="240" w:line="240" w:lineRule="auto"/>
        <w:jc w:val="both"/>
        <w:rPr>
          <w:rFonts w:ascii="Times New Roman" w:hAnsi="Times New Roman"/>
        </w:rPr>
      </w:pPr>
      <w:r>
        <w:rPr>
          <w:rFonts w:ascii="Times New Roman" w:hAnsi="Times New Roman"/>
        </w:rPr>
        <w:t>“(13 bis) Il fornitore di servizi gestisce sul proprio sito web un sistema elettronico facilmente accessibile, trasparente e intuitivo per facilitare la presentazione di segnalazioni di cui al paragrafo 13.”</w:t>
      </w:r>
    </w:p>
    <w:p w14:paraId="0BBBE825" w14:textId="77777777" w:rsidR="00F27993" w:rsidRDefault="00B24FEF">
      <w:pPr>
        <w:pStyle w:val="BodyText"/>
        <w:spacing w:before="240" w:after="0" w:line="240" w:lineRule="auto"/>
        <w:jc w:val="both"/>
        <w:rPr>
          <w:rFonts w:ascii="Times New Roman" w:hAnsi="Times New Roman"/>
        </w:rPr>
      </w:pPr>
      <w:r>
        <w:rPr>
          <w:rFonts w:ascii="Times New Roman" w:hAnsi="Times New Roman"/>
        </w:rPr>
        <w:t xml:space="preserve">(2) La sezione 13, paragrafo 14, lettera e), della legge CVIII del 2001 su taluni aspetti dei servizi del commercio elettronico e dei servizi della società dell'informazione è sostituita dalla seguente: </w:t>
      </w:r>
    </w:p>
    <w:p w14:paraId="42C5966D" w14:textId="77777777" w:rsidR="00F27993" w:rsidRDefault="00B24FEF">
      <w:pPr>
        <w:pStyle w:val="BodyText"/>
        <w:spacing w:before="240" w:after="0" w:line="240" w:lineRule="auto"/>
        <w:jc w:val="both"/>
        <w:rPr>
          <w:rFonts w:ascii="Times New Roman" w:hAnsi="Times New Roman"/>
          <w:i/>
          <w:iCs/>
        </w:rPr>
      </w:pPr>
      <w:r>
        <w:rPr>
          <w:rFonts w:ascii="Times New Roman" w:hAnsi="Times New Roman"/>
          <w:i/>
        </w:rPr>
        <w:t>[In caso di violazione del paragrafo 13, la procedura è condotta conformemente ai paragrafi da 2 a 12, con le seguenti deroghe:]</w:t>
      </w:r>
    </w:p>
    <w:p w14:paraId="3128BC46" w14:textId="77777777" w:rsidR="00F27993" w:rsidRDefault="00B24FEF">
      <w:pPr>
        <w:pStyle w:val="BodyText"/>
        <w:spacing w:after="240" w:line="240" w:lineRule="auto"/>
        <w:ind w:left="580" w:hanging="560"/>
        <w:jc w:val="both"/>
        <w:rPr>
          <w:rFonts w:ascii="Times New Roman" w:hAnsi="Times New Roman"/>
        </w:rPr>
      </w:pPr>
      <w:r>
        <w:rPr>
          <w:rFonts w:ascii="Times New Roman" w:hAnsi="Times New Roman"/>
        </w:rPr>
        <w:t>“</w:t>
      </w:r>
      <w:r>
        <w:rPr>
          <w:rFonts w:ascii="Times New Roman" w:hAnsi="Times New Roman"/>
          <w:i/>
        </w:rPr>
        <w:t>e)</w:t>
      </w:r>
      <w:r>
        <w:rPr>
          <w:rFonts w:ascii="Times New Roman" w:hAnsi="Times New Roman"/>
        </w:rPr>
        <w:tab/>
        <w:t>il fornitore di servizi può rifiutarsi di rendere inaccessibili le informazioni contestate se, sulla base dei motivi esposti nella segnalazione di cui al paragrafo 13, constata che la violazione dei diritti della personalità del minore è ingiustificata, sostenendo che in tal caso il fornitore di servizi fornisce al richiedente informazioni chiare e dettagliate sui motivi del rifiuto al momento dello stesso.”</w:t>
      </w:r>
    </w:p>
    <w:p w14:paraId="02CB99C2" w14:textId="77777777" w:rsidR="00F27993" w:rsidRDefault="00B24FEF">
      <w:pPr>
        <w:pStyle w:val="BodyText"/>
        <w:spacing w:before="240" w:after="240" w:line="240" w:lineRule="auto"/>
        <w:jc w:val="center"/>
        <w:rPr>
          <w:rFonts w:ascii="Times New Roman" w:hAnsi="Times New Roman"/>
          <w:b/>
          <w:bCs/>
        </w:rPr>
      </w:pPr>
      <w:r>
        <w:rPr>
          <w:rFonts w:ascii="Times New Roman" w:hAnsi="Times New Roman"/>
          <w:b/>
        </w:rPr>
        <w:t xml:space="preserve">Sezione 2 </w:t>
      </w:r>
    </w:p>
    <w:p w14:paraId="57D65029" w14:textId="77777777" w:rsidR="00F27993" w:rsidRDefault="00B24FEF">
      <w:pPr>
        <w:pStyle w:val="BodyText"/>
        <w:spacing w:after="0" w:line="240" w:lineRule="auto"/>
        <w:jc w:val="both"/>
        <w:rPr>
          <w:rFonts w:ascii="Times New Roman" w:hAnsi="Times New Roman"/>
        </w:rPr>
      </w:pPr>
      <w:r>
        <w:rPr>
          <w:rFonts w:ascii="Times New Roman" w:hAnsi="Times New Roman"/>
        </w:rPr>
        <w:t xml:space="preserve">(1) La sezione 15/D, paragrafo 1, lettera d), della legge CVIII del 2001 su taluni aspetti dei servizi del commercio elettronico e dei servizi della società dell'informazione è sostituita dalla seguente: </w:t>
      </w:r>
    </w:p>
    <w:p w14:paraId="53CE26F0" w14:textId="77777777" w:rsidR="00F27993" w:rsidRDefault="00B24FEF">
      <w:pPr>
        <w:pStyle w:val="BodyText"/>
        <w:spacing w:before="240" w:after="0" w:line="240" w:lineRule="auto"/>
        <w:jc w:val="both"/>
        <w:rPr>
          <w:rFonts w:ascii="Times New Roman" w:hAnsi="Times New Roman"/>
          <w:i/>
          <w:iCs/>
        </w:rPr>
      </w:pPr>
      <w:r>
        <w:rPr>
          <w:rFonts w:ascii="Times New Roman" w:hAnsi="Times New Roman"/>
          <w:i/>
        </w:rPr>
        <w:t>(Al fine di proteggere gli utenti del servizio, il fornitore di servizi di piattaforma per la condivisione di video applica le misure e le soluzioni tecniche di cui alla sezione 15/F, se)</w:t>
      </w:r>
    </w:p>
    <w:p w14:paraId="26B8A134" w14:textId="77777777" w:rsidR="00F27993" w:rsidRDefault="00B24FEF">
      <w:pPr>
        <w:pStyle w:val="BodyText"/>
        <w:spacing w:after="240" w:line="240" w:lineRule="auto"/>
        <w:ind w:left="580" w:hanging="560"/>
        <w:jc w:val="both"/>
        <w:rPr>
          <w:rFonts w:ascii="Times New Roman" w:hAnsi="Times New Roman"/>
        </w:rPr>
      </w:pPr>
      <w:r>
        <w:rPr>
          <w:rFonts w:ascii="Times New Roman" w:hAnsi="Times New Roman"/>
        </w:rPr>
        <w:t>“</w:t>
      </w:r>
      <w:r>
        <w:rPr>
          <w:rFonts w:ascii="Times New Roman" w:hAnsi="Times New Roman"/>
          <w:i/>
        </w:rPr>
        <w:t>d)</w:t>
      </w:r>
      <w:r>
        <w:rPr>
          <w:rFonts w:ascii="Times New Roman" w:hAnsi="Times New Roman"/>
        </w:rPr>
        <w:tab/>
        <w:t>la comunicazione commerciale pubblicata dall'utente del servizio di piattaforma per la condivisione di video non è conforme alle disposizioni della sezione 20, paragrafi da 1 a 7, della legge CIV del 2010 sulla libertà di stampa e sulle norme fondamentali dei contenuti mediatici (di seguito: legge sulla stampa) e alle disposizioni della sezione 24 e della sezione 30, paragrafo 3, lettera b), della legge sui media.”</w:t>
      </w:r>
    </w:p>
    <w:p w14:paraId="140CFD78" w14:textId="77777777" w:rsidR="00F27993" w:rsidRDefault="00B24FEF">
      <w:pPr>
        <w:pStyle w:val="BodyText"/>
        <w:spacing w:before="240" w:after="0" w:line="240" w:lineRule="auto"/>
        <w:jc w:val="both"/>
        <w:rPr>
          <w:rFonts w:ascii="Times New Roman" w:hAnsi="Times New Roman"/>
        </w:rPr>
      </w:pPr>
      <w:r>
        <w:rPr>
          <w:rFonts w:ascii="Times New Roman" w:hAnsi="Times New Roman"/>
        </w:rPr>
        <w:t xml:space="preserve">(2) Il paragrafo 2 della sezione 15/D della legge CVIII del 2001 su taluni aspetti dei servizi del commercio elettronico e dei servizi della società dell'informazione è sostituito dal seguente: </w:t>
      </w:r>
    </w:p>
    <w:p w14:paraId="51649333" w14:textId="77777777" w:rsidR="00F27993" w:rsidRDefault="00B24FEF">
      <w:pPr>
        <w:pStyle w:val="BodyText"/>
        <w:spacing w:before="240" w:after="240" w:line="240" w:lineRule="auto"/>
        <w:jc w:val="both"/>
        <w:rPr>
          <w:rFonts w:ascii="Times New Roman" w:hAnsi="Times New Roman"/>
        </w:rPr>
      </w:pPr>
      <w:r>
        <w:rPr>
          <w:rFonts w:ascii="Times New Roman" w:hAnsi="Times New Roman"/>
        </w:rPr>
        <w:t xml:space="preserve">“(2) La comunicazione commerciale organizzata distribuita e venduta dal fornitore di una piattaforma per la condivisione di video deve essere conforme ai requisiti di cui alla sezione 20, paragrafi da 1 a 7, della legge sulla stampa e alla sezione 24 e alla sezione 30, paragrafo 3, lettera b), della legge sui media.”     </w:t>
      </w:r>
    </w:p>
    <w:p w14:paraId="1A6FE49F" w14:textId="77777777" w:rsidR="00F27993" w:rsidRDefault="00B24FEF" w:rsidP="00317F38">
      <w:pPr>
        <w:pStyle w:val="BodyText"/>
        <w:keepNext/>
        <w:spacing w:before="240" w:after="240" w:line="240" w:lineRule="auto"/>
        <w:jc w:val="center"/>
        <w:rPr>
          <w:rFonts w:ascii="Times New Roman" w:hAnsi="Times New Roman"/>
          <w:b/>
          <w:bCs/>
        </w:rPr>
      </w:pPr>
      <w:r>
        <w:rPr>
          <w:rFonts w:ascii="Times New Roman" w:hAnsi="Times New Roman"/>
          <w:b/>
        </w:rPr>
        <w:lastRenderedPageBreak/>
        <w:t xml:space="preserve">Sezione 3 </w:t>
      </w:r>
    </w:p>
    <w:p w14:paraId="51A25A1D" w14:textId="77777777" w:rsidR="00F27993" w:rsidRDefault="00B24FEF">
      <w:pPr>
        <w:pStyle w:val="BodyText"/>
        <w:spacing w:after="0" w:line="240" w:lineRule="auto"/>
        <w:jc w:val="both"/>
        <w:rPr>
          <w:rFonts w:ascii="Times New Roman" w:hAnsi="Times New Roman"/>
        </w:rPr>
      </w:pPr>
      <w:r>
        <w:rPr>
          <w:rFonts w:ascii="Times New Roman" w:hAnsi="Times New Roman"/>
        </w:rPr>
        <w:t xml:space="preserve">I paragrafi 2 e 3 della sezione 15/E della legge CVIII del 2001 su taluni aspetti dei servizi del commercio elettronico e dei servizi della società dell'informazione sono sostituiti dai seguenti: </w:t>
      </w:r>
    </w:p>
    <w:p w14:paraId="5C67E6C5" w14:textId="77777777" w:rsidR="00F27993" w:rsidRDefault="00B24FEF">
      <w:pPr>
        <w:pStyle w:val="BodyText"/>
        <w:spacing w:before="240" w:after="0" w:line="240" w:lineRule="auto"/>
        <w:jc w:val="both"/>
        <w:rPr>
          <w:rFonts w:ascii="Times New Roman" w:hAnsi="Times New Roman"/>
        </w:rPr>
      </w:pPr>
      <w:r>
        <w:rPr>
          <w:rFonts w:ascii="Times New Roman" w:hAnsi="Times New Roman"/>
        </w:rPr>
        <w:t xml:space="preserve">“(2) Il fornitore di servizi di piattaforma per la condivisione di video include nelle sue condizioni generali i requisiti di cui alla sezione 24 e alla sezione 30, paragrafo 3, lettera b), della legge sui media, nonché i requisiti di cui alla sezione 20, paragrafi da 1 a 7, della legge sulla stampa, per quanto riguarda le comunicazioni commerciali pubblicate dall'utente del servizio di piattaforma per la condivisione di video.     </w:t>
      </w:r>
    </w:p>
    <w:p w14:paraId="190D0469" w14:textId="77777777" w:rsidR="00F27993" w:rsidRDefault="00B24FEF">
      <w:pPr>
        <w:pStyle w:val="BodyText"/>
        <w:spacing w:before="240" w:after="240" w:line="240" w:lineRule="auto"/>
        <w:jc w:val="both"/>
        <w:rPr>
          <w:rFonts w:ascii="Times New Roman" w:hAnsi="Times New Roman"/>
        </w:rPr>
      </w:pPr>
      <w:r>
        <w:rPr>
          <w:rFonts w:ascii="Times New Roman" w:hAnsi="Times New Roman"/>
        </w:rPr>
        <w:t xml:space="preserve">(3) Le condizioni generali del fornitore di servizi di piattaforma per la condivisione di video includono informazioni sulle procedure di ricorso giudiziale ed extragiudiziale per la risoluzione delle controversie tra gli utenti e il fornitore di servizi di piattaforma per la condivisione di video in relazione all'applicazione delle sezioni 15/F e 15/G.” </w:t>
      </w:r>
    </w:p>
    <w:p w14:paraId="236EF8C1" w14:textId="77777777" w:rsidR="00F27993" w:rsidRDefault="00B24FEF">
      <w:pPr>
        <w:pStyle w:val="BodyText"/>
        <w:spacing w:before="240" w:after="240" w:line="240" w:lineRule="auto"/>
        <w:jc w:val="center"/>
        <w:rPr>
          <w:rFonts w:ascii="Times New Roman" w:hAnsi="Times New Roman"/>
          <w:b/>
          <w:bCs/>
        </w:rPr>
      </w:pPr>
      <w:r>
        <w:rPr>
          <w:rFonts w:ascii="Times New Roman" w:hAnsi="Times New Roman"/>
          <w:b/>
        </w:rPr>
        <w:t xml:space="preserve">Sezione 4 </w:t>
      </w:r>
    </w:p>
    <w:p w14:paraId="7349B7F6" w14:textId="77777777" w:rsidR="00F27993" w:rsidRDefault="00B24FEF">
      <w:pPr>
        <w:pStyle w:val="BodyText"/>
        <w:spacing w:after="0" w:line="240" w:lineRule="auto"/>
        <w:jc w:val="both"/>
        <w:rPr>
          <w:rFonts w:ascii="Times New Roman" w:hAnsi="Times New Roman"/>
        </w:rPr>
      </w:pPr>
      <w:r>
        <w:rPr>
          <w:rFonts w:ascii="Times New Roman" w:hAnsi="Times New Roman"/>
        </w:rPr>
        <w:t xml:space="preserve">Il paragrafo 7 della sezione 15/F della legge CVIII del 2001 su taluni aspetti dei servizi del commercio elettronico e dei servizi della società dell'informazione è sostituito dal seguente: </w:t>
      </w:r>
    </w:p>
    <w:p w14:paraId="6E234CE1" w14:textId="77777777" w:rsidR="00F27993" w:rsidRDefault="00B24FEF">
      <w:pPr>
        <w:pStyle w:val="BodyText"/>
        <w:spacing w:before="240" w:after="240" w:line="240" w:lineRule="auto"/>
        <w:jc w:val="both"/>
        <w:rPr>
          <w:rFonts w:ascii="Times New Roman" w:hAnsi="Times New Roman"/>
        </w:rPr>
      </w:pPr>
      <w:r>
        <w:rPr>
          <w:rFonts w:ascii="Times New Roman" w:hAnsi="Times New Roman"/>
        </w:rPr>
        <w:t>“(7) L'autorità può pubblicare una raccomandazione sulle migliori pratiche relative ai requisiti di cui ai paragrafi 1 e 2 e alla sezione 15/D, paragrafo 2.  La raccomandazione non è vincolante.”</w:t>
      </w:r>
    </w:p>
    <w:p w14:paraId="5B493EF6" w14:textId="77777777" w:rsidR="00F27993" w:rsidRDefault="00B24FEF">
      <w:pPr>
        <w:pStyle w:val="BodyText"/>
        <w:spacing w:before="240" w:after="240" w:line="240" w:lineRule="auto"/>
        <w:jc w:val="center"/>
        <w:rPr>
          <w:rFonts w:ascii="Times New Roman" w:hAnsi="Times New Roman"/>
          <w:b/>
          <w:bCs/>
        </w:rPr>
      </w:pPr>
      <w:r>
        <w:rPr>
          <w:rFonts w:ascii="Times New Roman" w:hAnsi="Times New Roman"/>
          <w:b/>
        </w:rPr>
        <w:t xml:space="preserve">Sezione 5 </w:t>
      </w:r>
    </w:p>
    <w:p w14:paraId="24013A83" w14:textId="77777777" w:rsidR="00F27993" w:rsidRDefault="00B24FEF">
      <w:pPr>
        <w:pStyle w:val="BodyText"/>
        <w:spacing w:after="0" w:line="240" w:lineRule="auto"/>
        <w:jc w:val="both"/>
        <w:rPr>
          <w:rFonts w:ascii="Times New Roman" w:hAnsi="Times New Roman"/>
        </w:rPr>
      </w:pPr>
      <w:r>
        <w:rPr>
          <w:rFonts w:ascii="Times New Roman" w:hAnsi="Times New Roman"/>
        </w:rPr>
        <w:t xml:space="preserve">Il paragrafo 3 della sezione 18 della legge CVIII del 2001 su taluni aspetti dei servizi del commercio elettronico e dei servizi della società dell'informazione è sostituito dal seguente: </w:t>
      </w:r>
    </w:p>
    <w:p w14:paraId="5E2E7094" w14:textId="77777777" w:rsidR="00F27993" w:rsidRDefault="00B24FEF">
      <w:pPr>
        <w:pStyle w:val="BodyText"/>
        <w:spacing w:before="240" w:after="240" w:line="240" w:lineRule="auto"/>
        <w:jc w:val="both"/>
        <w:rPr>
          <w:rFonts w:ascii="Times New Roman" w:hAnsi="Times New Roman"/>
        </w:rPr>
      </w:pPr>
      <w:r>
        <w:rPr>
          <w:rFonts w:ascii="Times New Roman" w:hAnsi="Times New Roman"/>
        </w:rPr>
        <w:t xml:space="preserve">“(3) I progetti di cui alla sezione 2, alla sezione 3/B, alla sezione 13, paragrafo 13a, alla sezione 13, paragrafo 14, lettera e), alla sezione 15/D, paragrafo 1, lettera d), alla sezione 15/D, paragrafo 2, alla sezione 15/E, paragrafi 2 e 3 e alla sezione 15/F, paragrafo 7, della presente legge sono stati preventivamente notificati a norma degli articoli da 5 a 7 della direttiva (UE) 2015/1535 del Parlamento europeo e del Consiglio, del 9 settembre 2015, che prevede una procedura d'informazione nel settore delle regolamentazioni tecniche e delle regole relative ai servizi della società dell'informazione.”        </w:t>
      </w:r>
    </w:p>
    <w:p w14:paraId="36A1D86D" w14:textId="77777777" w:rsidR="00F27993" w:rsidRDefault="00B24FEF">
      <w:pPr>
        <w:pStyle w:val="BodyText"/>
        <w:spacing w:before="280" w:after="0" w:line="240" w:lineRule="auto"/>
        <w:jc w:val="center"/>
        <w:rPr>
          <w:rFonts w:ascii="Times New Roman" w:hAnsi="Times New Roman"/>
          <w:b/>
          <w:bCs/>
        </w:rPr>
      </w:pPr>
      <w:r>
        <w:rPr>
          <w:rFonts w:ascii="Times New Roman" w:hAnsi="Times New Roman"/>
          <w:b/>
        </w:rPr>
        <w:t>2. Modifica della legge C del 2003 sulle comunicazioni elettroniche</w:t>
      </w:r>
    </w:p>
    <w:p w14:paraId="79F88E55" w14:textId="77777777" w:rsidR="00F27993" w:rsidRDefault="00B24FEF">
      <w:pPr>
        <w:pStyle w:val="BodyText"/>
        <w:spacing w:before="240" w:after="240" w:line="240" w:lineRule="auto"/>
        <w:jc w:val="center"/>
        <w:rPr>
          <w:rFonts w:ascii="Times New Roman" w:hAnsi="Times New Roman"/>
          <w:b/>
          <w:bCs/>
        </w:rPr>
      </w:pPr>
      <w:r>
        <w:rPr>
          <w:rFonts w:ascii="Times New Roman" w:hAnsi="Times New Roman"/>
          <w:b/>
        </w:rPr>
        <w:t xml:space="preserve">Sezione 6 </w:t>
      </w:r>
    </w:p>
    <w:p w14:paraId="4F7950AF" w14:textId="77777777" w:rsidR="00F27993" w:rsidRDefault="00B24FEF">
      <w:pPr>
        <w:pStyle w:val="BodyText"/>
        <w:spacing w:after="0" w:line="240" w:lineRule="auto"/>
        <w:jc w:val="both"/>
        <w:rPr>
          <w:rFonts w:ascii="Times New Roman" w:hAnsi="Times New Roman"/>
        </w:rPr>
      </w:pPr>
      <w:r>
        <w:rPr>
          <w:rFonts w:ascii="Times New Roman" w:hAnsi="Times New Roman"/>
        </w:rPr>
        <w:t xml:space="preserve">La seguente sezione 149/F è inserita sotto il titolo “Protezione dei minori” della legge C del 2003 sulle comunicazioni elettroniche: </w:t>
      </w:r>
    </w:p>
    <w:p w14:paraId="7C192283" w14:textId="77777777" w:rsidR="00F27993" w:rsidRDefault="00B24FEF">
      <w:pPr>
        <w:pStyle w:val="BodyText"/>
        <w:spacing w:before="240" w:after="240" w:line="240" w:lineRule="auto"/>
        <w:jc w:val="center"/>
        <w:rPr>
          <w:rFonts w:ascii="Times New Roman" w:hAnsi="Times New Roman"/>
          <w:b/>
          <w:bCs/>
        </w:rPr>
      </w:pPr>
      <w:r>
        <w:rPr>
          <w:rFonts w:ascii="Times New Roman" w:hAnsi="Times New Roman"/>
          <w:b/>
        </w:rPr>
        <w:t xml:space="preserve">“Sezione 149/F </w:t>
      </w:r>
    </w:p>
    <w:p w14:paraId="6B4DECBB" w14:textId="77777777" w:rsidR="009B2A35" w:rsidRPr="008F37E3" w:rsidRDefault="009B2A35" w:rsidP="008F37E3">
      <w:pPr>
        <w:pStyle w:val="BodyText"/>
        <w:jc w:val="both"/>
        <w:rPr>
          <w:rFonts w:ascii="Times New Roman" w:hAnsi="Times New Roman"/>
        </w:rPr>
      </w:pPr>
      <w:r>
        <w:rPr>
          <w:rFonts w:ascii="Times New Roman" w:hAnsi="Times New Roman"/>
        </w:rPr>
        <w:t>(1) Nell'ambito del servizio e sulla base della dichiarazione dell'abbonato, il fornitore del servizio di accesso a internet</w:t>
      </w:r>
      <w:bookmarkStart w:id="0" w:name="_Hlk167178857"/>
      <w:r>
        <w:rPr>
          <w:rFonts w:ascii="Times New Roman" w:hAnsi="Times New Roman"/>
        </w:rPr>
        <w:t xml:space="preserve"> consente di vietare all'utente del servizio di accesso a internet di accedere ai siti web che figurano nell'elenco di cui al paragrafo 3 mediante una soluzione tecnica adeguata, che è fornita gratuitamente ai singoli abbonati</w:t>
      </w:r>
      <w:bookmarkEnd w:id="0"/>
      <w:r>
        <w:rPr>
          <w:rFonts w:ascii="Times New Roman" w:hAnsi="Times New Roman"/>
        </w:rPr>
        <w:t xml:space="preserve"> (di seguito: servizio sicuro fornito nei confronti degli utenti minorenni). Prima della conclusione del contratto di abbonamento e durante la riconciliazione dei </w:t>
      </w:r>
      <w:r>
        <w:rPr>
          <w:rFonts w:ascii="Times New Roman" w:hAnsi="Times New Roman"/>
        </w:rPr>
        <w:lastRenderedPageBreak/>
        <w:t>dati ai sensi della sezione 129, paragrafo 2 ter, il fornitore del servizio informa l'abbonato della possibilità di avvalersi di un servizio sicuro (fornito nei confronti degli utenti minorenni) e del fatto che esso è fornito gratuitamente ai singoli abbonati.  L'abbonato ha il diritto di modificare la sua dichiarazione relativa all'utilizzo del servizio sicuro (fornito nei confronti degli utenti minorenni) e può farlo gratuitamente in qualsiasi momento fino alla validità del contratto dell'abbonato, fatte salve le altre clausole contrattuali.</w:t>
      </w:r>
    </w:p>
    <w:p w14:paraId="277FA690" w14:textId="77777777" w:rsidR="009B2A35" w:rsidRPr="008F37E3" w:rsidRDefault="009B2A35" w:rsidP="008F37E3">
      <w:pPr>
        <w:pStyle w:val="BodyText"/>
        <w:jc w:val="both"/>
        <w:rPr>
          <w:rFonts w:ascii="Times New Roman" w:hAnsi="Times New Roman"/>
        </w:rPr>
      </w:pPr>
      <w:r>
        <w:rPr>
          <w:rFonts w:ascii="Times New Roman" w:hAnsi="Times New Roman"/>
        </w:rPr>
        <w:t>(2) Sulla base della dichiarazione dell'abbonato, il fornitore del servizio di accesso fisso a internet deve inoltre consentire al singolo abbonato di avere accesso simultaneo al servizio sicuro (fornito nei confronti degli utenti minorenni) e al servizio internet non filtrato dallo stesso punto di accesso dell'abbonato, anche separatamente, nell'ambito del servizio di abbonamento, e ciò dovrebbe essere garantito gratuitamente ai singoli abbonati. </w:t>
      </w:r>
    </w:p>
    <w:p w14:paraId="6725BA0D" w14:textId="77777777" w:rsidR="009B2A35" w:rsidRPr="009B2A35" w:rsidRDefault="009B2A35" w:rsidP="008F37E3">
      <w:pPr>
        <w:pStyle w:val="BodyText"/>
        <w:jc w:val="both"/>
        <w:rPr>
          <w:rFonts w:ascii="Times New Roman" w:hAnsi="Times New Roman"/>
        </w:rPr>
      </w:pPr>
      <w:r>
        <w:rPr>
          <w:rFonts w:ascii="Times New Roman" w:hAnsi="Times New Roman"/>
        </w:rPr>
        <w:t>(3) Per garantire la fornitura di tale servizio sicuro, fornito nei confronti degli utenti minorenni, il presidente redige un elenco dei siti web più frequentemente visitati in Ungheria e dedicati a contenuti pornografici.</w:t>
      </w:r>
    </w:p>
    <w:p w14:paraId="2D5F7976" w14:textId="77777777" w:rsidR="009B2A35" w:rsidRPr="009B2A35" w:rsidRDefault="009B2A35" w:rsidP="008F37E3">
      <w:pPr>
        <w:pStyle w:val="BodyText"/>
        <w:spacing w:line="240" w:lineRule="auto"/>
        <w:jc w:val="both"/>
        <w:rPr>
          <w:rFonts w:ascii="Times New Roman" w:hAnsi="Times New Roman"/>
        </w:rPr>
      </w:pPr>
      <w:r>
        <w:rPr>
          <w:rFonts w:ascii="Times New Roman" w:hAnsi="Times New Roman"/>
        </w:rPr>
        <w:t>(4) Il presidente stabilisce, con decreto, norme dettagliate per la fornitura delle informazioni relative agli abbonati e le modalità di erogazione del servizio in relazione al servizio sicuro (fornito nei confronti degli utenti minorenni) di cui al paragrafo 1, nonché norme dettagliate per la compilazione, revisione e pubblicazione dell'elenco di cui al paragrafo 3.”</w:t>
      </w:r>
    </w:p>
    <w:p w14:paraId="42C37D8E" w14:textId="77777777" w:rsidR="00F27993" w:rsidRDefault="00B24FEF">
      <w:pPr>
        <w:pStyle w:val="BodyText"/>
        <w:spacing w:before="240" w:after="240" w:line="240" w:lineRule="auto"/>
        <w:jc w:val="center"/>
        <w:rPr>
          <w:rFonts w:ascii="Times New Roman" w:hAnsi="Times New Roman"/>
          <w:b/>
          <w:bCs/>
        </w:rPr>
      </w:pPr>
      <w:r>
        <w:rPr>
          <w:rFonts w:ascii="Times New Roman" w:hAnsi="Times New Roman"/>
          <w:b/>
        </w:rPr>
        <w:t xml:space="preserve">Sezione 7 </w:t>
      </w:r>
    </w:p>
    <w:p w14:paraId="60B49AAF" w14:textId="77777777" w:rsidR="00F27993" w:rsidRDefault="00B24FEF">
      <w:pPr>
        <w:pStyle w:val="BodyText"/>
        <w:spacing w:after="0" w:line="240" w:lineRule="auto"/>
        <w:jc w:val="both"/>
        <w:rPr>
          <w:rFonts w:ascii="Times New Roman" w:hAnsi="Times New Roman"/>
        </w:rPr>
      </w:pPr>
      <w:r>
        <w:rPr>
          <w:rFonts w:ascii="Times New Roman" w:hAnsi="Times New Roman"/>
        </w:rPr>
        <w:t xml:space="preserve">La seguente sezione 163/Q è aggiunta alla legge C del 2003 sulle comunicazioni elettroniche: </w:t>
      </w:r>
    </w:p>
    <w:p w14:paraId="0B9F0D36" w14:textId="77777777" w:rsidR="00F27993" w:rsidRDefault="00B24FEF">
      <w:pPr>
        <w:pStyle w:val="BodyText"/>
        <w:spacing w:before="240" w:after="240" w:line="240" w:lineRule="auto"/>
        <w:jc w:val="center"/>
        <w:rPr>
          <w:rFonts w:ascii="Times New Roman" w:hAnsi="Times New Roman"/>
          <w:b/>
          <w:bCs/>
        </w:rPr>
      </w:pPr>
      <w:r>
        <w:rPr>
          <w:rFonts w:ascii="Times New Roman" w:hAnsi="Times New Roman"/>
          <w:b/>
        </w:rPr>
        <w:t xml:space="preserve">“Sezione 163/Q </w:t>
      </w:r>
    </w:p>
    <w:p w14:paraId="6FCA77BA" w14:textId="77777777" w:rsidR="00C02533" w:rsidRPr="00AF480D" w:rsidRDefault="00C02533" w:rsidP="003A1216">
      <w:pPr>
        <w:pStyle w:val="BodyText"/>
        <w:jc w:val="both"/>
        <w:rPr>
          <w:rFonts w:ascii="Times New Roman" w:hAnsi="Times New Roman"/>
        </w:rPr>
      </w:pPr>
      <w:r>
        <w:rPr>
          <w:rFonts w:ascii="Times New Roman" w:hAnsi="Times New Roman"/>
        </w:rPr>
        <w:t xml:space="preserve">(1) Il presidente compila l'elenco di cui alla sezione 149/F, paragrafo 3, della legge n. ... del 2024 che limita l'accesso a contenuti pornografici su internet ai fini della protezione dei minori e modifica talune leggi relative ai servizi del commercio elettronico e alla pubblicità (di seguito: ‘legge di modifica 3’), entro 120 giorni dall'entrata in vigore della legge di modifica 3, ai fini della protezione dei minori.  </w:t>
      </w:r>
    </w:p>
    <w:p w14:paraId="456013BB" w14:textId="77777777" w:rsidR="00C02533" w:rsidRPr="00AF480D" w:rsidRDefault="00C02533" w:rsidP="003A1216">
      <w:pPr>
        <w:pStyle w:val="BodyText"/>
        <w:jc w:val="both"/>
        <w:rPr>
          <w:rFonts w:ascii="Times New Roman" w:hAnsi="Times New Roman"/>
        </w:rPr>
      </w:pPr>
      <w:r>
        <w:rPr>
          <w:rFonts w:ascii="Times New Roman" w:hAnsi="Times New Roman"/>
        </w:rPr>
        <w:t xml:space="preserve">(2) In relazione alla sezione 149/F, come stabilito dalla legge di modifica 3, </w:t>
      </w:r>
    </w:p>
    <w:p w14:paraId="11E1BBD6" w14:textId="77777777" w:rsidR="00C02533" w:rsidRPr="00AF480D" w:rsidRDefault="00C02533" w:rsidP="003A1216">
      <w:pPr>
        <w:pStyle w:val="BodyText"/>
        <w:jc w:val="both"/>
        <w:rPr>
          <w:rFonts w:ascii="Times New Roman" w:hAnsi="Times New Roman"/>
        </w:rPr>
      </w:pPr>
      <w:r>
        <w:rPr>
          <w:rFonts w:ascii="Times New Roman" w:hAnsi="Times New Roman"/>
          <w:i/>
        </w:rPr>
        <w:t>a)</w:t>
      </w:r>
      <w:r>
        <w:rPr>
          <w:rFonts w:ascii="Times New Roman" w:hAnsi="Times New Roman"/>
        </w:rPr>
        <w:t xml:space="preserve"> le disposizioni del paragrafo 1 si applicano al servizio di accesso mobile a internet di un fornitore di servizi di accesso mobile a internet a decorrere dal 1º gennaio 2026,</w:t>
      </w:r>
    </w:p>
    <w:p w14:paraId="1BEFBE7C" w14:textId="77777777" w:rsidR="00C02533" w:rsidRPr="00AF480D" w:rsidRDefault="00C02533" w:rsidP="003A1216">
      <w:pPr>
        <w:pStyle w:val="BodyText"/>
        <w:jc w:val="both"/>
        <w:rPr>
          <w:rFonts w:ascii="Times New Roman" w:hAnsi="Times New Roman"/>
        </w:rPr>
      </w:pPr>
      <w:r>
        <w:rPr>
          <w:rFonts w:ascii="Times New Roman" w:hAnsi="Times New Roman"/>
          <w:i/>
        </w:rPr>
        <w:t>b)</w:t>
      </w:r>
      <w:r>
        <w:rPr>
          <w:rFonts w:ascii="Times New Roman" w:hAnsi="Times New Roman"/>
        </w:rPr>
        <w:t xml:space="preserve"> le disposizioni dei paragrafi 1 e 2 si applicano ai fornitori di servizi di accesso a internet con 10 000 o più abbonati a decorrere dal 1º maggio 2026,</w:t>
      </w:r>
    </w:p>
    <w:p w14:paraId="576B684C" w14:textId="77777777" w:rsidR="00C02533" w:rsidRPr="00AF480D" w:rsidRDefault="00C02533" w:rsidP="003A1216">
      <w:pPr>
        <w:pStyle w:val="BodyText"/>
        <w:jc w:val="both"/>
        <w:rPr>
          <w:rFonts w:ascii="Times New Roman" w:hAnsi="Times New Roman"/>
        </w:rPr>
      </w:pPr>
      <w:r>
        <w:rPr>
          <w:rFonts w:ascii="Times New Roman" w:hAnsi="Times New Roman"/>
          <w:i/>
        </w:rPr>
        <w:t>c)</w:t>
      </w:r>
      <w:r>
        <w:rPr>
          <w:rFonts w:ascii="Times New Roman" w:hAnsi="Times New Roman"/>
        </w:rPr>
        <w:t xml:space="preserve"> le disposizioni dei paragrafi 1 e 2 si applicano ai fornitori di servizi di accesso a internet con meno di 10 000 abbonati a decorrere dal 1º gennaio 2027.</w:t>
      </w:r>
    </w:p>
    <w:p w14:paraId="4E8D0FDD" w14:textId="77777777" w:rsidR="00C02533" w:rsidRPr="00AF480D" w:rsidRDefault="00C02533" w:rsidP="003A1216">
      <w:pPr>
        <w:pStyle w:val="BodyText"/>
        <w:jc w:val="both"/>
        <w:rPr>
          <w:rFonts w:ascii="Times New Roman" w:hAnsi="Times New Roman"/>
        </w:rPr>
      </w:pPr>
    </w:p>
    <w:p w14:paraId="14A66C7A" w14:textId="77777777" w:rsidR="00C02533" w:rsidRPr="00AF480D" w:rsidRDefault="00C02533" w:rsidP="003A1216">
      <w:pPr>
        <w:pStyle w:val="BodyText"/>
        <w:spacing w:after="0" w:line="240" w:lineRule="auto"/>
        <w:jc w:val="both"/>
        <w:rPr>
          <w:rFonts w:ascii="Times New Roman" w:hAnsi="Times New Roman"/>
        </w:rPr>
      </w:pPr>
      <w:r>
        <w:rPr>
          <w:rFonts w:ascii="Times New Roman" w:hAnsi="Times New Roman"/>
        </w:rPr>
        <w:t>(3) Ai fini del paragrafo 2, per "servizio di accesso mobile a internet" si intende un servizio di accesso a internet fornito attraverso una rete di comunicazione radio che può essere utilizzato dall'utente finale anche quando si sposta all'interno dell'area di servizio.</w:t>
      </w:r>
    </w:p>
    <w:p w14:paraId="4F9C39F8" w14:textId="77777777" w:rsidR="00A90E2C" w:rsidRPr="00AF480D" w:rsidRDefault="00A90E2C" w:rsidP="003A1216">
      <w:pPr>
        <w:pStyle w:val="BodyText"/>
        <w:spacing w:after="0" w:line="240" w:lineRule="auto"/>
        <w:jc w:val="both"/>
        <w:rPr>
          <w:rFonts w:ascii="Times New Roman" w:hAnsi="Times New Roman"/>
        </w:rPr>
      </w:pPr>
    </w:p>
    <w:p w14:paraId="3768BB08" w14:textId="77777777" w:rsidR="00C02533" w:rsidRPr="00AF480D" w:rsidRDefault="00C02533" w:rsidP="00A90E2C">
      <w:pPr>
        <w:pStyle w:val="BodyText"/>
        <w:spacing w:after="0" w:line="240" w:lineRule="auto"/>
        <w:jc w:val="both"/>
        <w:rPr>
          <w:rFonts w:ascii="Times New Roman" w:hAnsi="Times New Roman"/>
        </w:rPr>
      </w:pPr>
      <w:r>
        <w:rPr>
          <w:rFonts w:ascii="Times New Roman" w:hAnsi="Times New Roman"/>
        </w:rPr>
        <w:t xml:space="preserve">(4) I paragrafi 1 e 2 della sezione 149/F della legge di modifica 3 si applicano anche ai contratti di abbonamento conclusi prima delle date di cui al paragrafo 2, a condizione che, entro un anno dalle date di cui al paragrafo 2, il fornitore del servizio interessato offra al singolo abbonato la possibilità di utilizzare il servizio sicuro (fornito nei confronti degli utenti minorenni) di cui alla sezione 149/F e lo offra gratuitamente, con un termine di almeno 30 giorni."  </w:t>
      </w:r>
    </w:p>
    <w:p w14:paraId="47DBF6E0" w14:textId="77777777" w:rsidR="00F27993" w:rsidRDefault="00B24FEF">
      <w:pPr>
        <w:pStyle w:val="BodyText"/>
        <w:spacing w:before="240" w:after="240" w:line="240" w:lineRule="auto"/>
        <w:jc w:val="center"/>
        <w:rPr>
          <w:rFonts w:ascii="Times New Roman" w:hAnsi="Times New Roman"/>
          <w:b/>
          <w:bCs/>
        </w:rPr>
      </w:pPr>
      <w:r>
        <w:rPr>
          <w:rFonts w:ascii="Times New Roman" w:hAnsi="Times New Roman"/>
          <w:b/>
        </w:rPr>
        <w:t xml:space="preserve">Sezione 8 </w:t>
      </w:r>
    </w:p>
    <w:p w14:paraId="5C9AC877" w14:textId="77777777" w:rsidR="00F27993" w:rsidRDefault="00B24FEF">
      <w:pPr>
        <w:pStyle w:val="BodyText"/>
        <w:spacing w:after="0" w:line="240" w:lineRule="auto"/>
        <w:jc w:val="both"/>
        <w:rPr>
          <w:rFonts w:ascii="Times New Roman" w:hAnsi="Times New Roman"/>
        </w:rPr>
      </w:pPr>
      <w:r>
        <w:rPr>
          <w:rFonts w:ascii="Times New Roman" w:hAnsi="Times New Roman"/>
        </w:rPr>
        <w:t xml:space="preserve">Nella sezione 182, paragrafo 3, della legge C del 2003 sulle comunicazioni elettroniche è aggiunto il seguente punto 7: </w:t>
      </w:r>
    </w:p>
    <w:p w14:paraId="390955F2" w14:textId="77777777" w:rsidR="00AF480D" w:rsidRPr="001553AC" w:rsidRDefault="00B24FEF" w:rsidP="003A1216">
      <w:pPr>
        <w:pStyle w:val="BodyText"/>
        <w:spacing w:before="240" w:after="0" w:line="240" w:lineRule="auto"/>
        <w:jc w:val="both"/>
        <w:rPr>
          <w:rFonts w:ascii="Times New Roman" w:hAnsi="Times New Roman"/>
        </w:rPr>
      </w:pPr>
      <w:r>
        <w:rPr>
          <w:rFonts w:ascii="Times New Roman" w:hAnsi="Times New Roman"/>
          <w:i/>
        </w:rPr>
        <w:t>(Il presidente ha il potere di stabilire con decreto:)</w:t>
      </w:r>
    </w:p>
    <w:p w14:paraId="36330127" w14:textId="77777777" w:rsidR="00AF480D" w:rsidRPr="001553AC" w:rsidRDefault="00AF480D" w:rsidP="003A1216">
      <w:pPr>
        <w:pStyle w:val="BodyText"/>
        <w:ind w:left="567" w:hanging="560"/>
        <w:jc w:val="both"/>
        <w:rPr>
          <w:rFonts w:ascii="Times New Roman" w:hAnsi="Times New Roman"/>
        </w:rPr>
      </w:pPr>
      <w:r>
        <w:rPr>
          <w:rFonts w:ascii="Times New Roman" w:hAnsi="Times New Roman"/>
        </w:rPr>
        <w:t>“7. norme dettagliate per la fornitura delle informazioni relative agli abbonati e le modalità di erogazione del servizio in relazione al servizio sicuro (fornito nei confronti degli utenti minorenni), nonché norme dettagliate per la compilazione, revisione e pubblicazione dell'elenco di cui alla sezione 149/F, paragrafo 3;”.</w:t>
      </w:r>
    </w:p>
    <w:p w14:paraId="5DBFFFA5" w14:textId="77777777" w:rsidR="00F27993" w:rsidRDefault="00B24FEF">
      <w:pPr>
        <w:pStyle w:val="BodyText"/>
        <w:spacing w:before="240" w:after="240" w:line="240" w:lineRule="auto"/>
        <w:jc w:val="center"/>
        <w:rPr>
          <w:rFonts w:ascii="Times New Roman" w:hAnsi="Times New Roman"/>
          <w:b/>
          <w:bCs/>
        </w:rPr>
      </w:pPr>
      <w:r>
        <w:rPr>
          <w:rFonts w:ascii="Times New Roman" w:hAnsi="Times New Roman"/>
          <w:b/>
        </w:rPr>
        <w:t xml:space="preserve">Sezione 9 </w:t>
      </w:r>
    </w:p>
    <w:p w14:paraId="29BF4BE9" w14:textId="77777777" w:rsidR="00F27993" w:rsidRDefault="00B24FEF">
      <w:pPr>
        <w:pStyle w:val="BodyText"/>
        <w:spacing w:after="0" w:line="240" w:lineRule="auto"/>
        <w:jc w:val="both"/>
        <w:rPr>
          <w:rFonts w:ascii="Times New Roman" w:hAnsi="Times New Roman"/>
        </w:rPr>
      </w:pPr>
      <w:r>
        <w:rPr>
          <w:rFonts w:ascii="Times New Roman" w:hAnsi="Times New Roman"/>
        </w:rPr>
        <w:t xml:space="preserve">La sezione 187, paragrafo 3, della legge C del 2003 sulle comunicazioni elettroniche è sostituita dalla seguente: </w:t>
      </w:r>
    </w:p>
    <w:p w14:paraId="2AD003DC" w14:textId="77777777" w:rsidR="001553AC" w:rsidRDefault="001553AC" w:rsidP="0064144A">
      <w:pPr>
        <w:pStyle w:val="BodyText"/>
        <w:jc w:val="both"/>
        <w:rPr>
          <w:rFonts w:ascii="Times New Roman" w:hAnsi="Times New Roman"/>
        </w:rPr>
      </w:pPr>
    </w:p>
    <w:p w14:paraId="0930DD13" w14:textId="77777777" w:rsidR="001553AC" w:rsidRPr="00146EC1" w:rsidRDefault="001553AC" w:rsidP="0064144A">
      <w:pPr>
        <w:pStyle w:val="BodyText"/>
        <w:jc w:val="both"/>
        <w:rPr>
          <w:rFonts w:ascii="Times New Roman" w:hAnsi="Times New Roman"/>
        </w:rPr>
      </w:pPr>
      <w:r>
        <w:rPr>
          <w:rFonts w:ascii="Times New Roman" w:hAnsi="Times New Roman"/>
        </w:rPr>
        <w:t xml:space="preserve">“(3) I progetti di cui alla sezione 92/C, alla sezione 145/A, alla sezione 149/F, paragrafi 1 e 2, alla sezione 163/Q, paragrafi da 2 a 4 e alla sezione 182, paragrafo 1, lettera h) della presente legge sono stati preventivamente notificati a norma degli articoli da 5 a 7 della direttiva (UE) 2015/1535 del Parlamento europeo e del Consiglio, del 9 settembre 2015, che prevede una procedura d'informazione nel settore delle regolamentazioni tecniche e delle regole relative ai servizi della società dell'informazione.”     </w:t>
      </w:r>
    </w:p>
    <w:p w14:paraId="329DE6B0" w14:textId="77777777" w:rsidR="00F27993" w:rsidRDefault="00B24FEF">
      <w:pPr>
        <w:pStyle w:val="BodyText"/>
        <w:spacing w:before="280" w:after="0" w:line="240" w:lineRule="auto"/>
        <w:jc w:val="center"/>
        <w:rPr>
          <w:rFonts w:ascii="Times New Roman" w:hAnsi="Times New Roman"/>
          <w:b/>
          <w:bCs/>
        </w:rPr>
      </w:pPr>
      <w:r>
        <w:rPr>
          <w:rFonts w:ascii="Times New Roman" w:hAnsi="Times New Roman"/>
          <w:b/>
        </w:rPr>
        <w:t>3. Modifica della legge XLVIII del 2008 sui requisiti fondamentali per le attività di pubblicità commerciale e su talune restrizioni ad esse applicabili</w:t>
      </w:r>
    </w:p>
    <w:p w14:paraId="6EA7BE09" w14:textId="77777777" w:rsidR="00F27993" w:rsidRDefault="00B24FEF">
      <w:pPr>
        <w:pStyle w:val="BodyText"/>
        <w:spacing w:before="240" w:after="240" w:line="240" w:lineRule="auto"/>
        <w:jc w:val="center"/>
        <w:rPr>
          <w:rFonts w:ascii="Times New Roman" w:hAnsi="Times New Roman"/>
          <w:b/>
          <w:bCs/>
        </w:rPr>
      </w:pPr>
      <w:r>
        <w:rPr>
          <w:rFonts w:ascii="Times New Roman" w:hAnsi="Times New Roman"/>
          <w:b/>
        </w:rPr>
        <w:t xml:space="preserve">Sezione 10 </w:t>
      </w:r>
    </w:p>
    <w:p w14:paraId="34323FC7" w14:textId="77777777" w:rsidR="00F27993" w:rsidRDefault="00B24FEF">
      <w:pPr>
        <w:pStyle w:val="BodyText"/>
        <w:spacing w:after="0" w:line="240" w:lineRule="auto"/>
        <w:jc w:val="both"/>
        <w:rPr>
          <w:rFonts w:ascii="Times New Roman" w:hAnsi="Times New Roman"/>
        </w:rPr>
      </w:pPr>
      <w:r>
        <w:rPr>
          <w:rFonts w:ascii="Times New Roman" w:hAnsi="Times New Roman"/>
        </w:rPr>
        <w:t xml:space="preserve">La seguente sezione 4/A è aggiunta alla legge XLVIII del 2008 sui requisiti fondamentali per le attività di pubblicità commerciale e su talune restrizioni ad esse applicabili: </w:t>
      </w:r>
    </w:p>
    <w:p w14:paraId="06C58D56" w14:textId="77777777" w:rsidR="00F27993" w:rsidRDefault="00B24FEF">
      <w:pPr>
        <w:pStyle w:val="BodyText"/>
        <w:spacing w:before="240" w:after="240" w:line="240" w:lineRule="auto"/>
        <w:jc w:val="center"/>
        <w:rPr>
          <w:rFonts w:ascii="Times New Roman" w:hAnsi="Times New Roman"/>
          <w:b/>
          <w:bCs/>
        </w:rPr>
      </w:pPr>
      <w:r>
        <w:rPr>
          <w:rFonts w:ascii="Times New Roman" w:hAnsi="Times New Roman"/>
          <w:b/>
        </w:rPr>
        <w:t xml:space="preserve">“Sezione 4/A </w:t>
      </w:r>
    </w:p>
    <w:p w14:paraId="63CBE020" w14:textId="77777777" w:rsidR="00F27993" w:rsidRDefault="00B24FEF">
      <w:pPr>
        <w:pStyle w:val="BodyText"/>
        <w:spacing w:after="0" w:line="240" w:lineRule="auto"/>
        <w:jc w:val="both"/>
        <w:rPr>
          <w:rFonts w:ascii="Times New Roman" w:hAnsi="Times New Roman"/>
        </w:rPr>
      </w:pPr>
      <w:r>
        <w:rPr>
          <w:rFonts w:ascii="Times New Roman" w:hAnsi="Times New Roman"/>
        </w:rPr>
        <w:t xml:space="preserve">(1) La pubblicità tramite fornitori di applicazioni e fornitori di servizi di piattaforma per la condivisione di video ai sensi della legge CVIII del 2001 su taluni aspetti dei servizi del commercio elettronico e dei servizi della società dell'informazione (di seguito: ‘legge sul commercio elettronico’) può essere pubblicata con l'indicazione di un riferimento alla natura della pubblicità. </w:t>
      </w:r>
    </w:p>
    <w:p w14:paraId="1F621B32" w14:textId="77777777" w:rsidR="00F27993" w:rsidRDefault="00B24FEF">
      <w:pPr>
        <w:pStyle w:val="BodyText"/>
        <w:spacing w:before="240" w:after="240" w:line="240" w:lineRule="auto"/>
        <w:jc w:val="both"/>
        <w:rPr>
          <w:rFonts w:ascii="Times New Roman" w:hAnsi="Times New Roman"/>
        </w:rPr>
      </w:pPr>
      <w:r>
        <w:rPr>
          <w:rFonts w:ascii="Times New Roman" w:hAnsi="Times New Roman"/>
        </w:rPr>
        <w:t>(2) Se la pubblicità di cui al paragrafo 1 è rivolta a bambini o minori, il riferimento alla natura della pubblicità include anche un riferimento a tale fatto.”</w:t>
      </w:r>
    </w:p>
    <w:p w14:paraId="11BA1267" w14:textId="77777777" w:rsidR="00F27993" w:rsidRDefault="00B24FEF">
      <w:pPr>
        <w:pStyle w:val="BodyText"/>
        <w:spacing w:before="240" w:after="240" w:line="240" w:lineRule="auto"/>
        <w:jc w:val="center"/>
        <w:rPr>
          <w:rFonts w:ascii="Times New Roman" w:hAnsi="Times New Roman"/>
          <w:b/>
          <w:bCs/>
        </w:rPr>
      </w:pPr>
      <w:r>
        <w:rPr>
          <w:rFonts w:ascii="Times New Roman" w:hAnsi="Times New Roman"/>
          <w:b/>
        </w:rPr>
        <w:t xml:space="preserve">Sezione 11 </w:t>
      </w:r>
    </w:p>
    <w:p w14:paraId="2A60A69A" w14:textId="77777777" w:rsidR="00F27993" w:rsidRDefault="00B24FEF">
      <w:pPr>
        <w:pStyle w:val="BodyText"/>
        <w:spacing w:after="0" w:line="240" w:lineRule="auto"/>
        <w:jc w:val="both"/>
        <w:rPr>
          <w:rFonts w:ascii="Times New Roman" w:hAnsi="Times New Roman"/>
        </w:rPr>
      </w:pPr>
      <w:r>
        <w:rPr>
          <w:rFonts w:ascii="Times New Roman" w:hAnsi="Times New Roman"/>
        </w:rPr>
        <w:lastRenderedPageBreak/>
        <w:t xml:space="preserve">Il seguente paragrafo 5 è aggiunto alla sezione 8 della legge XLVIII del 2008 sui requisiti fondamentali per le attività di pubblicità commerciale e su talune restrizioni ad esse applicabili: </w:t>
      </w:r>
    </w:p>
    <w:p w14:paraId="58E429BA" w14:textId="77777777" w:rsidR="00F27993" w:rsidRDefault="00B24FEF">
      <w:pPr>
        <w:pStyle w:val="BodyText"/>
        <w:spacing w:before="240" w:after="240" w:line="240" w:lineRule="auto"/>
        <w:jc w:val="both"/>
        <w:rPr>
          <w:rFonts w:ascii="Times New Roman" w:hAnsi="Times New Roman"/>
        </w:rPr>
      </w:pPr>
      <w:r>
        <w:rPr>
          <w:rFonts w:ascii="Times New Roman" w:hAnsi="Times New Roman"/>
        </w:rPr>
        <w:t>“(5) È vietato pubblicizzare merci o prodotti o il loro uso ai bambini o ai minori in modo nocivo o pericoloso per la vita, la salute o l'integrità fisica.”</w:t>
      </w:r>
    </w:p>
    <w:p w14:paraId="44219EDC" w14:textId="77777777" w:rsidR="00F27993" w:rsidRDefault="00B24FEF">
      <w:pPr>
        <w:pStyle w:val="BodyText"/>
        <w:spacing w:before="240" w:after="240" w:line="240" w:lineRule="auto"/>
        <w:jc w:val="center"/>
        <w:rPr>
          <w:rFonts w:ascii="Times New Roman" w:hAnsi="Times New Roman"/>
          <w:b/>
          <w:bCs/>
        </w:rPr>
      </w:pPr>
      <w:r>
        <w:rPr>
          <w:rFonts w:ascii="Times New Roman" w:hAnsi="Times New Roman"/>
          <w:b/>
        </w:rPr>
        <w:t xml:space="preserve">Sezione 12 </w:t>
      </w:r>
    </w:p>
    <w:p w14:paraId="58D8330A" w14:textId="77777777" w:rsidR="00F27993" w:rsidRDefault="00B24FEF">
      <w:pPr>
        <w:pStyle w:val="BodyText"/>
        <w:spacing w:after="0" w:line="240" w:lineRule="auto"/>
        <w:jc w:val="both"/>
        <w:rPr>
          <w:rFonts w:ascii="Times New Roman" w:hAnsi="Times New Roman"/>
        </w:rPr>
      </w:pPr>
      <w:r>
        <w:rPr>
          <w:rFonts w:ascii="Times New Roman" w:hAnsi="Times New Roman"/>
        </w:rPr>
        <w:t>Il paragrafo 2 della sezione 18 della legge XLVIII del 2008 sui requisiti fondamentali per le attività di pubblicità commerciale e su talune restrizioni ad esse applicabili è sostituito dal seguente:</w:t>
      </w:r>
    </w:p>
    <w:p w14:paraId="792AEDA8" w14:textId="77777777" w:rsidR="00F27993" w:rsidRDefault="00B24FEF">
      <w:pPr>
        <w:pStyle w:val="BodyText"/>
        <w:spacing w:before="240" w:after="0" w:line="240" w:lineRule="auto"/>
        <w:jc w:val="both"/>
        <w:rPr>
          <w:rFonts w:ascii="Times New Roman" w:hAnsi="Times New Roman"/>
        </w:rPr>
      </w:pPr>
      <w:r>
        <w:rPr>
          <w:rFonts w:ascii="Times New Roman" w:hAnsi="Times New Roman"/>
        </w:rPr>
        <w:t>“(2) È vietata la pubblicazione di qualsiasi pubblicità di bevande alcoliche</w:t>
      </w:r>
    </w:p>
    <w:p w14:paraId="7EEC3CDD" w14:textId="77777777" w:rsidR="00F27993" w:rsidRDefault="00B24FEF">
      <w:pPr>
        <w:pStyle w:val="BodyText"/>
        <w:spacing w:after="0" w:line="240" w:lineRule="auto"/>
        <w:ind w:left="580" w:hanging="560"/>
        <w:jc w:val="both"/>
        <w:rPr>
          <w:rFonts w:ascii="Times New Roman" w:hAnsi="Times New Roman"/>
        </w:rPr>
      </w:pPr>
      <w:r>
        <w:rPr>
          <w:rFonts w:ascii="Times New Roman" w:hAnsi="Times New Roman"/>
          <w:i/>
        </w:rPr>
        <w:t>a)</w:t>
      </w:r>
      <w:r>
        <w:rPr>
          <w:rFonts w:ascii="Times New Roman" w:hAnsi="Times New Roman"/>
        </w:rPr>
        <w:tab/>
        <w:t>sulla superficie esterna della copertina di un prodotto stampato o, nel caso di un sito web, sulla pagina iniziale,</w:t>
      </w:r>
    </w:p>
    <w:p w14:paraId="47E7EDC9" w14:textId="77777777" w:rsidR="00F27993" w:rsidRDefault="00B24FEF">
      <w:pPr>
        <w:pStyle w:val="BodyText"/>
        <w:spacing w:after="0" w:line="240" w:lineRule="auto"/>
        <w:ind w:left="580" w:hanging="560"/>
        <w:jc w:val="both"/>
        <w:rPr>
          <w:rFonts w:ascii="Times New Roman" w:hAnsi="Times New Roman"/>
        </w:rPr>
      </w:pPr>
      <w:r>
        <w:rPr>
          <w:rFonts w:ascii="Times New Roman" w:hAnsi="Times New Roman"/>
          <w:i/>
        </w:rPr>
        <w:t>b)</w:t>
      </w:r>
      <w:r>
        <w:rPr>
          <w:rFonts w:ascii="Times New Roman" w:hAnsi="Times New Roman"/>
        </w:rPr>
        <w:tab/>
        <w:t>nei teatri o nei cinema prima delle 8,</w:t>
      </w:r>
    </w:p>
    <w:p w14:paraId="279A0978" w14:textId="77777777" w:rsidR="00F27993" w:rsidRDefault="00B24FEF">
      <w:pPr>
        <w:pStyle w:val="BodyText"/>
        <w:spacing w:after="0" w:line="240" w:lineRule="auto"/>
        <w:ind w:left="580" w:hanging="560"/>
        <w:jc w:val="both"/>
        <w:rPr>
          <w:rFonts w:ascii="Times New Roman" w:hAnsi="Times New Roman"/>
        </w:rPr>
      </w:pPr>
      <w:r>
        <w:rPr>
          <w:rFonts w:ascii="Times New Roman" w:hAnsi="Times New Roman"/>
          <w:i/>
        </w:rPr>
        <w:t>c)</w:t>
      </w:r>
      <w:r>
        <w:rPr>
          <w:rFonts w:ascii="Times New Roman" w:hAnsi="Times New Roman"/>
        </w:rPr>
        <w:tab/>
        <w:t>immediatamente prima di un programma per bambini o minori, per tutta la sua durata e immediatamente dopo,</w:t>
      </w:r>
    </w:p>
    <w:p w14:paraId="5B6A0514" w14:textId="77777777" w:rsidR="00F27993" w:rsidRDefault="00B24FEF">
      <w:pPr>
        <w:pStyle w:val="BodyText"/>
        <w:spacing w:after="0" w:line="240" w:lineRule="auto"/>
        <w:ind w:left="580" w:hanging="560"/>
        <w:jc w:val="both"/>
        <w:rPr>
          <w:rFonts w:ascii="Times New Roman" w:hAnsi="Times New Roman"/>
        </w:rPr>
      </w:pPr>
      <w:r>
        <w:rPr>
          <w:rFonts w:ascii="Times New Roman" w:hAnsi="Times New Roman"/>
          <w:i/>
        </w:rPr>
        <w:t>d)</w:t>
      </w:r>
      <w:r>
        <w:rPr>
          <w:rFonts w:ascii="Times New Roman" w:hAnsi="Times New Roman"/>
        </w:rPr>
        <w:tab/>
        <w:t>immediatamente prima della pubblicazione, tramite un fornitore di applicazioni o un fornitore di servizi di piattaforma per la condivisione di video ai sensi della legge sul commercio elettronico, di contenuti destinati a bambini o minori, durante tale pubblicazione e immediatamente dopo,</w:t>
      </w:r>
    </w:p>
    <w:p w14:paraId="0D51AADB" w14:textId="77777777" w:rsidR="00F27993" w:rsidRDefault="00B24FEF">
      <w:pPr>
        <w:pStyle w:val="BodyText"/>
        <w:spacing w:after="0" w:line="240" w:lineRule="auto"/>
        <w:ind w:left="580" w:hanging="560"/>
        <w:jc w:val="both"/>
        <w:rPr>
          <w:rFonts w:ascii="Times New Roman" w:hAnsi="Times New Roman"/>
        </w:rPr>
      </w:pPr>
      <w:r>
        <w:rPr>
          <w:rFonts w:ascii="Times New Roman" w:hAnsi="Times New Roman"/>
          <w:i/>
        </w:rPr>
        <w:t>e)</w:t>
      </w:r>
      <w:r>
        <w:rPr>
          <w:rFonts w:ascii="Times New Roman" w:hAnsi="Times New Roman"/>
        </w:rPr>
        <w:tab/>
        <w:t>sui prodotti chiaramente destinati ai giochi e sul loro imballaggio, oppure</w:t>
      </w:r>
    </w:p>
    <w:p w14:paraId="11145E31" w14:textId="77777777" w:rsidR="00F27993" w:rsidRDefault="00B24FEF">
      <w:pPr>
        <w:pStyle w:val="BodyText"/>
        <w:spacing w:after="240" w:line="240" w:lineRule="auto"/>
        <w:ind w:left="580" w:hanging="560"/>
        <w:jc w:val="both"/>
        <w:rPr>
          <w:rFonts w:ascii="Times New Roman" w:hAnsi="Times New Roman"/>
        </w:rPr>
      </w:pPr>
      <w:r>
        <w:rPr>
          <w:rFonts w:ascii="Times New Roman" w:hAnsi="Times New Roman"/>
          <w:i/>
        </w:rPr>
        <w:t>f)</w:t>
      </w:r>
      <w:r>
        <w:rPr>
          <w:rFonts w:ascii="Times New Roman" w:hAnsi="Times New Roman"/>
        </w:rPr>
        <w:tab/>
        <w:t>in un istituto pubblico di istruzione o sanitario, o su un cartellone pubblicitario all'aperto, in una vetrina o su qualsiasi superficie altrimenti visibile da un luogo pubblico, che si trova entro una distanza di 200 metri (dalla strada pubblica o da un luogo pubblico) dall'ingresso di un tale istituto.”</w:t>
      </w:r>
    </w:p>
    <w:p w14:paraId="556E2DFB" w14:textId="77777777" w:rsidR="00F27993" w:rsidRDefault="00B24FEF">
      <w:pPr>
        <w:pStyle w:val="BodyText"/>
        <w:spacing w:before="240" w:after="240" w:line="240" w:lineRule="auto"/>
        <w:jc w:val="center"/>
        <w:rPr>
          <w:rFonts w:ascii="Times New Roman" w:hAnsi="Times New Roman"/>
          <w:b/>
          <w:bCs/>
        </w:rPr>
      </w:pPr>
      <w:r>
        <w:rPr>
          <w:rFonts w:ascii="Times New Roman" w:hAnsi="Times New Roman"/>
          <w:b/>
        </w:rPr>
        <w:t xml:space="preserve">Sezione 13 </w:t>
      </w:r>
    </w:p>
    <w:p w14:paraId="7EE6C827" w14:textId="77777777" w:rsidR="00F27993" w:rsidRDefault="00B24FEF">
      <w:pPr>
        <w:pStyle w:val="BodyText"/>
        <w:spacing w:after="0" w:line="240" w:lineRule="auto"/>
        <w:jc w:val="both"/>
        <w:rPr>
          <w:rFonts w:ascii="Times New Roman" w:hAnsi="Times New Roman"/>
        </w:rPr>
      </w:pPr>
      <w:r>
        <w:rPr>
          <w:rFonts w:ascii="Times New Roman" w:hAnsi="Times New Roman"/>
        </w:rPr>
        <w:t xml:space="preserve">Il seguente paragrafo 2 è aggiunto alla sezione 45 della legge XLVIII del 2008 sui requisiti fondamentali per le attività di pubblicità commerciale e su talune restrizioni ad esse applicabili: </w:t>
      </w:r>
    </w:p>
    <w:p w14:paraId="7699756E" w14:textId="77777777" w:rsidR="00F27993" w:rsidRDefault="00B24FEF">
      <w:pPr>
        <w:pStyle w:val="BodyText"/>
        <w:spacing w:before="240" w:after="240" w:line="240" w:lineRule="auto"/>
        <w:jc w:val="both"/>
        <w:rPr>
          <w:rFonts w:ascii="Times New Roman" w:hAnsi="Times New Roman"/>
        </w:rPr>
      </w:pPr>
      <w:r>
        <w:rPr>
          <w:rFonts w:ascii="Times New Roman" w:hAnsi="Times New Roman"/>
        </w:rPr>
        <w:t>“(2)    I progetti di cui alla sezione 4/A, alla sezione 8, paragrafo 5 e alla sezione 18, paragrafo 2, lettere d) ed e) della presente legge sono stati preventivamente notificati a norma degli articoli da 5 a 7 della direttiva (UE) 2015/1535 del Parlamento europeo e del Consiglio, del 9 settembre 2015, che prevede una procedura d'informazione nel settore delle regolamentazioni tecniche e delle regole relative ai servizi della società dell'informazione."</w:t>
      </w:r>
    </w:p>
    <w:p w14:paraId="783AE123" w14:textId="77777777" w:rsidR="00F27993" w:rsidRDefault="00B24FEF">
      <w:pPr>
        <w:pStyle w:val="BodyText"/>
        <w:spacing w:before="240" w:after="240" w:line="240" w:lineRule="auto"/>
        <w:jc w:val="center"/>
        <w:rPr>
          <w:rFonts w:ascii="Times New Roman" w:hAnsi="Times New Roman"/>
          <w:b/>
          <w:bCs/>
        </w:rPr>
      </w:pPr>
      <w:r>
        <w:rPr>
          <w:rFonts w:ascii="Times New Roman" w:hAnsi="Times New Roman"/>
          <w:b/>
        </w:rPr>
        <w:t xml:space="preserve">Sezione 14 </w:t>
      </w:r>
    </w:p>
    <w:p w14:paraId="05DBF660" w14:textId="77777777" w:rsidR="00F27993" w:rsidRDefault="00B24FEF">
      <w:pPr>
        <w:pStyle w:val="BodyText"/>
        <w:spacing w:after="0" w:line="240" w:lineRule="auto"/>
        <w:jc w:val="both"/>
        <w:rPr>
          <w:rFonts w:ascii="Times New Roman" w:hAnsi="Times New Roman"/>
        </w:rPr>
      </w:pPr>
      <w:r>
        <w:rPr>
          <w:rFonts w:ascii="Times New Roman" w:hAnsi="Times New Roman"/>
        </w:rPr>
        <w:t>Nella sezione 23, paragrafo 2, lettera a), della legge XLVIII del 2008 sui requisiti fondamentali per le attività di pubblicità commerciale e su talune restrizioni ad esse applicabili, le parole “legge CVIII del 2001 su determinati aspetti dei servizi della società dell'informazione (di seguito: ‘legge sul commercio elettronico’)” sono sostituite da “legge sul commercio elettronico”.</w:t>
      </w:r>
    </w:p>
    <w:p w14:paraId="628781B0" w14:textId="77777777" w:rsidR="00F27993" w:rsidRDefault="00B24FEF">
      <w:pPr>
        <w:pStyle w:val="BodyText"/>
        <w:spacing w:before="280" w:after="0" w:line="240" w:lineRule="auto"/>
        <w:jc w:val="center"/>
        <w:rPr>
          <w:rFonts w:ascii="Times New Roman" w:hAnsi="Times New Roman"/>
          <w:b/>
          <w:bCs/>
        </w:rPr>
      </w:pPr>
      <w:r>
        <w:rPr>
          <w:rFonts w:ascii="Times New Roman" w:hAnsi="Times New Roman"/>
          <w:b/>
        </w:rPr>
        <w:t>4. Disposizioni finali</w:t>
      </w:r>
    </w:p>
    <w:p w14:paraId="03871B5A" w14:textId="77777777" w:rsidR="00F27993" w:rsidRDefault="00B24FEF">
      <w:pPr>
        <w:pStyle w:val="BodyText"/>
        <w:spacing w:before="240" w:after="240" w:line="240" w:lineRule="auto"/>
        <w:jc w:val="center"/>
        <w:rPr>
          <w:rFonts w:ascii="Times New Roman" w:hAnsi="Times New Roman"/>
          <w:b/>
          <w:bCs/>
        </w:rPr>
      </w:pPr>
      <w:r>
        <w:rPr>
          <w:rFonts w:ascii="Times New Roman" w:hAnsi="Times New Roman"/>
          <w:b/>
        </w:rPr>
        <w:t xml:space="preserve">Sezione 15 </w:t>
      </w:r>
    </w:p>
    <w:p w14:paraId="7130FA13" w14:textId="77777777" w:rsidR="00F27993" w:rsidRDefault="00B24FEF">
      <w:pPr>
        <w:pStyle w:val="BodyText"/>
        <w:spacing w:after="0" w:line="240" w:lineRule="auto"/>
        <w:jc w:val="both"/>
        <w:rPr>
          <w:rFonts w:ascii="Times New Roman" w:hAnsi="Times New Roman"/>
        </w:rPr>
      </w:pPr>
      <w:r>
        <w:rPr>
          <w:rFonts w:ascii="Times New Roman" w:hAnsi="Times New Roman"/>
        </w:rPr>
        <w:t>La presente legge entra in vigore il 1° gennaio 2025.</w:t>
      </w:r>
    </w:p>
    <w:p w14:paraId="7EF69572" w14:textId="77777777" w:rsidR="00F27993" w:rsidRDefault="00B24FEF" w:rsidP="00317F38">
      <w:pPr>
        <w:pStyle w:val="BodyText"/>
        <w:keepNext/>
        <w:spacing w:before="240" w:after="240" w:line="240" w:lineRule="auto"/>
        <w:jc w:val="center"/>
        <w:rPr>
          <w:rFonts w:ascii="Times New Roman" w:hAnsi="Times New Roman"/>
          <w:b/>
          <w:bCs/>
        </w:rPr>
      </w:pPr>
      <w:r>
        <w:rPr>
          <w:rFonts w:ascii="Times New Roman" w:hAnsi="Times New Roman"/>
          <w:b/>
        </w:rPr>
        <w:lastRenderedPageBreak/>
        <w:t xml:space="preserve">Sezione 16 </w:t>
      </w:r>
    </w:p>
    <w:p w14:paraId="54D04201" w14:textId="77777777" w:rsidR="00F27993" w:rsidRDefault="00B24FEF" w:rsidP="00172FF1">
      <w:pPr>
        <w:pStyle w:val="BodyText"/>
        <w:spacing w:after="0" w:line="240" w:lineRule="auto"/>
        <w:jc w:val="both"/>
        <w:rPr>
          <w:rFonts w:ascii="Times New Roman" w:hAnsi="Times New Roman"/>
        </w:rPr>
      </w:pPr>
      <w:r>
        <w:rPr>
          <w:rFonts w:ascii="Times New Roman" w:hAnsi="Times New Roman"/>
        </w:rPr>
        <w:t xml:space="preserve">L'obbligo di notifica preventiva del presente progetto di legge, di cui agli articoli da 5 a 7 della direttiva (UE) 2015/1535 del Parlamento europeo e del Consiglio, del 9 settembre 2015, che prevede una procedura d'informazione nel settore delle regolamentazioni tecniche e delle regole relative ai servizi della società dell'informazione, è stato rispettato. </w:t>
      </w:r>
    </w:p>
    <w:sectPr w:rsidR="00F27993">
      <w:footerReference w:type="default" r:id="rId7"/>
      <w:pgSz w:w="11906" w:h="16838"/>
      <w:pgMar w:top="1212" w:right="1134" w:bottom="1698" w:left="1134" w:header="42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061D2" w14:textId="77777777" w:rsidR="00A74C06" w:rsidRDefault="00A74C06">
      <w:r>
        <w:separator/>
      </w:r>
    </w:p>
  </w:endnote>
  <w:endnote w:type="continuationSeparator" w:id="0">
    <w:p w14:paraId="5E25B38E" w14:textId="77777777" w:rsidR="00A74C06" w:rsidRDefault="00A7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EE"/>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EE"/>
    <w:family w:val="swiss"/>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5541C" w14:textId="77777777" w:rsidR="00F27993" w:rsidRDefault="00B24FEF">
    <w:pPr>
      <w:pStyle w:val="Footer"/>
      <w:jc w:val="center"/>
    </w:pPr>
    <w:r>
      <w:fldChar w:fldCharType="begin"/>
    </w:r>
    <w:r>
      <w:instrText>PAGE</w:instrText>
    </w:r>
    <w:r>
      <w:fldChar w:fldCharType="separate"/>
    </w:r>
    <w:r w:rsidR="00FB3C0F">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5D42D" w14:textId="77777777" w:rsidR="00A74C06" w:rsidRDefault="00A74C06">
      <w:r>
        <w:separator/>
      </w:r>
    </w:p>
  </w:footnote>
  <w:footnote w:type="continuationSeparator" w:id="0">
    <w:p w14:paraId="09D6A80F" w14:textId="77777777" w:rsidR="00A74C06" w:rsidRDefault="00A74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56164"/>
    <w:multiLevelType w:val="multilevel"/>
    <w:tmpl w:val="19902422"/>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4864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93"/>
    <w:rsid w:val="000C1A7D"/>
    <w:rsid w:val="00132DF5"/>
    <w:rsid w:val="00146EC1"/>
    <w:rsid w:val="001553AC"/>
    <w:rsid w:val="00172FF1"/>
    <w:rsid w:val="00283D57"/>
    <w:rsid w:val="00317F38"/>
    <w:rsid w:val="003A1216"/>
    <w:rsid w:val="003A6E57"/>
    <w:rsid w:val="00427469"/>
    <w:rsid w:val="00461A47"/>
    <w:rsid w:val="0054081D"/>
    <w:rsid w:val="00625BDD"/>
    <w:rsid w:val="0064144A"/>
    <w:rsid w:val="00644753"/>
    <w:rsid w:val="00685FC7"/>
    <w:rsid w:val="006F288E"/>
    <w:rsid w:val="008D41E8"/>
    <w:rsid w:val="008F37E3"/>
    <w:rsid w:val="009A06C2"/>
    <w:rsid w:val="009B2A35"/>
    <w:rsid w:val="00A74C06"/>
    <w:rsid w:val="00A90E2C"/>
    <w:rsid w:val="00AD206A"/>
    <w:rsid w:val="00AF480D"/>
    <w:rsid w:val="00B24FEF"/>
    <w:rsid w:val="00B34223"/>
    <w:rsid w:val="00B81AFB"/>
    <w:rsid w:val="00C02533"/>
    <w:rsid w:val="00D30018"/>
    <w:rsid w:val="00D91A9D"/>
    <w:rsid w:val="00DB1D41"/>
    <w:rsid w:val="00DE42CF"/>
    <w:rsid w:val="00EC08F0"/>
    <w:rsid w:val="00F017E9"/>
    <w:rsid w:val="00F105A9"/>
    <w:rsid w:val="00F27993"/>
    <w:rsid w:val="00FB1F5A"/>
    <w:rsid w:val="00FB3C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5045"/>
  <w15:docId w15:val="{16EC599E-6685-44D7-9468-1495F040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roid Sans Fallback" w:hAnsi="Liberation Serif" w:cs="Free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paragraph" w:styleId="Heading4">
    <w:name w:val="heading 4"/>
    <w:basedOn w:val="Heading"/>
    <w:next w:val="BodyText"/>
    <w:qFormat/>
    <w:pPr>
      <w:numPr>
        <w:ilvl w:val="3"/>
        <w:numId w:val="1"/>
      </w:numPr>
      <w:spacing w:before="120"/>
      <w:outlineLvl w:val="3"/>
    </w:pPr>
    <w:rPr>
      <w:b/>
      <w:bCs/>
      <w:i/>
      <w:iCs/>
      <w:sz w:val="27"/>
      <w:szCs w:val="27"/>
    </w:rPr>
  </w:style>
  <w:style w:type="paragraph" w:styleId="Heading5">
    <w:name w:val="heading 5"/>
    <w:basedOn w:val="Heading"/>
    <w:next w:val="BodyText"/>
    <w:qFormat/>
    <w:pPr>
      <w:numPr>
        <w:ilvl w:val="4"/>
        <w:numId w:val="1"/>
      </w:numPr>
      <w:spacing w:before="120" w:after="60"/>
      <w:outlineLvl w:val="4"/>
    </w:pPr>
    <w:rPr>
      <w:b/>
      <w:bCs/>
      <w:sz w:val="24"/>
      <w:szCs w:val="24"/>
    </w:rPr>
  </w:style>
  <w:style w:type="paragraph" w:styleId="Heading6">
    <w:name w:val="heading 6"/>
    <w:basedOn w:val="Heading"/>
    <w:next w:val="BodyText"/>
    <w:qFormat/>
    <w:pPr>
      <w:numPr>
        <w:ilvl w:val="5"/>
        <w:numId w:val="1"/>
      </w:numPr>
      <w:spacing w:before="60" w:after="6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Pr>
      <w:sz w:val="16"/>
      <w:szCs w:val="16"/>
    </w:rPr>
  </w:style>
  <w:style w:type="character" w:styleId="Hyperlink">
    <w:name w:val="Hyperlink"/>
    <w:rPr>
      <w:color w:val="000080"/>
      <w:u w:val="single"/>
    </w:rPr>
  </w:style>
  <w:style w:type="character" w:styleId="FollowedHyperlink">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lus2">
    <w:name w:val="Stílus2"/>
    <w:basedOn w:val="Normal"/>
    <w:qFormat/>
    <w:pPr>
      <w:spacing w:after="240" w:line="360" w:lineRule="auto"/>
      <w:jc w:val="center"/>
    </w:pPr>
    <w:rPr>
      <w:rFonts w:ascii="Georgia" w:hAnsi="Georgia" w:cs="Georgia"/>
      <w:b/>
    </w:rPr>
  </w:style>
  <w:style w:type="paragraph" w:customStyle="1" w:styleId="Keret">
    <w:name w:val="Keret"/>
    <w:basedOn w:val="Normal"/>
    <w:qFormat/>
    <w:pPr>
      <w:pBdr>
        <w:top w:val="single" w:sz="6" w:space="1" w:color="00000A"/>
        <w:left w:val="single" w:sz="6" w:space="1" w:color="00000A"/>
        <w:bottom w:val="single" w:sz="6" w:space="1" w:color="00000A"/>
        <w:right w:val="single" w:sz="6" w:space="1" w:color="00000A"/>
      </w:pBdr>
      <w:tabs>
        <w:tab w:val="left" w:pos="0"/>
      </w:tabs>
    </w:pPr>
    <w:rPr>
      <w:color w:val="000000"/>
      <w:sz w:val="20"/>
    </w:rPr>
  </w:style>
  <w:style w:type="paragraph" w:customStyle="1" w:styleId="TableContents">
    <w:name w:val="Table Contents"/>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styleId="Header">
    <w:name w:val="header"/>
    <w:basedOn w:val="Normal"/>
    <w:pPr>
      <w:suppressLineNumbers/>
      <w:tabs>
        <w:tab w:val="center" w:pos="4819"/>
        <w:tab w:val="right" w:pos="9638"/>
      </w:tabs>
    </w:pPr>
  </w:style>
  <w:style w:type="paragraph" w:customStyle="1" w:styleId="HeaderLeft">
    <w:name w:val="Header Left"/>
    <w:basedOn w:val="Normal"/>
    <w:qFormat/>
    <w:pPr>
      <w:suppressLineNumbers/>
      <w:tabs>
        <w:tab w:val="center" w:pos="4819"/>
        <w:tab w:val="right" w:pos="9638"/>
      </w:tab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styleId="BalloonText">
    <w:name w:val="Balloon Text"/>
    <w:basedOn w:val="Normal"/>
    <w:link w:val="BalloonTextChar"/>
    <w:uiPriority w:val="99"/>
    <w:semiHidden/>
    <w:unhideWhenUsed/>
    <w:rsid w:val="00F105A9"/>
    <w:rPr>
      <w:rFonts w:ascii="Segoe UI" w:hAnsi="Segoe UI" w:cs="Mangal"/>
      <w:sz w:val="18"/>
      <w:szCs w:val="16"/>
    </w:rPr>
  </w:style>
  <w:style w:type="character" w:customStyle="1" w:styleId="BalloonTextChar">
    <w:name w:val="Balloon Text Char"/>
    <w:basedOn w:val="DefaultParagraphFont"/>
    <w:link w:val="BalloonText"/>
    <w:uiPriority w:val="99"/>
    <w:semiHidden/>
    <w:rsid w:val="00F105A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92866">
      <w:bodyDiv w:val="1"/>
      <w:marLeft w:val="0"/>
      <w:marRight w:val="0"/>
      <w:marTop w:val="0"/>
      <w:marBottom w:val="0"/>
      <w:divBdr>
        <w:top w:val="none" w:sz="0" w:space="0" w:color="auto"/>
        <w:left w:val="none" w:sz="0" w:space="0" w:color="auto"/>
        <w:bottom w:val="none" w:sz="0" w:space="0" w:color="auto"/>
        <w:right w:val="none" w:sz="0" w:space="0" w:color="auto"/>
      </w:divBdr>
    </w:div>
    <w:div w:id="478225996">
      <w:bodyDiv w:val="1"/>
      <w:marLeft w:val="0"/>
      <w:marRight w:val="0"/>
      <w:marTop w:val="0"/>
      <w:marBottom w:val="0"/>
      <w:divBdr>
        <w:top w:val="none" w:sz="0" w:space="0" w:color="auto"/>
        <w:left w:val="none" w:sz="0" w:space="0" w:color="auto"/>
        <w:bottom w:val="none" w:sz="0" w:space="0" w:color="auto"/>
        <w:right w:val="none" w:sz="0" w:space="0" w:color="auto"/>
      </w:divBdr>
    </w:div>
    <w:div w:id="553395021">
      <w:bodyDiv w:val="1"/>
      <w:marLeft w:val="0"/>
      <w:marRight w:val="0"/>
      <w:marTop w:val="0"/>
      <w:marBottom w:val="0"/>
      <w:divBdr>
        <w:top w:val="none" w:sz="0" w:space="0" w:color="auto"/>
        <w:left w:val="none" w:sz="0" w:space="0" w:color="auto"/>
        <w:bottom w:val="none" w:sz="0" w:space="0" w:color="auto"/>
        <w:right w:val="none" w:sz="0" w:space="0" w:color="auto"/>
      </w:divBdr>
    </w:div>
    <w:div w:id="583421635">
      <w:bodyDiv w:val="1"/>
      <w:marLeft w:val="0"/>
      <w:marRight w:val="0"/>
      <w:marTop w:val="0"/>
      <w:marBottom w:val="0"/>
      <w:divBdr>
        <w:top w:val="none" w:sz="0" w:space="0" w:color="auto"/>
        <w:left w:val="none" w:sz="0" w:space="0" w:color="auto"/>
        <w:bottom w:val="none" w:sz="0" w:space="0" w:color="auto"/>
        <w:right w:val="none" w:sz="0" w:space="0" w:color="auto"/>
      </w:divBdr>
    </w:div>
    <w:div w:id="671420741">
      <w:bodyDiv w:val="1"/>
      <w:marLeft w:val="0"/>
      <w:marRight w:val="0"/>
      <w:marTop w:val="0"/>
      <w:marBottom w:val="0"/>
      <w:divBdr>
        <w:top w:val="none" w:sz="0" w:space="0" w:color="auto"/>
        <w:left w:val="none" w:sz="0" w:space="0" w:color="auto"/>
        <w:bottom w:val="none" w:sz="0" w:space="0" w:color="auto"/>
        <w:right w:val="none" w:sz="0" w:space="0" w:color="auto"/>
      </w:divBdr>
    </w:div>
    <w:div w:id="1107892076">
      <w:bodyDiv w:val="1"/>
      <w:marLeft w:val="0"/>
      <w:marRight w:val="0"/>
      <w:marTop w:val="0"/>
      <w:marBottom w:val="0"/>
      <w:divBdr>
        <w:top w:val="none" w:sz="0" w:space="0" w:color="auto"/>
        <w:left w:val="none" w:sz="0" w:space="0" w:color="auto"/>
        <w:bottom w:val="none" w:sz="0" w:space="0" w:color="auto"/>
        <w:right w:val="none" w:sz="0" w:space="0" w:color="auto"/>
      </w:divBdr>
    </w:div>
    <w:div w:id="1114058014">
      <w:bodyDiv w:val="1"/>
      <w:marLeft w:val="0"/>
      <w:marRight w:val="0"/>
      <w:marTop w:val="0"/>
      <w:marBottom w:val="0"/>
      <w:divBdr>
        <w:top w:val="none" w:sz="0" w:space="0" w:color="auto"/>
        <w:left w:val="none" w:sz="0" w:space="0" w:color="auto"/>
        <w:bottom w:val="none" w:sz="0" w:space="0" w:color="auto"/>
        <w:right w:val="none" w:sz="0" w:space="0" w:color="auto"/>
      </w:divBdr>
    </w:div>
    <w:div w:id="1142503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2163</Words>
  <Characters>12335</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Orbán Szabolcs Dr.</dc:creator>
  <dc:description/>
  <cp:lastModifiedBy>L. B.</cp:lastModifiedBy>
  <cp:revision>3</cp:revision>
  <dcterms:created xsi:type="dcterms:W3CDTF">2024-06-27T11:42:00Z</dcterms:created>
  <dcterms:modified xsi:type="dcterms:W3CDTF">2024-07-09T15:38:00Z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