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4919" w14:textId="77777777" w:rsidR="00BB5F5A" w:rsidRDefault="00AE4E21">
      <w:pPr>
        <w:spacing w:after="324" w:line="259" w:lineRule="auto"/>
        <w:ind w:left="0" w:right="1" w:firstLine="0"/>
        <w:jc w:val="center"/>
      </w:pPr>
      <w:r>
        <w:rPr>
          <w:rFonts w:ascii="Calibri" w:hAnsi="Calibri"/>
          <w:color w:val="0093D1"/>
          <w:sz w:val="43"/>
        </w:rPr>
        <w:t xml:space="preserve">Rendeletek, felhatalmazáson alapuló rendeletek, körlevelek </w:t>
      </w:r>
    </w:p>
    <w:p w14:paraId="4AC62185" w14:textId="77777777" w:rsidR="00BB5F5A" w:rsidRDefault="00AE4E21">
      <w:pPr>
        <w:spacing w:after="420" w:line="259" w:lineRule="auto"/>
        <w:ind w:left="0" w:right="1" w:firstLine="0"/>
        <w:jc w:val="center"/>
      </w:pPr>
      <w:r>
        <w:rPr>
          <w:rFonts w:ascii="Calibri" w:hAnsi="Calibri"/>
          <w:color w:val="393C96"/>
          <w:sz w:val="28"/>
        </w:rPr>
        <w:t xml:space="preserve">ÁLTALÁNOS SZÖVEGEK </w:t>
      </w:r>
    </w:p>
    <w:p w14:paraId="2E00BDAA" w14:textId="77777777" w:rsidR="00BB5F5A" w:rsidRDefault="00AE4E21">
      <w:pPr>
        <w:pStyle w:val="Heading1"/>
        <w:spacing w:after="273"/>
        <w:ind w:right="0"/>
        <w:jc w:val="center"/>
      </w:pPr>
      <w:r>
        <w:rPr>
          <w:rFonts w:ascii="Calibri" w:hAnsi="Calibri"/>
          <w:b/>
          <w:color w:val="393C96"/>
          <w:sz w:val="20"/>
        </w:rPr>
        <w:t xml:space="preserve">GAZDASÁGI, PÉNZÜGYI ÉS IPARI MINISZTÉRIUM </w:t>
      </w:r>
    </w:p>
    <w:p w14:paraId="6D78EE22" w14:textId="77777777" w:rsidR="00BB5F5A" w:rsidRDefault="00AE4E21">
      <w:pPr>
        <w:spacing w:after="130" w:line="216" w:lineRule="auto"/>
        <w:ind w:right="1" w:hanging="215"/>
      </w:pPr>
      <w:r>
        <w:rPr>
          <w:rFonts w:ascii="Calibri" w:hAnsi="Calibri"/>
          <w:b/>
          <w:color w:val="5C5D61"/>
        </w:rPr>
        <w:t xml:space="preserve">A 2024. november 6-i 2024-978. sz. rendelet a 2023. június 9-i 2023-451. sz. törvény módosításáról, amelynek célja a kereskedelmi befolyás szabályozása és a véleményvezérek által a közösségi hálózatokon elkövetett visszaélések elleni küzdelem </w:t>
      </w:r>
    </w:p>
    <w:p w14:paraId="53548437" w14:textId="77777777" w:rsidR="00BB5F5A" w:rsidRDefault="00AE4E21">
      <w:pPr>
        <w:spacing w:after="317" w:line="259" w:lineRule="auto"/>
        <w:ind w:left="0" w:right="1" w:firstLine="0"/>
        <w:jc w:val="center"/>
      </w:pPr>
      <w:r>
        <w:rPr>
          <w:rFonts w:ascii="Calibri" w:hAnsi="Calibri"/>
          <w:color w:val="2053A6"/>
          <w:sz w:val="16"/>
        </w:rPr>
        <w:t xml:space="preserve">NOR: </w:t>
      </w:r>
      <w:r>
        <w:rPr>
          <w:rFonts w:ascii="Calibri" w:hAnsi="Calibri"/>
          <w:i/>
          <w:sz w:val="16"/>
        </w:rPr>
        <w:t>ECOI241</w:t>
      </w:r>
      <w:r>
        <w:rPr>
          <w:rFonts w:ascii="Calibri" w:hAnsi="Calibri"/>
          <w:i/>
          <w:sz w:val="16"/>
        </w:rPr>
        <w:t xml:space="preserve">8969R </w:t>
      </w:r>
    </w:p>
    <w:p w14:paraId="6C61012D" w14:textId="77777777" w:rsidR="00BB5F5A" w:rsidRDefault="00AE4E21">
      <w:pPr>
        <w:ind w:firstLine="0"/>
      </w:pPr>
      <w:r>
        <w:t xml:space="preserve">A köztársasági elnök, </w:t>
      </w:r>
    </w:p>
    <w:p w14:paraId="60771B53" w14:textId="77777777" w:rsidR="00BB5F5A" w:rsidRDefault="00AE4E21">
      <w:pPr>
        <w:spacing w:after="88"/>
        <w:ind w:firstLine="0"/>
      </w:pPr>
      <w:r>
        <w:t xml:space="preserve">A miniszterelnök és a gazdasági, pénzügyi és ipari miniszter jelentése alapján </w:t>
      </w:r>
    </w:p>
    <w:p w14:paraId="54602248" w14:textId="77777777" w:rsidR="00BB5F5A" w:rsidRDefault="00AE4E21">
      <w:pPr>
        <w:spacing w:after="30"/>
        <w:ind w:firstLine="0"/>
      </w:pPr>
      <w:r>
        <w:t xml:space="preserve">tekintettel az Alkotmányra és különösen annak 38. cikkére, </w:t>
      </w:r>
    </w:p>
    <w:p w14:paraId="071009EA" w14:textId="77777777" w:rsidR="00BB5F5A" w:rsidRDefault="00AE4E21">
      <w:pPr>
        <w:spacing w:after="24"/>
        <w:ind w:left="-15"/>
      </w:pPr>
      <w:r>
        <w:t>tekintettel az Európai Parlament és a Tanács 2000. június 8-i 2000/31/EK irányelvére a</w:t>
      </w:r>
      <w:r>
        <w:t xml:space="preserve">z információs társadalommal összefüggő szolgáltatások, különösen az elektronikus kereskedelem egyes jogi vonatkozásairól a belső piacon („elektronikus kereskedelemről szóló irányelv”), </w:t>
      </w:r>
    </w:p>
    <w:p w14:paraId="0D58FCC0" w14:textId="77777777" w:rsidR="00BB5F5A" w:rsidRDefault="00AE4E21">
      <w:pPr>
        <w:spacing w:after="24"/>
        <w:ind w:left="-15"/>
      </w:pPr>
      <w:r>
        <w:t>tekintettel a belső piacon az üzleti vállalkozások fogyasztókkal szemb</w:t>
      </w:r>
      <w:r>
        <w:t xml:space="preserve">en folytatott tisztességtelen kereskedelmi gyakorlatairól, valamint a 84/450/EGK tanácsi irányelv, a 97/7/EK, a 98/27/EK és a 2002/65/EK európai parlamenti és tanácsi irányelvek, valamint a 2006/2004/EK európai parlamenti és tanácsi rendelet módosításáról </w:t>
      </w:r>
      <w:r>
        <w:t xml:space="preserve">szóló, 2005. május 11-i 2005/29/EK európai parlamenti és tanácsi irányelvre („Irányelv a tisztességtelen kereskedelmi gyakorlatokról”), </w:t>
      </w:r>
    </w:p>
    <w:p w14:paraId="29E501B5" w14:textId="77777777" w:rsidR="00BB5F5A" w:rsidRDefault="00AE4E21">
      <w:pPr>
        <w:spacing w:after="23"/>
        <w:ind w:left="-15"/>
      </w:pPr>
      <w:r>
        <w:t>tekintettel a tagállamok audiovizuális médiaszolgáltatások nyújtására vonatkozó egyes törvényi, rendeleti vagy közigazg</w:t>
      </w:r>
      <w:r>
        <w:t xml:space="preserve">atási rendelkezéseinek összehangolásáról szóló, 2010. március 10-i 2010/13/EU európai parlamenti és tanácsi irányelvre („audiovizuális médiaszolgáltatásokról szóló irányelv”), </w:t>
      </w:r>
    </w:p>
    <w:p w14:paraId="517F39D2" w14:textId="77777777" w:rsidR="00BB5F5A" w:rsidRDefault="00AE4E21">
      <w:pPr>
        <w:ind w:left="-15"/>
      </w:pPr>
      <w:r>
        <w:t>tekintettel a műszaki szabályokkal és az információs társadalom szolgáltatásair</w:t>
      </w:r>
      <w:r>
        <w:t xml:space="preserve">a vonatkozó szabályokkal kapcsolatos információszolgáltatási eljárás megállapításáról szóló, 2015. szeptember 9-i (EU) 2015/1535 európai parlamenti és tanácsi irányelvre, </w:t>
      </w:r>
    </w:p>
    <w:p w14:paraId="18DA088E" w14:textId="77777777" w:rsidR="00BB5F5A" w:rsidRDefault="00AE4E21">
      <w:pPr>
        <w:spacing w:after="30"/>
        <w:ind w:firstLine="0"/>
      </w:pPr>
      <w:r>
        <w:t>tekintettel a közigazgatási bíráskodásról szóló törvénykönyvre és különösen annak R.</w:t>
      </w:r>
      <w:r>
        <w:t xml:space="preserve"> 123-20. cikkére, </w:t>
      </w:r>
    </w:p>
    <w:p w14:paraId="7F86EC33" w14:textId="77777777" w:rsidR="00BB5F5A" w:rsidRDefault="00AE4E21">
      <w:pPr>
        <w:spacing w:after="25"/>
        <w:ind w:left="-15"/>
      </w:pPr>
      <w:r>
        <w:t xml:space="preserve">tekintettel a 2023. június 9-i 2023-451. sz. törvényre, amelynek célja a kereskedelmi befolyás szabályozása és a véleményvezérek által a közösségi hálózatokon elkövetett visszaélések elleni küzdelem, </w:t>
      </w:r>
    </w:p>
    <w:p w14:paraId="76205EB4" w14:textId="77777777" w:rsidR="00BB5F5A" w:rsidRDefault="00AE4E21">
      <w:pPr>
        <w:ind w:left="-15"/>
      </w:pPr>
      <w:r>
        <w:t>tekintettel a gazdasággal, a pénzügyekkel, az ökológiai</w:t>
      </w:r>
      <w:r>
        <w:t xml:space="preserve"> átállással, a büntetőjoggal, a szociális joggal és a mezőgazdasági kérdésekkel kapcsolatos kérdéseket az uniós joghoz igazító különböző rendelkezésekről szóló, 2024. április 22-i 2024-364. sz. törvényre, különösen annak 3. cikkére, </w:t>
      </w:r>
    </w:p>
    <w:p w14:paraId="52DE1B19" w14:textId="77777777" w:rsidR="00BB5F5A" w:rsidRDefault="00AE4E21">
      <w:pPr>
        <w:ind w:firstLine="0"/>
      </w:pPr>
      <w:r>
        <w:t>tekintettel az Európai</w:t>
      </w:r>
      <w:r>
        <w:t xml:space="preserve"> Bizottságnak 2024. november 3-án megküldött 2023/0379/FR számú értesítésre, </w:t>
      </w:r>
    </w:p>
    <w:p w14:paraId="2DC263BA" w14:textId="77777777" w:rsidR="00BB5F5A" w:rsidRDefault="00AE4E21">
      <w:pPr>
        <w:spacing w:after="214"/>
        <w:ind w:right="5040" w:firstLine="0"/>
      </w:pPr>
      <w:r>
        <w:t>az Államtanács (Pénzügyi Szakosztály) meghallgatását követően,</w:t>
      </w:r>
      <w:r>
        <w:br/>
        <w:t xml:space="preserve">a Miniszterek Tanácsának meghallgatását követően, </w:t>
      </w:r>
    </w:p>
    <w:p w14:paraId="1578A1A7" w14:textId="77777777" w:rsidR="00BB5F5A" w:rsidRDefault="00AE4E21">
      <w:pPr>
        <w:spacing w:after="146"/>
        <w:ind w:left="1077" w:firstLine="0"/>
      </w:pPr>
      <w:r>
        <w:t xml:space="preserve">elrendeli a következőket: </w:t>
      </w:r>
    </w:p>
    <w:p w14:paraId="4FDE374B" w14:textId="77777777" w:rsidR="00BB5F5A" w:rsidRDefault="00AE4E21">
      <w:pPr>
        <w:spacing w:after="105" w:line="259" w:lineRule="auto"/>
        <w:ind w:left="10" w:right="1" w:hanging="10"/>
        <w:jc w:val="center"/>
      </w:pPr>
      <w:r>
        <w:rPr>
          <w:rFonts w:ascii="Calibri" w:hAnsi="Calibri"/>
          <w:b/>
        </w:rPr>
        <w:t>1. cikk</w:t>
      </w:r>
      <w:r>
        <w:rPr>
          <w:rFonts w:ascii="Calibri" w:hAnsi="Calibri"/>
          <w:b/>
          <w:sz w:val="17"/>
          <w:vertAlign w:val="superscript"/>
        </w:rPr>
        <w:t xml:space="preserve"> </w:t>
      </w:r>
    </w:p>
    <w:p w14:paraId="1AFC17DB" w14:textId="77777777" w:rsidR="00BB5F5A" w:rsidRDefault="00AE4E21">
      <w:pPr>
        <w:spacing w:after="119"/>
        <w:ind w:left="-15"/>
      </w:pPr>
      <w:r>
        <w:t>A kereskedelmi befolyás szab</w:t>
      </w:r>
      <w:r>
        <w:t xml:space="preserve">ályozására és a véleményvezérek által a közösségi hálózatokon elkövetett visszaélések elleni küzdelemre irányuló, 2023. június 9-i 2023-451. sz. törvény a következőképpen módosul: </w:t>
      </w:r>
    </w:p>
    <w:p w14:paraId="542BFDB4" w14:textId="77777777" w:rsidR="00BB5F5A" w:rsidRDefault="00AE4E21">
      <w:pPr>
        <w:numPr>
          <w:ilvl w:val="0"/>
          <w:numId w:val="1"/>
        </w:numPr>
        <w:spacing w:after="85"/>
        <w:ind w:hanging="305"/>
      </w:pPr>
      <w:r>
        <w:t xml:space="preserve">– Az 1. cikk helyébe a következő rendelkezések lépnek: </w:t>
      </w:r>
    </w:p>
    <w:p w14:paraId="36B0D7BB" w14:textId="77777777" w:rsidR="00BB5F5A" w:rsidRDefault="00AE4E21">
      <w:pPr>
        <w:spacing w:after="135"/>
        <w:ind w:left="-15"/>
      </w:pPr>
      <w:r>
        <w:t xml:space="preserve">„ </w:t>
      </w:r>
      <w:r>
        <w:rPr>
          <w:i/>
        </w:rPr>
        <w:t xml:space="preserve">„1. cikk – – </w:t>
      </w:r>
      <w:r>
        <w:t>Azok</w:t>
      </w:r>
      <w:r>
        <w:t xml:space="preserve"> a természetes vagy jogi személyek, akik vagy amelyek ellenszolgáltatás fejében a közönségük körében szerzett hírnevüket arra használják fel, hogy elektronikus eszközökön keresztül tartalmakat közvetítsenek a nyilvánosság felé azzal a céllal, hogy közvetle</w:t>
      </w:r>
      <w:r>
        <w:t xml:space="preserve">nül vagy közvetve árukat, szolgáltatásokat vagy bármilyen ügyet népszerűsítsenek, elektronikus úton kereskedelmi befolyásolásnak minősülő tevékenységet folytatnak.” </w:t>
      </w:r>
    </w:p>
    <w:p w14:paraId="3950E5A5" w14:textId="77777777" w:rsidR="00BB5F5A" w:rsidRDefault="00AE4E21">
      <w:pPr>
        <w:numPr>
          <w:ilvl w:val="0"/>
          <w:numId w:val="1"/>
        </w:numPr>
        <w:spacing w:after="79"/>
        <w:ind w:hanging="305"/>
      </w:pPr>
      <w:r>
        <w:t xml:space="preserve">– A 4. cikk helyébe a következő rendelkezések lépnek: </w:t>
      </w:r>
    </w:p>
    <w:p w14:paraId="6F86B412" w14:textId="77777777" w:rsidR="00BB5F5A" w:rsidRDefault="00AE4E21">
      <w:pPr>
        <w:ind w:left="-15"/>
      </w:pPr>
      <w:r>
        <w:lastRenderedPageBreak/>
        <w:t xml:space="preserve">„ </w:t>
      </w:r>
      <w:r>
        <w:rPr>
          <w:i/>
        </w:rPr>
        <w:t xml:space="preserve">4. cikk – </w:t>
      </w:r>
      <w:r>
        <w:t>I. –  Az elektronikus ú</w:t>
      </w:r>
      <w:r>
        <w:t>ton kereskedelmi befolyásolásnak minősülő tevékenységet folytató személyek számára tilos az olyan, a közegészségügyi törvénykönyv L. 1151-2. cikkében említett esztétikai célú cselekmények, eljárások, technikák és módszerek közvetlen vagy közvetett promóció</w:t>
      </w:r>
      <w:r>
        <w:t xml:space="preserve">ja, amelyek veszélyt jelenthetnek az emberek egészségére, valamint az ugyanezen törvénykönyv L. 6322-1. cikkében említett beavatkozások promóciója. </w:t>
      </w:r>
    </w:p>
    <w:p w14:paraId="1DB6FB2C" w14:textId="77777777" w:rsidR="00BB5F5A" w:rsidRDefault="00AE4E21">
      <w:pPr>
        <w:ind w:left="-15"/>
      </w:pPr>
      <w:r>
        <w:t xml:space="preserve">II. –  Az elektronikus úton kereskedelmi befolyásolásnak minősülő tevékenységet folytató személyek számára </w:t>
      </w:r>
      <w:r>
        <w:t>tilos a terápiás cselekményekkel, protokollokkal vagy receptekkel összehasonlíthatónak, azoknál előnyösebbnek vagy azok helyettesítésére alkalmasnak beállított, nem terápiás termékek, cselekmények, eljárások, technikák és módszerek közvetlen vagy közvetett</w:t>
      </w:r>
      <w:r>
        <w:t xml:space="preserve"> promóciója. </w:t>
      </w:r>
    </w:p>
    <w:p w14:paraId="0FCE785E" w14:textId="77777777" w:rsidR="00BB5F5A" w:rsidRDefault="00AE4E21">
      <w:pPr>
        <w:ind w:left="-15"/>
      </w:pPr>
      <w:r>
        <w:t xml:space="preserve">III. –  Az elektronikus úton kereskedelmi befolyásolásnak minősülő tevékenységet folytató személyek számára tilos az elfogyasztható és akár csak részben nikotinból készült termékek közvetlen vagy közvetett promóciója. </w:t>
      </w:r>
    </w:p>
    <w:p w14:paraId="7EEC5628" w14:textId="77777777" w:rsidR="00BB5F5A" w:rsidRDefault="00AE4E21">
      <w:pPr>
        <w:spacing w:after="130"/>
        <w:ind w:left="-15"/>
      </w:pPr>
      <w:r>
        <w:t xml:space="preserve">IV. –  Az elektronikus </w:t>
      </w:r>
      <w:r>
        <w:t>úton kereskedelmi befolyásolásnak minősülő tevékenységet folytató személyek számára tilos a környezetvédelmi törvénykönyv L. 413-1A. cikkének I. részében említett listán nem szereplő állatokat érintő bármilyen közvetlen vagy közvetett promóció. Ez a tilalo</w:t>
      </w:r>
      <w:r>
        <w:t xml:space="preserve">m nem vonatkozik az említett törvénykönyv L. 413-3. cikkével összhangban az említett állatok tartására engedéllyel rendelkező létesítményekre. </w:t>
      </w:r>
    </w:p>
    <w:p w14:paraId="4BB23C95" w14:textId="77777777" w:rsidR="00BB5F5A" w:rsidRDefault="00AE4E21">
      <w:pPr>
        <w:spacing w:after="77"/>
        <w:ind w:left="-15"/>
      </w:pPr>
      <w:r>
        <w:t xml:space="preserve">V. –  Az elektronikus úton kereskedelmi befolyásolásnak minősülő tevékenységet folytató személyek számára tilos </w:t>
      </w:r>
      <w:r>
        <w:t xml:space="preserve">a következő pénzügyi termékek és szolgáltatások közvetlen vagy közvetett promóciója: </w:t>
      </w:r>
    </w:p>
    <w:p w14:paraId="0FCB0A4E" w14:textId="77777777" w:rsidR="00BB5F5A" w:rsidRDefault="00AE4E21">
      <w:pPr>
        <w:ind w:firstLine="0"/>
      </w:pPr>
      <w:r>
        <w:t xml:space="preserve">„1. a monetáris és pénzügyi törvénykönyv L. 533-12-7. cikkében meghatározott pénzügyi szerződések, </w:t>
      </w:r>
    </w:p>
    <w:p w14:paraId="7B571492" w14:textId="77777777" w:rsidR="00BB5F5A" w:rsidRDefault="00AE4E21">
      <w:pPr>
        <w:spacing w:after="34"/>
        <w:ind w:left="-15"/>
      </w:pPr>
      <w:r>
        <w:t xml:space="preserve">„2. az e törvénykönyv L. 54-10-2. cikke szerinti digitális eszközökön történő szolgáltatásnyújtás, kivéve azokat, amelyek nyújtására a hirdetőt az említett </w:t>
      </w:r>
      <w:r>
        <w:t xml:space="preserve">törvénykönyv L. 54-10-3. cikkében előírt feltételek szerint nyilvántartásba vették, vagy amelyeket a jelen törvénykönyv L. 54-10-5. cikkében meghatározott feltételek szerint engedélyeztek, </w:t>
      </w:r>
    </w:p>
    <w:p w14:paraId="56BD14C2" w14:textId="77777777" w:rsidR="00BB5F5A" w:rsidRDefault="00AE4E21">
      <w:pPr>
        <w:spacing w:after="31"/>
        <w:ind w:left="-15"/>
      </w:pPr>
      <w:r>
        <w:t xml:space="preserve">„3. az ugyanezen törvénykönyv L. 552-3. cikke szerinti tokenek nyilvános felajánlása, kivéve, ha a hirdető megszerezte a jelen törvénykönyv L. 552-4. cikkében előírt jóváhagyást, </w:t>
      </w:r>
    </w:p>
    <w:p w14:paraId="2ED229B9" w14:textId="77777777" w:rsidR="00BB5F5A" w:rsidRDefault="00AE4E21">
      <w:pPr>
        <w:ind w:left="-15"/>
      </w:pPr>
      <w:r>
        <w:t>„4. digitális eszközök, kivéve azokat, amelyek olyan szolgáltatásokhoz kapcs</w:t>
      </w:r>
      <w:r>
        <w:t>olódnak, amelyek nyújtására a hirdetőt a jelen törvénykönyv L. 54-10-3. cikkében előírt feltételek szerint nyilvántartásba vették, vagy amelyeket a jelen törvénykönyv L. 54-10-5. cikkében meghatározott feltételek szerint engedélyeztek, nevezetesen, ha a hi</w:t>
      </w:r>
      <w:r>
        <w:t xml:space="preserve">rdető nem tartozik az ugyanezen törvénykönyv L. 54-10-3. és L. 54-10-5. cikkének hatálya alá. </w:t>
      </w:r>
    </w:p>
    <w:p w14:paraId="4F97707A" w14:textId="77777777" w:rsidR="00BB5F5A" w:rsidRDefault="00AE4E21">
      <w:pPr>
        <w:ind w:left="-15"/>
      </w:pPr>
      <w:r>
        <w:t>„ Az ezen V. rész rendelkezéseinek be nem tartása a francia fogyasztóvédelmi törvénykönyv L. 222-16-1. cikkének ötödik albekezdésében és L. 222-16-2. cikkének ut</w:t>
      </w:r>
      <w:r>
        <w:t xml:space="preserve">olsó előtti albekezdésében meghatározott szankciókat vonja maga után. </w:t>
      </w:r>
    </w:p>
    <w:p w14:paraId="7FC2E317" w14:textId="77777777" w:rsidR="00BB5F5A" w:rsidRDefault="00AE4E21">
      <w:pPr>
        <w:ind w:left="-15"/>
      </w:pPr>
      <w:r>
        <w:t>„ VI. – Az elektronikus úton kereskedelmi befolyásolásnak minősülő tevékenységet folytató személyek számára tilos a sporttippek vagy fogadások jegyzésének közvetlen vagy közvetett promó</w:t>
      </w:r>
      <w:r>
        <w:t xml:space="preserve">ciója. </w:t>
      </w:r>
    </w:p>
    <w:p w14:paraId="728EE356" w14:textId="77777777" w:rsidR="00BB5F5A" w:rsidRDefault="00AE4E21">
      <w:pPr>
        <w:ind w:left="-15"/>
      </w:pPr>
      <w:r>
        <w:t>VII. –  Az e törvény 1. cikkében említett személyek által a belső biztonsági törvénykönyv L. 320-1. és L. 320-6. cikkében meghatározott szerencsejátékokkal kapcsolatos, elektronikus úton történő kereskedelmi kommunikáció csak olyan online platformo</w:t>
      </w:r>
      <w:r>
        <w:t xml:space="preserve">kon engedélyezett, amelyek technikai lehetőséget kínálnak arra, hogy az ilyen tartalmak közönségéből minden tizennyolc éven aluli felhasználót kizárjanak, és ha e személyek ténylegesen aktiválják ezt a kizárási mechanizmust. </w:t>
      </w:r>
    </w:p>
    <w:p w14:paraId="6EB44F5A" w14:textId="77777777" w:rsidR="00BB5F5A" w:rsidRDefault="00AE4E21">
      <w:pPr>
        <w:ind w:left="-15"/>
      </w:pPr>
      <w:r>
        <w:t>Az ilyen kereskedelmi közlemén</w:t>
      </w:r>
      <w:r>
        <w:t xml:space="preserve">yekhez mellékelni kell egy arra való hivatkozást, hogy az ilyen tartalmak a 18. életévüket be nem töltött személyek számára tiltottak.  Ennek a tájékoztatásnak bármely használt kommunikációs csatornán világosnak, olvashatónak és érthetőnek kell lennie. </w:t>
      </w:r>
    </w:p>
    <w:p w14:paraId="16552C4E" w14:textId="77777777" w:rsidR="00BB5F5A" w:rsidRDefault="00AE4E21">
      <w:pPr>
        <w:ind w:left="-15"/>
      </w:pPr>
      <w:r>
        <w:t>Az</w:t>
      </w:r>
      <w:r>
        <w:t xml:space="preserve"> e VII. részben előírt kizárási mechanizmusoknak meg kell felelniük az Audiovizuális és Digitális Hírközlési Szabályozó Hatóság által a Nemzeti Szerencsejáték-hatósággal és az Informatikai és Szabadságjogi Nemzeti Bizottsággal folytatott konzultációt követ</w:t>
      </w:r>
      <w:r>
        <w:t xml:space="preserve">ően kidolgozott referenciakeretnek.  </w:t>
      </w:r>
    </w:p>
    <w:p w14:paraId="5C916282" w14:textId="77777777" w:rsidR="00BB5F5A" w:rsidRDefault="00AE4E21">
      <w:pPr>
        <w:ind w:left="-15"/>
      </w:pPr>
      <w:r>
        <w:t>A szerencsejáték-szervezőkkel kötött reklámszerződéseknek tartalmazniuk kell egy olyan záradékot, amely szerint az e törvény 1. cikkében meghatározott személyek igazolják, hogy megismerték a szerencsejátékokkal kapcsol</w:t>
      </w:r>
      <w:r>
        <w:t xml:space="preserve">atos kereskedelmi tájékoztatásra vonatkozó törvényeket és rendeleteket, és vállalják, hogy betartják azokat.  </w:t>
      </w:r>
    </w:p>
    <w:p w14:paraId="507CFB94" w14:textId="77777777" w:rsidR="00BB5F5A" w:rsidRDefault="00AE4E21">
      <w:pPr>
        <w:spacing w:after="122"/>
        <w:ind w:left="-15"/>
      </w:pPr>
      <w:r>
        <w:t xml:space="preserve">„Az e VII. rész rendelkezéseinek megsértése a belső biztonságról szóló törvénykönyv L. 324-8-1. cikkében előírt pénzbírsággal büntetendő.  </w:t>
      </w:r>
    </w:p>
    <w:p w14:paraId="65CC3B40" w14:textId="77777777" w:rsidR="00BB5F5A" w:rsidRDefault="00AE4E21">
      <w:pPr>
        <w:spacing w:after="93"/>
        <w:ind w:firstLine="0"/>
      </w:pPr>
      <w:r>
        <w:t>„ VII</w:t>
      </w:r>
      <w:r>
        <w:t xml:space="preserve">I. – A munka törvénykönyve L. 6323-8-1. cikkének 2. pontja után a szöveg a következő albekezdéssel egészül ki: </w:t>
      </w:r>
    </w:p>
    <w:p w14:paraId="6709E1F6" w14:textId="77777777" w:rsidR="00BB5F5A" w:rsidRDefault="00AE4E21">
      <w:pPr>
        <w:ind w:left="-15"/>
      </w:pPr>
      <w:r>
        <w:t xml:space="preserve">„Tilos továbbá bármilyen termék értékesítése vagy a rá vonatkozó promóciós ajánlat, illetve bármilyen kifizetés az ugyanezen L. 6323-6. cikkben </w:t>
      </w:r>
      <w:r>
        <w:t xml:space="preserve">említett cselekményekben való részvételért.” </w:t>
      </w:r>
    </w:p>
    <w:p w14:paraId="012E80CC" w14:textId="77777777" w:rsidR="00BB5F5A" w:rsidRDefault="00AE4E21">
      <w:pPr>
        <w:ind w:left="-15"/>
      </w:pPr>
      <w:r>
        <w:t xml:space="preserve">„ IX. –   Az e cikk I–IV. és VI. részében található rendelkezések megsértése a fogyasztóvédelmi törvénykönyv L. 132-2. cikkében előírt szankcióval büntetendő. </w:t>
      </w:r>
    </w:p>
    <w:p w14:paraId="700FD132" w14:textId="77777777" w:rsidR="00BB5F5A" w:rsidRDefault="00AE4E21">
      <w:pPr>
        <w:spacing w:after="143"/>
        <w:ind w:left="-15"/>
      </w:pPr>
      <w:r>
        <w:lastRenderedPageBreak/>
        <w:t>„ Ezek és a VII. részben meghatározott szabálysért</w:t>
      </w:r>
      <w:r>
        <w:t>ések tekintetében az elkövető a büntető törvénykönyv 131-27. cikkében előírt eljárásnak megfelelően véglegesen vagy ideiglenesen is eltiltható azon szakmai vagy társadalmi tevékenység gyakorlásától, amelynek gyakorlása során a szabálysértést elkövette, ill</w:t>
      </w:r>
      <w:r>
        <w:t xml:space="preserve">etve az e törvény 1. cikkében meghatározott, elektronikus úton folytatott kereskedelmi befolyásolásnak minősülő tevékenységtől. </w:t>
      </w:r>
    </w:p>
    <w:p w14:paraId="29D9691F" w14:textId="77777777" w:rsidR="00BB5F5A" w:rsidRDefault="00AE4E21">
      <w:pPr>
        <w:spacing w:after="81"/>
        <w:ind w:firstLine="0"/>
      </w:pPr>
      <w:r>
        <w:t xml:space="preserve">„ X. – A fogyasztóvédelmi törvénykönyv L. 511-7. cikkének 31. pontja után a következő 32. ponttal egészül ki: </w:t>
      </w:r>
    </w:p>
    <w:p w14:paraId="14A29651" w14:textId="77777777" w:rsidR="00BB5F5A" w:rsidRDefault="00AE4E21">
      <w:pPr>
        <w:spacing w:after="0" w:line="302" w:lineRule="auto"/>
        <w:ind w:left="-15" w:right="-15"/>
        <w:jc w:val="left"/>
      </w:pPr>
      <w:r>
        <w:t>„32. A kereskede</w:t>
      </w:r>
      <w:r>
        <w:t xml:space="preserve">lmi befolyás szabályozására és a véleményvezérek által a közösségi hálózatokon elkövetett visszaélések elleni küzdelemre irányuló, 2023. június 9-i 2023-451. sz. törvény 4. cikkének V. része.” III. –  Az 5. cikk helyébe a következő rendelkezések lépnek: </w:t>
      </w:r>
    </w:p>
    <w:p w14:paraId="3C6D62EA" w14:textId="77777777" w:rsidR="00BB5F5A" w:rsidRDefault="00AE4E21">
      <w:pPr>
        <w:ind w:left="-15"/>
      </w:pPr>
      <w:r>
        <w:t>„</w:t>
      </w:r>
      <w:r>
        <w:t xml:space="preserve"> </w:t>
      </w:r>
      <w:r>
        <w:rPr>
          <w:i/>
        </w:rPr>
        <w:t xml:space="preserve">5. cikk – </w:t>
      </w:r>
      <w:r>
        <w:t xml:space="preserve">I. – Az e törvény 1. cikkében említett személyek által közvetített olyan képeket tartalmazó tartalmak mellett, amelyeken: </w:t>
      </w:r>
    </w:p>
    <w:p w14:paraId="4B787B68" w14:textId="77777777" w:rsidR="00BB5F5A" w:rsidRDefault="00AE4E21">
      <w:pPr>
        <w:spacing w:after="31"/>
        <w:ind w:left="-15"/>
      </w:pPr>
      <w:r>
        <w:t>„1. képfeldolgozási technikával a sziluett finomítására vagy kiemelésére, illetve az arc megjelenésének módosítására szolg</w:t>
      </w:r>
      <w:r>
        <w:t xml:space="preserve">áló változtatásokat végeztek, fel kell tüntetni a következő szöveget: „Retusált képek”, </w:t>
      </w:r>
    </w:p>
    <w:p w14:paraId="68231ACC" w14:textId="77777777" w:rsidR="00BB5F5A" w:rsidRDefault="00AE4E21">
      <w:pPr>
        <w:ind w:left="-15"/>
      </w:pPr>
      <w:r>
        <w:t xml:space="preserve">„2. bármilyen mesterségesintelligencia-eljárással létrehozott arc- vagy sziluettábrázolás szerepel, fel kell tüntetni a következő szöveget: „Virtuális képek”. </w:t>
      </w:r>
    </w:p>
    <w:p w14:paraId="25C7F208" w14:textId="77777777" w:rsidR="00BB5F5A" w:rsidRDefault="00AE4E21">
      <w:pPr>
        <w:ind w:left="-15"/>
      </w:pPr>
      <w:r>
        <w:t xml:space="preserve">„ </w:t>
      </w:r>
      <w:r>
        <w:t>Az ebben az I. részben szereplő kifejezéseknek világosnak, olvashatónak és érthetőnek kell lenniük bármely használt adathordozón. Ezek helyettesíthetők a befolyásolási tevékenység jellemzőihez és az alkalmazott kommunikációs eszköz formátumához igazított e</w:t>
      </w:r>
      <w:r>
        <w:t xml:space="preserve">gyenértékű kifejezéssel. </w:t>
      </w:r>
    </w:p>
    <w:p w14:paraId="029CE24B" w14:textId="77777777" w:rsidR="00BB5F5A" w:rsidRDefault="00AE4E21">
      <w:pPr>
        <w:ind w:left="-15"/>
      </w:pPr>
      <w:r>
        <w:t>„ II. – Ha a promóciót az e törvény 1. cikkében említett személyek végzik és az a munka törvénykönyvének L. 6313-1. cikkében említett, a törvénykönyv L. 6316-1. cikkében szereplő szervezetek egyike által finanszírozott szakképzési</w:t>
      </w:r>
      <w:r>
        <w:t xml:space="preserve"> tevékenységre való regisztrációt jelent, a törvény 5-2. cikkében szereplő hivatkozásnak magában kell foglalnia a kapcsolódó finanszírozási, kötelezettségvállalási és jogosultsági szabályokra, az e képzési programokért felelős szolgáltató(k) azonosítására,</w:t>
      </w:r>
      <w:r>
        <w:t xml:space="preserve"> és az ugyanezen törvénykönyv L. 6323-9. cikkében említett elektronikus szolgáltatáson hivatkozott szolgáltatóra vonatkozó információkat. </w:t>
      </w:r>
    </w:p>
    <w:p w14:paraId="57A2125D" w14:textId="77777777" w:rsidR="00BB5F5A" w:rsidRDefault="00AE4E21">
      <w:pPr>
        <w:ind w:left="-15"/>
      </w:pPr>
      <w:r>
        <w:t xml:space="preserve">„ III. – A jelen cikk I. és II. része rendelkezéseinek megsértése egy év szabadságvesztéssel és 4 500 euró bírsággal </w:t>
      </w:r>
      <w:r>
        <w:t xml:space="preserve">büntetendő. </w:t>
      </w:r>
    </w:p>
    <w:p w14:paraId="7FA75FB0" w14:textId="77777777" w:rsidR="00BB5F5A" w:rsidRDefault="00AE4E21">
      <w:pPr>
        <w:spacing w:after="143"/>
        <w:ind w:firstLine="0"/>
      </w:pPr>
      <w:r>
        <w:t xml:space="preserve">„ IV. – Az e cikk I. és II. részének alkalmazására vonatkozó részletes szabályokat az Államtanács meghallgatását követően elfogadott rendeletben kell megállapítani. </w:t>
      </w:r>
    </w:p>
    <w:p w14:paraId="530ED4FA" w14:textId="77777777" w:rsidR="00BB5F5A" w:rsidRDefault="00AE4E21">
      <w:pPr>
        <w:spacing w:after="92"/>
        <w:ind w:firstLine="0"/>
      </w:pPr>
      <w:r>
        <w:t>IV. – Az 5. cikk után a szöveg a következő két 5-1. és 5-2. cikkel egészül ki</w:t>
      </w:r>
      <w:r>
        <w:t xml:space="preserve">: </w:t>
      </w:r>
    </w:p>
    <w:p w14:paraId="7B0D6657" w14:textId="77777777" w:rsidR="00BB5F5A" w:rsidRDefault="00AE4E21">
      <w:pPr>
        <w:ind w:left="-15"/>
      </w:pPr>
      <w:r>
        <w:t xml:space="preserve">„ </w:t>
      </w:r>
      <w:r>
        <w:rPr>
          <w:i/>
        </w:rPr>
        <w:t xml:space="preserve">5-1. cikk – </w:t>
      </w:r>
      <w:r>
        <w:t>I. – A 4. cikk I–III. pontjának rendelkezései nem alkalmazandók a 2010. március 10-i 2010/13/EU európai parlamenti és tanácsi irányelv értelmében vett olyan médiaszolgáltatókra, amelyek az említett irányelv 2. cikkének (2) bekezdése értelm</w:t>
      </w:r>
      <w:r>
        <w:t xml:space="preserve">ében az Európai Gazdasági Térség egy másik tagállamának hatáskörébe tartoznak. Ezzel szemben az ilyen szolgáltatókra akkor vonatkoznak, ha Franciaország hatáskörébe tartoznak. </w:t>
      </w:r>
    </w:p>
    <w:p w14:paraId="4C1C0A8C" w14:textId="77777777" w:rsidR="00BB5F5A" w:rsidRDefault="00AE4E21">
      <w:pPr>
        <w:ind w:left="-15"/>
      </w:pPr>
      <w:r>
        <w:t>„ Ha azonban az említett irányelv 3. cikkének (2)–(3) bekezdésében vagy 4. cikk</w:t>
      </w:r>
      <w:r>
        <w:t>ének (2)–(5) bekezdésében említett feltételek teljesülnek, és az említett rendelkezésekben megállapított eljárás végén a közigazgatási hatóság meghatározza az érintett személyre vonatkozó rendelkezéseket, a vonatkozó szankciókra is figyelemmel, valamint az</w:t>
      </w:r>
      <w:r>
        <w:t xml:space="preserve"> érintett szolgáltatást. </w:t>
      </w:r>
    </w:p>
    <w:p w14:paraId="6ACD68E9" w14:textId="77777777" w:rsidR="00BB5F5A" w:rsidRDefault="00AE4E21">
      <w:pPr>
        <w:ind w:left="-15"/>
      </w:pPr>
      <w:r>
        <w:t>„ II. – Figyelemmel az I. pontban foglaltakra, a 4. cikk I–III. pontjában foglalt rendelkezéseknek a médiaszolgáltatókra való alkalmazása tekintetében a 4. és 5. cikk rendelkezései nem alkalmazandók az Európai Gazdasági Térség más</w:t>
      </w:r>
      <w:r>
        <w:t xml:space="preserve"> részes államában letelepedett személyekre. </w:t>
      </w:r>
    </w:p>
    <w:p w14:paraId="653E9A7E" w14:textId="77777777" w:rsidR="00BB5F5A" w:rsidRDefault="00AE4E21">
      <w:pPr>
        <w:ind w:left="-15"/>
      </w:pPr>
      <w:r>
        <w:t>„ Ha azonban a 2000. június 8-i 2000/31/EK európai parlamenti és tanácsi irányelv 3. cikkének (4)–(5) bekezdésében említett feltételek teljesülnek, és az említett rendelkezésekben megállapított eljárás végén a k</w:t>
      </w:r>
      <w:r>
        <w:t xml:space="preserve">özigazgatási hatóság meghatározza az érintett személyre alkalmazandó rendelkezéseket, a vonatkozó szankciókra is figyelemmel, valamint az érintett szolgáltatást. </w:t>
      </w:r>
    </w:p>
    <w:p w14:paraId="2DB9CAB0" w14:textId="77777777" w:rsidR="00BB5F5A" w:rsidRDefault="00AE4E21">
      <w:pPr>
        <w:spacing w:after="92"/>
        <w:ind w:firstLine="0"/>
      </w:pPr>
      <w:r>
        <w:t xml:space="preserve">„ III. – E cikk végrehajtási eljárásait az Államtanács rendeletben határozza meg. </w:t>
      </w:r>
    </w:p>
    <w:p w14:paraId="4BA17F87" w14:textId="77777777" w:rsidR="00BB5F5A" w:rsidRDefault="00AE4E21">
      <w:pPr>
        <w:ind w:left="-15"/>
      </w:pPr>
      <w:r>
        <w:t xml:space="preserve">„ </w:t>
      </w:r>
      <w:r>
        <w:rPr>
          <w:i/>
        </w:rPr>
        <w:t>5-2. cik</w:t>
      </w:r>
      <w:r>
        <w:rPr>
          <w:i/>
        </w:rPr>
        <w:t xml:space="preserve">k – </w:t>
      </w:r>
      <w:r>
        <w:t>A fogyasztóvédelmi törvény L. 121-3. cikke értelmében és a cikkben meghatározott feltételek alapján megtévesztő kereskedelmi gyakorlatnak minősül, ha az e törvény 1. cikke szerinti befolyásoló tevékenységet folytató természetes vagy jogi személy nem je</w:t>
      </w:r>
      <w:r>
        <w:t xml:space="preserve">lzi világosan, olvashatóan és érthetően bármely használt kommunikációs csatornán kereskedelmi szándékát, amennyiben ez a szándék a kontextusból nem derül ki. </w:t>
      </w:r>
    </w:p>
    <w:p w14:paraId="0DA643B9" w14:textId="77777777" w:rsidR="00BB5F5A" w:rsidRDefault="00AE4E21">
      <w:pPr>
        <w:spacing w:after="149"/>
        <w:ind w:left="-15"/>
      </w:pPr>
      <w:r>
        <w:t>„ A kereskedelmi szándék kifejezetten jelezhető a »reklám« vagy a »kereskedelmi együttműködés« ki</w:t>
      </w:r>
      <w:r>
        <w:t xml:space="preserve">fejezés használatával, vagy a befolyásoló tevékenység jellemzőihez és az alkalmazott kommunikációs csatornához igazított, ezekkel egyenértékű kifejezéssel.” </w:t>
      </w:r>
    </w:p>
    <w:p w14:paraId="3E80D657" w14:textId="77777777" w:rsidR="00BB5F5A" w:rsidRDefault="00AE4E21">
      <w:pPr>
        <w:spacing w:after="86"/>
        <w:ind w:firstLine="0"/>
      </w:pPr>
      <w:r>
        <w:t xml:space="preserve">V. – A 9. cikk helyébe a következő rendelkezések lépnek: </w:t>
      </w:r>
    </w:p>
    <w:p w14:paraId="6FABA20B" w14:textId="77777777" w:rsidR="00BB5F5A" w:rsidRDefault="00AE4E21">
      <w:pPr>
        <w:ind w:left="-15"/>
      </w:pPr>
      <w:r>
        <w:lastRenderedPageBreak/>
        <w:t xml:space="preserve">„ </w:t>
      </w:r>
      <w:r>
        <w:rPr>
          <w:i/>
        </w:rPr>
        <w:t xml:space="preserve">9. cikk – </w:t>
      </w:r>
      <w:r>
        <w:t>I. – Az 1. cikkben meghatáro</w:t>
      </w:r>
      <w:r>
        <w:t>zott tevékenység folytatása esetén, és amennyiben nem az Európai Unió valamely tagállamának, a Svájci Államszövetségnek vagy az Európai Gazdasági Térségnek a területén rendelkeznek székhellyel, valamint célközönségük Franciaországban van, a kereskedelmi tö</w:t>
      </w:r>
      <w:r>
        <w:t xml:space="preserve">rvénykönyv L. 526-6–L. 526-21. vagy L. 526-22 – L. 526-26. cikkében meghatározott jogállás alapján önálló tevékenységet folytató jogi vagy természetes személyeknek írásban ki kell jelölniük egy jogi vagy természetes személyt, aki az Európai Unió területén </w:t>
      </w:r>
      <w:r>
        <w:t xml:space="preserve">biztosítja a képviseletüket. </w:t>
      </w:r>
    </w:p>
    <w:p w14:paraId="2674630E" w14:textId="77777777" w:rsidR="00BB5F5A" w:rsidRDefault="00AE4E21">
      <w:pPr>
        <w:ind w:left="-15"/>
      </w:pPr>
      <w:r>
        <w:t>„ Ez a képviselet az olyan szerződések megfelelőségét hivatott biztosítani, amelyek tárgya vagy hatása olyan elektronikus úton folytatott kereskedelmi befolyásolásnak minősülő tevékenység, amely különösen francia területen élő</w:t>
      </w:r>
      <w:r>
        <w:t xml:space="preserve"> célközönségre irányul. A kijelölt képviselet felelős továbbá azért, hogy az ezen I. részben említett személyek mellett vagy helyett eleget tegyen az illetékes közigazgatási vagy igazságügyi hatóságok e törvény betartására vonatkozó valamennyi megkeresésén</w:t>
      </w:r>
      <w:r>
        <w:t xml:space="preserve">ek. </w:t>
      </w:r>
    </w:p>
    <w:p w14:paraId="5A08C8A8" w14:textId="77777777" w:rsidR="00BB5F5A" w:rsidRDefault="00AE4E21">
      <w:pPr>
        <w:ind w:left="-15"/>
      </w:pPr>
      <w:r>
        <w:t xml:space="preserve">„ Az első albekezdésben említett személyeknek az e törvénynek való megfelelés érdekében biztosítaniuk kell az így kijelölt személy számára az illetékes hatóságokkal való hatékony együttműködés biztosításához szükséges hatásköröket és forrásokat. </w:t>
      </w:r>
    </w:p>
    <w:p w14:paraId="1E06B431" w14:textId="77777777" w:rsidR="00BB5F5A" w:rsidRDefault="00AE4E21">
      <w:pPr>
        <w:ind w:left="-15"/>
      </w:pPr>
      <w:r>
        <w:t>„ Az</w:t>
      </w:r>
      <w:r>
        <w:t xml:space="preserve"> első albekezdésben említett személyeknek kérés esetén az illetékes közigazgatási hatóságok rendelkezésére kell bocsátaniuk az első albekezdés alapján kijelölt személy nevét, postai címét, e-mail-címét és telefonszámát. </w:t>
      </w:r>
    </w:p>
    <w:p w14:paraId="023B8981" w14:textId="77777777" w:rsidR="00BB5F5A" w:rsidRDefault="00AE4E21">
      <w:pPr>
        <w:ind w:firstLine="0"/>
      </w:pPr>
      <w:r>
        <w:t xml:space="preserve">Ez a kijelölés nem minősül európai </w:t>
      </w:r>
      <w:r>
        <w:t xml:space="preserve">uniós székhely létesítésének.  </w:t>
      </w:r>
    </w:p>
    <w:p w14:paraId="4116DB33" w14:textId="77777777" w:rsidR="00BB5F5A" w:rsidRDefault="00AE4E21">
      <w:pPr>
        <w:ind w:left="-15"/>
      </w:pPr>
      <w:r>
        <w:t>„ Az 1. cikkben meghatározott tevékenységet folytató, az Európai Unión, a Svájci Államszövetségen vagy az Európai Gazdasági Térségen kívül letelepedett személy köteles az Európai Unióban letelepedett biztosítónál polgári jog</w:t>
      </w:r>
      <w:r>
        <w:t>i biztosítást kötni, amely garantálja a szakmai kártérítés pénzügyi következményeit, amennyiben ez a tevékenység - akár véletlenül is - a francia területen letelepedett közönségre irányul. III. –  E cikk végrehajtási eljárásait az Államtanáccsal folytatott</w:t>
      </w:r>
      <w:r>
        <w:t xml:space="preserve"> konzultációt követően elfogadott rendeletben kell meghatározni.” </w:t>
      </w:r>
    </w:p>
    <w:p w14:paraId="24E41C5B" w14:textId="77777777" w:rsidR="00BB5F5A" w:rsidRDefault="00AE4E21">
      <w:pPr>
        <w:spacing w:after="45" w:line="259" w:lineRule="auto"/>
        <w:ind w:left="10" w:right="1" w:hanging="10"/>
        <w:jc w:val="center"/>
      </w:pPr>
      <w:r>
        <w:rPr>
          <w:rFonts w:ascii="Calibri" w:hAnsi="Calibri"/>
          <w:b/>
        </w:rPr>
        <w:t xml:space="preserve">2. cikk </w:t>
      </w:r>
    </w:p>
    <w:p w14:paraId="5E209DF5" w14:textId="77777777" w:rsidR="00BB5F5A" w:rsidRDefault="00AE4E21">
      <w:pPr>
        <w:spacing w:after="76" w:line="216" w:lineRule="auto"/>
        <w:ind w:left="-15" w:right="-15"/>
        <w:jc w:val="left"/>
      </w:pPr>
      <w:r>
        <w:t xml:space="preserve">A miniszterelnök, valamint a gazdasági, pénzügyi és ipari miniszter saját hatáskörükben felelősek e rendelet alkalmazásáért, amelyet a </w:t>
      </w:r>
      <w:r>
        <w:rPr>
          <w:i/>
        </w:rPr>
        <w:t>Francia Köztársaság Hivatalos Lapjában</w:t>
      </w:r>
      <w:r>
        <w:t xml:space="preserve"> közzé kell tenni. </w:t>
      </w:r>
    </w:p>
    <w:p w14:paraId="2458A41C" w14:textId="77777777" w:rsidR="00BB5F5A" w:rsidRDefault="00AE4E21">
      <w:pPr>
        <w:ind w:firstLine="0"/>
      </w:pPr>
      <w:r>
        <w:t xml:space="preserve">Kelt: 2024. november 6-án. </w:t>
      </w:r>
    </w:p>
    <w:p w14:paraId="779C936B" w14:textId="77777777" w:rsidR="00BB5F5A" w:rsidRDefault="00AE4E21">
      <w:pPr>
        <w:spacing w:after="70" w:line="259" w:lineRule="auto"/>
        <w:ind w:left="10" w:right="416" w:hanging="10"/>
        <w:jc w:val="right"/>
      </w:pPr>
      <w:r>
        <w:t>E</w:t>
      </w:r>
      <w:r>
        <w:rPr>
          <w:sz w:val="15"/>
        </w:rPr>
        <w:t xml:space="preserve">MMANUEL </w:t>
      </w:r>
      <w:r>
        <w:t>M</w:t>
      </w:r>
      <w:r>
        <w:rPr>
          <w:sz w:val="15"/>
        </w:rPr>
        <w:t xml:space="preserve">ACRON </w:t>
      </w:r>
    </w:p>
    <w:p w14:paraId="4CD07A7D" w14:textId="77777777" w:rsidR="00BB5F5A" w:rsidRDefault="00AE4E21">
      <w:pPr>
        <w:spacing w:after="73" w:line="259" w:lineRule="auto"/>
        <w:ind w:left="544" w:firstLine="0"/>
        <w:jc w:val="left"/>
      </w:pPr>
      <w:r>
        <w:rPr>
          <w:sz w:val="18"/>
        </w:rPr>
        <w:t xml:space="preserve">A köztársasági elnök nevében: </w:t>
      </w:r>
    </w:p>
    <w:p w14:paraId="74F7E8BF" w14:textId="77777777" w:rsidR="00BB5F5A" w:rsidRDefault="00AE4E21">
      <w:pPr>
        <w:spacing w:after="8" w:line="259" w:lineRule="auto"/>
        <w:ind w:left="0" w:firstLine="0"/>
        <w:jc w:val="left"/>
      </w:pPr>
      <w:r>
        <w:rPr>
          <w:i/>
        </w:rPr>
        <w:t xml:space="preserve">A miniszterelnök, </w:t>
      </w:r>
    </w:p>
    <w:p w14:paraId="65A8D155" w14:textId="77777777" w:rsidR="00BB5F5A" w:rsidRDefault="00AE4E21">
      <w:pPr>
        <w:pStyle w:val="Heading1"/>
        <w:spacing w:after="47"/>
        <w:ind w:left="206" w:right="0"/>
      </w:pPr>
      <w:r>
        <w:rPr>
          <w:sz w:val="22"/>
        </w:rPr>
        <w:t>M</w:t>
      </w:r>
      <w:r>
        <w:t xml:space="preserve">ICHEL </w:t>
      </w:r>
      <w:r>
        <w:rPr>
          <w:sz w:val="22"/>
        </w:rPr>
        <w:t>B</w:t>
      </w:r>
      <w:r>
        <w:t xml:space="preserve">ARNIER </w:t>
      </w:r>
    </w:p>
    <w:p w14:paraId="1873A417" w14:textId="2CF6FE33" w:rsidR="00BB5F5A" w:rsidRDefault="00AE4E21">
      <w:pPr>
        <w:spacing w:after="54" w:line="216" w:lineRule="auto"/>
        <w:ind w:left="7307" w:firstLine="0"/>
        <w:jc w:val="center"/>
      </w:pPr>
      <w:r>
        <w:rPr>
          <w:i/>
        </w:rPr>
        <w:t xml:space="preserve">a gazdasági, pénzügyi és ipari miniszter, </w:t>
      </w:r>
    </w:p>
    <w:p w14:paraId="276AC3A6" w14:textId="23F96FBD" w:rsidR="00BB5F5A" w:rsidRDefault="00AE4E21">
      <w:pPr>
        <w:spacing w:after="70" w:line="259" w:lineRule="auto"/>
        <w:ind w:left="10" w:right="544" w:hanging="10"/>
        <w:jc w:val="right"/>
      </w:pPr>
      <w:r>
        <w:t>A</w:t>
      </w:r>
      <w:r>
        <w:rPr>
          <w:sz w:val="15"/>
        </w:rPr>
        <w:t xml:space="preserve">NTOINE </w:t>
      </w:r>
      <w:r>
        <w:t>A</w:t>
      </w:r>
      <w:r>
        <w:rPr>
          <w:sz w:val="15"/>
        </w:rPr>
        <w:t>RMAND</w:t>
      </w:r>
    </w:p>
    <w:sectPr w:rsidR="00BB5F5A">
      <w:headerReference w:type="even" r:id="rId7"/>
      <w:headerReference w:type="default" r:id="rId8"/>
      <w:headerReference w:type="first" r:id="rId9"/>
      <w:pgSz w:w="11906" w:h="16838"/>
      <w:pgMar w:top="1420" w:right="992" w:bottom="782" w:left="992" w:header="74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1D640" w14:textId="77777777" w:rsidR="00AE4E21" w:rsidRDefault="00AE4E21">
      <w:pPr>
        <w:spacing w:after="0" w:line="240" w:lineRule="auto"/>
      </w:pPr>
      <w:r>
        <w:separator/>
      </w:r>
    </w:p>
  </w:endnote>
  <w:endnote w:type="continuationSeparator" w:id="0">
    <w:p w14:paraId="2B8DAB22" w14:textId="77777777" w:rsidR="00AE4E21" w:rsidRDefault="00AE4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B75BE" w14:textId="77777777" w:rsidR="00AE4E21" w:rsidRDefault="00AE4E21">
      <w:pPr>
        <w:spacing w:after="0" w:line="240" w:lineRule="auto"/>
      </w:pPr>
      <w:r>
        <w:separator/>
      </w:r>
    </w:p>
  </w:footnote>
  <w:footnote w:type="continuationSeparator" w:id="0">
    <w:p w14:paraId="049AB600" w14:textId="77777777" w:rsidR="00AE4E21" w:rsidRDefault="00AE4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87C3" w14:textId="77777777" w:rsidR="00BB5F5A" w:rsidRDefault="00AE4E21">
    <w:pPr>
      <w:tabs>
        <w:tab w:val="center" w:pos="4818"/>
        <w:tab w:val="right" w:pos="9922"/>
      </w:tabs>
      <w:spacing w:after="0" w:line="259" w:lineRule="auto"/>
      <w:ind w:left="0" w:firstLine="0"/>
      <w:jc w:val="left"/>
    </w:pPr>
    <w:r>
      <w:rPr>
        <w:rFonts w:ascii="Calibri" w:hAnsi="Calibri"/>
        <w:sz w:val="16"/>
      </w:rPr>
      <w:t xml:space="preserve">07 2024 november </w:t>
    </w:r>
    <w:r>
      <w:rPr>
        <w:rFonts w:ascii="Calibri" w:hAnsi="Calibri"/>
        <w:color w:val="0060B0"/>
        <w:sz w:val="18"/>
      </w:rPr>
      <w:t>A FRANCIA KÖZTÁRSASÁG HIVATALOS KÖZLÖNYE</w:t>
    </w:r>
    <w:r>
      <w:rPr>
        <w:rFonts w:ascii="Calibri" w:hAnsi="Calibri"/>
        <w:color w:val="0060B0"/>
        <w:sz w:val="18"/>
      </w:rPr>
      <w:tab/>
    </w:r>
    <w:r>
      <w:rPr>
        <w:rFonts w:ascii="Calibri" w:hAnsi="Calibri"/>
        <w:sz w:val="16"/>
      </w:rPr>
      <w:t xml:space="preserve">18/120. sz. szöveg </w:t>
    </w:r>
  </w:p>
  <w:p w14:paraId="7D2344F0" w14:textId="77777777" w:rsidR="00BB5F5A" w:rsidRDefault="00AE4E21">
    <w:r>
      <w:rPr>
        <w:rFonts w:ascii="Calibri" w:hAnsi="Calibri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2303E79" wp14:editId="7FD982B1">
              <wp:simplePos x="0" y="0"/>
              <wp:positionH relativeFrom="page">
                <wp:posOffset>0</wp:posOffset>
              </wp:positionH>
              <wp:positionV relativeFrom="page">
                <wp:posOffset>2</wp:posOffset>
              </wp:positionV>
              <wp:extent cx="7562164" cy="10694162"/>
              <wp:effectExtent l="0" t="0" r="0" b="0"/>
              <wp:wrapNone/>
              <wp:docPr id="6394" name="Group 63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164" cy="10694162"/>
                        <a:chOff x="0" y="0"/>
                        <a:chExt cx="7562164" cy="10694162"/>
                      </a:xfrm>
                    </wpg:grpSpPr>
                    <pic:pic xmlns:pic="http://schemas.openxmlformats.org/drawingml/2006/picture">
                      <pic:nvPicPr>
                        <pic:cNvPr id="6395" name="Picture 639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2164" cy="1069416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du="http://schemas.microsoft.com/office/word/2023/wordml/word16du" xmlns:oel="http://schemas.microsoft.com/office/2019/extlst">
          <w:pict>
            <v:group id="Group 6394" style="width:595.446pt;height:842.06pt;position:absolute;z-index:-2147483648;mso-position-horizontal-relative:page;mso-position-horizontal:absolute;margin-left:0pt;mso-position-vertical-relative:page;margin-top:0.00012207pt;" coordsize="75621,106941">
              <v:shape id="Picture 6395" style="position:absolute;width:75621;height:106941;left:0;top:0;" filled="f">
                <v:imagedata r:id="rId4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5EF25" w14:textId="77777777" w:rsidR="00BB5F5A" w:rsidRDefault="00AE4E21">
    <w:pPr>
      <w:tabs>
        <w:tab w:val="center" w:pos="4818"/>
        <w:tab w:val="right" w:pos="9922"/>
      </w:tabs>
      <w:spacing w:after="0" w:line="259" w:lineRule="auto"/>
      <w:ind w:left="0" w:firstLine="0"/>
      <w:jc w:val="left"/>
    </w:pPr>
    <w:r>
      <w:rPr>
        <w:rFonts w:ascii="Calibri" w:hAnsi="Calibri"/>
        <w:sz w:val="16"/>
      </w:rPr>
      <w:t xml:space="preserve">07 2024 november </w:t>
    </w:r>
    <w:r>
      <w:rPr>
        <w:rFonts w:ascii="Calibri" w:hAnsi="Calibri"/>
        <w:color w:val="0060B0"/>
        <w:sz w:val="18"/>
      </w:rPr>
      <w:t>A FRANCIA KÖZTÁRSASÁG HIVATALOS KÖZLÖNYE</w:t>
    </w:r>
    <w:r>
      <w:rPr>
        <w:rFonts w:ascii="Calibri" w:hAnsi="Calibri"/>
        <w:color w:val="0060B0"/>
        <w:sz w:val="18"/>
      </w:rPr>
      <w:tab/>
    </w:r>
    <w:r>
      <w:rPr>
        <w:rFonts w:ascii="Calibri" w:hAnsi="Calibri"/>
        <w:sz w:val="16"/>
      </w:rPr>
      <w:t xml:space="preserve">18/120. sz. szöveg </w:t>
    </w:r>
  </w:p>
  <w:p w14:paraId="03F43403" w14:textId="77777777" w:rsidR="00BB5F5A" w:rsidRDefault="00AE4E21">
    <w:r>
      <w:rPr>
        <w:rFonts w:ascii="Calibri" w:hAnsi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677BF3A" wp14:editId="4AF008E2">
              <wp:simplePos x="0" y="0"/>
              <wp:positionH relativeFrom="page">
                <wp:posOffset>0</wp:posOffset>
              </wp:positionH>
              <wp:positionV relativeFrom="page">
                <wp:posOffset>2</wp:posOffset>
              </wp:positionV>
              <wp:extent cx="7562164" cy="10694162"/>
              <wp:effectExtent l="0" t="0" r="0" b="0"/>
              <wp:wrapNone/>
              <wp:docPr id="6375" name="Group 63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164" cy="10694162"/>
                        <a:chOff x="0" y="0"/>
                        <a:chExt cx="7562164" cy="10694162"/>
                      </a:xfrm>
                    </wpg:grpSpPr>
                    <pic:pic xmlns:pic="http://schemas.openxmlformats.org/drawingml/2006/picture">
                      <pic:nvPicPr>
                        <pic:cNvPr id="6376" name="Picture 637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2164" cy="1069416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du="http://schemas.microsoft.com/office/word/2023/wordml/word16du" xmlns:oel="http://schemas.microsoft.com/office/2019/extlst">
          <w:pict>
            <v:group id="Group 6375" style="width:595.446pt;height:842.06pt;position:absolute;z-index:-2147483648;mso-position-horizontal-relative:page;mso-position-horizontal:absolute;margin-left:0pt;mso-position-vertical-relative:page;margin-top:0.00012207pt;" coordsize="75621,106941">
              <v:shape id="Picture 6376" style="position:absolute;width:75621;height:106941;left:0;top:0;" filled="f">
                <v:imagedata r:id="rId4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C51A4" w14:textId="77777777" w:rsidR="00BB5F5A" w:rsidRDefault="00AE4E21">
    <w:pPr>
      <w:tabs>
        <w:tab w:val="center" w:pos="4818"/>
        <w:tab w:val="right" w:pos="9922"/>
      </w:tabs>
      <w:spacing w:after="0" w:line="259" w:lineRule="auto"/>
      <w:ind w:left="0" w:firstLine="0"/>
      <w:jc w:val="left"/>
    </w:pPr>
    <w:r>
      <w:rPr>
        <w:rFonts w:ascii="Calibri" w:hAnsi="Calibri"/>
        <w:sz w:val="16"/>
      </w:rPr>
      <w:t xml:space="preserve">07 2024 november </w:t>
    </w:r>
    <w:r>
      <w:rPr>
        <w:rFonts w:ascii="Calibri" w:hAnsi="Calibri"/>
        <w:color w:val="0060B0"/>
        <w:sz w:val="18"/>
      </w:rPr>
      <w:t>A FRANCIA KÖZTÁRSASÁG HIVATALOS KÖZLÖNYE</w:t>
    </w:r>
    <w:r>
      <w:rPr>
        <w:rFonts w:ascii="Calibri" w:hAnsi="Calibri"/>
        <w:color w:val="0060B0"/>
        <w:sz w:val="18"/>
      </w:rPr>
      <w:tab/>
    </w:r>
    <w:r>
      <w:rPr>
        <w:rFonts w:ascii="Calibri" w:hAnsi="Calibri"/>
        <w:sz w:val="16"/>
      </w:rPr>
      <w:t xml:space="preserve">18/120. sz. szöveg </w:t>
    </w:r>
  </w:p>
  <w:p w14:paraId="3D44B973" w14:textId="77777777" w:rsidR="00BB5F5A" w:rsidRDefault="00AE4E21">
    <w:r>
      <w:rPr>
        <w:rFonts w:ascii="Calibri" w:hAnsi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591A6C2" wp14:editId="6FB74674">
              <wp:simplePos x="0" y="0"/>
              <wp:positionH relativeFrom="page">
                <wp:posOffset>0</wp:posOffset>
              </wp:positionH>
              <wp:positionV relativeFrom="page">
                <wp:posOffset>2</wp:posOffset>
              </wp:positionV>
              <wp:extent cx="7562164" cy="10694162"/>
              <wp:effectExtent l="0" t="0" r="0" b="0"/>
              <wp:wrapNone/>
              <wp:docPr id="6356" name="Group 63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2164" cy="10694162"/>
                        <a:chOff x="0" y="0"/>
                        <a:chExt cx="7562164" cy="10694162"/>
                      </a:xfrm>
                    </wpg:grpSpPr>
                    <pic:pic xmlns:pic="http://schemas.openxmlformats.org/drawingml/2006/picture">
                      <pic:nvPicPr>
                        <pic:cNvPr id="6357" name="Picture 63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2164" cy="1069416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 xmlns:w16du="http://schemas.microsoft.com/office/word/2023/wordml/word16du" xmlns:oel="http://schemas.microsoft.com/office/2019/extlst">
          <w:pict>
            <v:group id="Group 6356" style="width:595.446pt;height:842.06pt;position:absolute;z-index:-2147483648;mso-position-horizontal-relative:page;mso-position-horizontal:absolute;margin-left:0pt;mso-position-vertical-relative:page;margin-top:0.00012207pt;" coordsize="75621,106941">
              <v:shape id="Picture 6357" style="position:absolute;width:75621;height:106941;left:0;top:0;" filled="f">
                <v:imagedata r:id="rId4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60A7B"/>
    <w:multiLevelType w:val="hybridMultilevel"/>
    <w:tmpl w:val="81E49FE6"/>
    <w:lvl w:ilvl="0" w:tplc="AA867C62">
      <w:start w:val="1"/>
      <w:numFmt w:val="upperRoman"/>
      <w:lvlText w:val="%1."/>
      <w:lvlJc w:val="left"/>
      <w:pPr>
        <w:ind w:left="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204FD0">
      <w:start w:val="1"/>
      <w:numFmt w:val="lowerLetter"/>
      <w:lvlText w:val="%2"/>
      <w:lvlJc w:val="left"/>
      <w:pPr>
        <w:ind w:left="1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D000F2">
      <w:start w:val="1"/>
      <w:numFmt w:val="lowerRoman"/>
      <w:lvlText w:val="%3"/>
      <w:lvlJc w:val="left"/>
      <w:pPr>
        <w:ind w:left="2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CEAA90">
      <w:start w:val="1"/>
      <w:numFmt w:val="decimal"/>
      <w:lvlText w:val="%4"/>
      <w:lvlJc w:val="left"/>
      <w:pPr>
        <w:ind w:left="2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38C92A">
      <w:start w:val="1"/>
      <w:numFmt w:val="lowerLetter"/>
      <w:lvlText w:val="%5"/>
      <w:lvlJc w:val="left"/>
      <w:pPr>
        <w:ind w:left="3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54786A">
      <w:start w:val="1"/>
      <w:numFmt w:val="lowerRoman"/>
      <w:lvlText w:val="%6"/>
      <w:lvlJc w:val="left"/>
      <w:pPr>
        <w:ind w:left="4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4E6C7E">
      <w:start w:val="1"/>
      <w:numFmt w:val="decimal"/>
      <w:lvlText w:val="%7"/>
      <w:lvlJc w:val="left"/>
      <w:pPr>
        <w:ind w:left="4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E217EC">
      <w:start w:val="1"/>
      <w:numFmt w:val="lowerLetter"/>
      <w:lvlText w:val="%8"/>
      <w:lvlJc w:val="left"/>
      <w:pPr>
        <w:ind w:left="5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DEF09C">
      <w:start w:val="1"/>
      <w:numFmt w:val="lowerRoman"/>
      <w:lvlText w:val="%9"/>
      <w:lvlJc w:val="left"/>
      <w:pPr>
        <w:ind w:left="6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F5A"/>
    <w:rsid w:val="00AC55CF"/>
    <w:rsid w:val="00AE4E21"/>
    <w:rsid w:val="00BB5F5A"/>
    <w:rsid w:val="00C256E0"/>
    <w:rsid w:val="00D13BAC"/>
    <w:rsid w:val="00F9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005B5"/>
  <w15:docId w15:val="{9644DAF2-F404-4830-B1A9-A4FAC1D1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5" w:line="225" w:lineRule="auto"/>
      <w:ind w:left="215" w:firstLine="205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70"/>
      <w:ind w:right="431"/>
      <w:outlineLvl w:val="0"/>
    </w:pPr>
    <w:rPr>
      <w:rFonts w:ascii="Times New Roman" w:eastAsia="Times New Roman" w:hAnsi="Times New Roman" w:cs="Times New Roman"/>
      <w:color w:val="000000"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4" Type="http://schemas.openxmlformats.org/officeDocument/2006/relationships/image" Target="media/image0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1952</Words>
  <Characters>14003</Characters>
  <Application>Microsoft Office Word</Application>
  <DocSecurity>0</DocSecurity>
  <Lines>191</Lines>
  <Paragraphs>86</Paragraphs>
  <ScaleCrop>false</ScaleCrop>
  <Company/>
  <LinksUpToDate>false</LinksUpToDate>
  <CharactersWithSpaces>15869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officiel de la République française - N° 264 du 7 novembre 2024</dc:title>
  <dc:subject>Lois et décrets</dc:subject>
  <dc:creator>Direction de l'information légale et administrative</dc:creator>
  <cp:keywords>ISSN:2261-5385;class='Internal'</cp:keywords>
  <cp:lastModifiedBy>Ragnhild Efraimsson</cp:lastModifiedBy>
  <cp:revision>2</cp:revision>
  <dcterms:created xsi:type="dcterms:W3CDTF">2024-12-17T14:41:00Z</dcterms:created>
  <dcterms:modified xsi:type="dcterms:W3CDTF">2024-12-17T14:41:00Z</dcterms:modified>
</cp:coreProperties>
</file>