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RANSKAN TASAVALTA</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Alueellisesta yhteistyöstä ja hallinnon hajauttamisesta vastaava ministeriö</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Asetus nro                           , annettu [päivämäärä],</w:t>
      </w:r>
    </w:p>
    <w:p w14:paraId="2D7A540B" w14:textId="77777777" w:rsidR="00883D72" w:rsidRPr="00C32FE3" w:rsidRDefault="00883D72" w:rsidP="00883D72">
      <w:pPr>
        <w:pStyle w:val="SNtitre"/>
      </w:pPr>
      <w:r>
        <w:t xml:space="preserve">liikennelain L.1214-8-3 §:n soveltamisedellytyksistä</w:t>
      </w:r>
    </w:p>
    <w:p w14:paraId="48F7015D" w14:textId="77777777" w:rsidR="00883D72" w:rsidRPr="00C32FE3" w:rsidRDefault="00883D72" w:rsidP="00883D72">
      <w:pPr>
        <w:pStyle w:val="SNNORCentr"/>
      </w:pPr>
      <w:r>
        <w:t xml:space="preserve">NOR:</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Asianomaiset tahot:</w:t>
      </w:r>
      <w:r>
        <w:rPr>
          <w:i/>
          <w:b w:val="0"/>
        </w:rPr>
        <w:t xml:space="preserve"> digitaaliset reittipalvelut, joiden tarkoituksena on helpottaa yhdellä tai useammalla kulkuneuvolla matkustamista, joka voidaan tehdä kuljetuspalveluilla, ajoneuvoilla, polkupyörillä, henkilökohtaisilla kulkuvälineillä tai jalan.</w:t>
      </w:r>
    </w:p>
    <w:p w14:paraId="5131E781" w14:textId="77777777" w:rsidR="00883D72" w:rsidRPr="000D7A23" w:rsidRDefault="00883D72" w:rsidP="00883D72">
      <w:pPr>
        <w:pStyle w:val="SNAutorit"/>
        <w:spacing w:before="120"/>
        <w:ind w:left="708" w:firstLine="0"/>
        <w:jc w:val="both"/>
        <w:rPr>
          <w:b w:val="0"/>
          <w:i/>
        </w:rPr>
      </w:pPr>
      <w:r>
        <w:rPr>
          <w:i/>
        </w:rPr>
        <w:t xml:space="preserve">Aihe: </w:t>
      </w:r>
      <w:r>
        <w:rPr>
          <w:i/>
          <w:b w:val="0"/>
        </w:rPr>
        <w:t xml:space="preserve">liikennelain L.1214-8-3 §:n yksityiskohtaisten soveltamissäännösten määrittäminen.</w:t>
      </w:r>
    </w:p>
    <w:p w14:paraId="028B2818" w14:textId="77777777" w:rsidR="00883D72" w:rsidRPr="000D7A23" w:rsidRDefault="00883D72" w:rsidP="00883D72">
      <w:pPr>
        <w:pStyle w:val="SNAutorit"/>
        <w:spacing w:before="120"/>
        <w:ind w:left="708" w:firstLine="0"/>
        <w:jc w:val="both"/>
        <w:rPr>
          <w:b w:val="0"/>
          <w:i/>
        </w:rPr>
      </w:pPr>
      <w:r>
        <w:rPr>
          <w:i/>
        </w:rPr>
        <w:t xml:space="preserve">Voimaantulo: </w:t>
      </w:r>
      <w:r>
        <w:rPr>
          <w:i/>
          <w:b w:val="0"/>
        </w:rPr>
        <w:t xml:space="preserve">teksti tulee voimaan sen julkaisua seuraavana päivänä.</w:t>
      </w:r>
    </w:p>
    <w:p w14:paraId="2F8DC73C" w14:textId="1CA4465B" w:rsidR="00883D72" w:rsidRPr="000D7A23" w:rsidRDefault="00883D72" w:rsidP="00883D72">
      <w:pPr>
        <w:pStyle w:val="SNAutorit"/>
        <w:spacing w:before="120"/>
        <w:ind w:left="708" w:firstLine="0"/>
        <w:jc w:val="both"/>
        <w:rPr>
          <w:b w:val="0"/>
          <w:i/>
        </w:rPr>
      </w:pPr>
      <w:r>
        <w:rPr>
          <w:i/>
        </w:rPr>
        <w:t xml:space="preserve">Huomautus: </w:t>
      </w:r>
      <w:r>
        <w:rPr>
          <w:i/>
          <w:b w:val="0"/>
        </w:rPr>
        <w:t xml:space="preserve">Asetuksessa täsmennetään liikennelain L.1214-8-3 §:n yksityiskohtaiset soveltamissäännökset. Kyseinen pykälä koskee liikkumisen järjestämisestä vastaavien viranomaisten pääsyä digitaalisten reittipalvelujen asiaankuuluvin tietoihin, jotta ne saavat tietoa liikkumisesta alueella, joilla ne ovat toimivaltaisia, ja voivat edistää asiaankuuluvia vaihtoehtoja yksittäisen ajoneuvon yksinomaiselle käytölle erityisesti vähäpäästöisillä liikkumisvyöhykkeillä ja arvioida liikennemuotosiirtymää koskevien strategioiden vaikutuksia, erityisesti liityntäpysäköintipaikkojen riittävyyttä.</w:t>
      </w:r>
      <w:r>
        <w:rPr>
          <w:i/>
          <w:b w:val="0"/>
        </w:rPr>
        <w:t xml:space="preserve"> </w:t>
      </w:r>
      <w:r>
        <w:rPr>
          <w:i/>
          <w:b w:val="0"/>
        </w:rPr>
        <w:t xml:space="preserve">Asetuksessa täsmennetään kyseiset tiedot, tietojen saantia ja turvaamista koskevat järjestelyt sekä rekisteröidyille tiedottamista koskevat järjestelyt.</w:t>
      </w:r>
    </w:p>
    <w:p w14:paraId="6D210A36" w14:textId="5B4C1B6F" w:rsidR="00883D72" w:rsidRPr="000D7A23" w:rsidRDefault="00883D72" w:rsidP="00883D72">
      <w:pPr>
        <w:pStyle w:val="SNAutorit"/>
        <w:spacing w:before="120"/>
        <w:ind w:left="708" w:firstLine="0"/>
        <w:rPr>
          <w:b w:val="0"/>
          <w:i/>
        </w:rPr>
      </w:pPr>
      <w:r>
        <w:rPr>
          <w:i/>
        </w:rPr>
        <w:t xml:space="preserve">Viitteet: </w:t>
      </w:r>
      <w:r>
        <w:rPr>
          <w:i/>
          <w:b w:val="0"/>
        </w:rPr>
        <w:t xml:space="preserve">Tämä asetus annetaan liikennelain L.1214-8-3 §:n, sellaisena kuin se on lisättynä ilmastonmuutoksen torjumisesta ja sen vaikutusten sietokyvyn vahvistamisesta 22 päivänä elokuuta 2021 annetun lain nro 2021-1104 109 §:llä, soveltamiseksi.</w:t>
      </w:r>
      <w:r>
        <w:rPr>
          <w:i/>
          <w:b w:val="0"/>
        </w:rPr>
        <w:t xml:space="preserve"> </w:t>
      </w:r>
      <w:r>
        <w:rPr>
          <w:i/>
          <w:b w:val="0"/>
        </w:rPr>
        <w:t xml:space="preserve">Siihen voi tutustua Légifrancen verkkosivustolta (http://www.legifrance.gouv.fr).</w:t>
      </w:r>
    </w:p>
    <w:p w14:paraId="27919A0D" w14:textId="77777777" w:rsidR="00883D72" w:rsidRPr="00C32FE3" w:rsidRDefault="00883D72" w:rsidP="00883D72">
      <w:pPr>
        <w:pStyle w:val="SNAutorit"/>
      </w:pPr>
      <w:r>
        <w:t xml:space="preserve">Pääministeri, joka</w:t>
      </w:r>
    </w:p>
    <w:p w14:paraId="17CFB5DF" w14:textId="4FF4D1D2" w:rsidR="00883D72" w:rsidRPr="00C32FE3" w:rsidRDefault="00883D72" w:rsidP="00396E80">
      <w:pPr>
        <w:pStyle w:val="SNRapport"/>
      </w:pPr>
      <w:r>
        <w:t xml:space="preserve">alueellisesta yhteistyöstä ja hallinnon hajauttamisesta vastaavassa ministeriössä liikenteestä vastaavan apulaisministerin selonteosta,</w:t>
      </w:r>
    </w:p>
    <w:p w14:paraId="1680FAFD" w14:textId="217FE4C0" w:rsidR="00883D72" w:rsidRDefault="00883D72" w:rsidP="00883D72">
      <w:pPr>
        <w:ind w:left="708"/>
        <w:jc w:val="both"/>
        <w:rPr>
          <w:iCs/>
          <w:color w:val="00000A"/>
        </w:rPr>
      </w:pPr>
      <w:r>
        <w:rPr>
          <w:color w:val="00000A"/>
        </w:rPr>
        <w:t xml:space="preserve">ottaa huomioon teknisiä määräyksiä ja tietoyhteiskunnan palveluja koskevia määräyksiä koskevien tietojen toimittamisessa noudatettavasta menettelystä 9 päivänä syyskuuta 2015 annetun Euroopan parlamentin ja neuvoston direktiivin (EU) 2015/1535 ja erityisesti ilmoituksen nro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ottaa huomioon luonnollisten henkilöiden suojelusta henkilötietojen käsittelyssä sekä näiden tietojen vapaasta liikkuvuudesta 27 päivänä huhtikuuta 2016 annetun Euroopan parlamentin ja neuvoston asetuksen (EU) 2016/679,</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ottaa huomioon liikennelain ja erityisesti sen L. 1214-8-3 §:n,</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ottaa huomioon ilmastonmuutoksen torjumisesta ja sen vaikutusten sietokyvyn vahvistamisesta 22 päivänä elokuuta 2021 annetun lain 2021</w:t>
      </w:r>
      <w:r>
        <w:rPr>
          <w:color w:val="00000A"/>
        </w:rPr>
        <w:noBreakHyphen/>
      </w:r>
      <w:r>
        <w:rPr>
          <w:color w:val="00000A"/>
        </w:rPr>
        <w:t xml:space="preserve">1104 ja erityisesti sen 109 §:n,</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ottaa huomioon standardien arvioinnista vastaavan kansallisen neuvoston 10 päivänä lokakuuta 2024 antaman lausunnon,</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ottaa huomioon Ranskan tietosuojaviranomaisen 19 päivänä syyskuuta 2024 antaman lausunnon,</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säätää seuraavaa:</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1 §</w:t>
      </w:r>
    </w:p>
    <w:p w14:paraId="2F0C6A4D" w14:textId="77777777" w:rsidR="00883D72" w:rsidRDefault="00883D72" w:rsidP="00883D72">
      <w:pPr>
        <w:pStyle w:val="Corpsdetexte"/>
      </w:pPr>
      <w:r>
        <w:t xml:space="preserve">I – Muutetaan liikennelain (säädösosa) ensimmäisen osan II kirjan I osaston IV luku seuraavasti:</w:t>
      </w:r>
    </w:p>
    <w:p w14:paraId="0A56D93A" w14:textId="5E8B9A06" w:rsidR="00883D72" w:rsidRDefault="00883D72" w:rsidP="00883D72">
      <w:pPr>
        <w:pStyle w:val="Corpsdetexte"/>
      </w:pPr>
      <w:r>
        <w:t xml:space="preserve">1)</w:t>
      </w:r>
      <w:r>
        <w:t xml:space="preserve"> </w:t>
      </w:r>
      <w:r>
        <w:t xml:space="preserve">Lisätään 5 jakso, jonka otsikko on</w:t>
      </w:r>
      <w:r>
        <w:t xml:space="preserve"> </w:t>
      </w:r>
      <w:r>
        <w:t xml:space="preserve">”</w:t>
      </w:r>
      <w:r>
        <w:t xml:space="preserve"> </w:t>
      </w:r>
      <w:r>
        <w:t xml:space="preserve">Digitaalisia reittipalveluja koskevat säännökset” ja joka sisältää D.1214-13 – D.1214-18 §:n, seuraavasti:</w:t>
      </w:r>
    </w:p>
    <w:p w14:paraId="40D843F6" w14:textId="2E970FFB" w:rsidR="00883D72" w:rsidRDefault="00883D72" w:rsidP="00883D72">
      <w:pPr>
        <w:jc w:val="center"/>
      </w:pPr>
      <w:r>
        <w:t xml:space="preserve">”</w:t>
      </w:r>
      <w:r>
        <w:t xml:space="preserve"> </w:t>
      </w:r>
      <w:r>
        <w:rPr>
          <w:i/>
        </w:rPr>
        <w:t xml:space="preserve">5 jakso</w:t>
      </w:r>
    </w:p>
    <w:p w14:paraId="43B40F8E" w14:textId="77777777" w:rsidR="00883D72" w:rsidRDefault="00883D72" w:rsidP="00883D72">
      <w:pPr>
        <w:jc w:val="center"/>
        <w:rPr>
          <w:i/>
        </w:rPr>
      </w:pPr>
      <w:r>
        <w:t xml:space="preserve"> </w:t>
      </w:r>
      <w:r>
        <w:rPr>
          <w:i/>
        </w:rPr>
        <w:t xml:space="preserve">Digitaalisia reittipalveluja koskevat säännökset</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 </w:t>
      </w:r>
      <w:r>
        <w:rPr>
          <w:i/>
        </w:rPr>
        <w:t xml:space="preserve">D. 1214-13 §.</w:t>
      </w:r>
      <w:r>
        <w:t xml:space="preserve"> </w:t>
      </w:r>
      <w:r>
        <w:t xml:space="preserve">–</w:t>
      </w:r>
      <w:r>
        <w:t xml:space="preserve"> </w:t>
      </w:r>
      <w:r>
        <w:t xml:space="preserve">Tämän lain L.1214-8-3 §:n I momentissa tarkoitetut asiaankuuluvat matka- ja liikennetiedot, jotka ovat digitaalisten reittipalvelujen hallussa, koostuvat seuraavista:</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jälkien aikaleima;</w:t>
      </w:r>
    </w:p>
    <w:p w14:paraId="287D3F7B" w14:textId="77777777" w:rsidR="00883D72" w:rsidRPr="0035097F" w:rsidRDefault="00883D72" w:rsidP="00883D72">
      <w:pPr>
        <w:pStyle w:val="Commentaire"/>
        <w:numPr>
          <w:ilvl w:val="0"/>
          <w:numId w:val="1"/>
        </w:numPr>
        <w:rPr>
          <w:sz w:val="24"/>
          <w:szCs w:val="24"/>
        </w:rPr>
      </w:pPr>
      <w:r>
        <w:rPr>
          <w:sz w:val="24"/>
        </w:rPr>
        <w:t xml:space="preserve">yksilöllinen reittitunniste;</w:t>
      </w:r>
    </w:p>
    <w:p w14:paraId="67F92647" w14:textId="10403F03" w:rsidR="00883D72" w:rsidRPr="0035097F" w:rsidRDefault="00883D72" w:rsidP="00883D72">
      <w:pPr>
        <w:pStyle w:val="Commentaire"/>
        <w:numPr>
          <w:ilvl w:val="0"/>
          <w:numId w:val="1"/>
        </w:numPr>
        <w:rPr>
          <w:sz w:val="24"/>
          <w:szCs w:val="24"/>
        </w:rPr>
      </w:pPr>
      <w:r>
        <w:rPr>
          <w:sz w:val="24"/>
        </w:rPr>
        <w:t xml:space="preserve">sijainnin aikaleima;</w:t>
      </w:r>
    </w:p>
    <w:p w14:paraId="5C3E4E67" w14:textId="77777777" w:rsidR="00883D72" w:rsidRPr="0035097F" w:rsidRDefault="00883D72" w:rsidP="00883D72">
      <w:pPr>
        <w:pStyle w:val="Commentaire"/>
        <w:numPr>
          <w:ilvl w:val="0"/>
          <w:numId w:val="1"/>
        </w:numPr>
        <w:rPr>
          <w:sz w:val="24"/>
          <w:szCs w:val="24"/>
        </w:rPr>
      </w:pPr>
      <w:r>
        <w:rPr>
          <w:sz w:val="24"/>
        </w:rPr>
        <w:t xml:space="preserve">leveysaste;</w:t>
      </w:r>
    </w:p>
    <w:p w14:paraId="5D52B2BD" w14:textId="77777777" w:rsidR="00883D72" w:rsidRPr="0035097F" w:rsidRDefault="00883D72" w:rsidP="00883D72">
      <w:pPr>
        <w:pStyle w:val="Commentaire"/>
        <w:numPr>
          <w:ilvl w:val="0"/>
          <w:numId w:val="1"/>
        </w:numPr>
        <w:rPr>
          <w:sz w:val="24"/>
          <w:szCs w:val="24"/>
        </w:rPr>
      </w:pPr>
      <w:r>
        <w:rPr>
          <w:sz w:val="24"/>
        </w:rPr>
        <w:t xml:space="preserve">pituusaste;</w:t>
      </w:r>
    </w:p>
    <w:p w14:paraId="489FD706" w14:textId="45B5C8C2" w:rsidR="00883D72" w:rsidRPr="0035097F" w:rsidRDefault="00883D72" w:rsidP="00883D72">
      <w:pPr>
        <w:pStyle w:val="Commentaire"/>
        <w:numPr>
          <w:ilvl w:val="0"/>
          <w:numId w:val="1"/>
        </w:numPr>
        <w:rPr>
          <w:sz w:val="24"/>
          <w:szCs w:val="24"/>
        </w:rPr>
      </w:pPr>
      <w:r>
        <w:rPr>
          <w:sz w:val="24"/>
        </w:rPr>
        <w:t xml:space="preserve">suunta;</w:t>
      </w:r>
    </w:p>
    <w:p w14:paraId="3708DD44" w14:textId="21AD2965" w:rsidR="00883D72" w:rsidRDefault="00883D72" w:rsidP="00883D72">
      <w:pPr>
        <w:pStyle w:val="Commentaire"/>
        <w:numPr>
          <w:ilvl w:val="0"/>
          <w:numId w:val="1"/>
        </w:numPr>
        <w:rPr>
          <w:sz w:val="24"/>
          <w:szCs w:val="24"/>
        </w:rPr>
      </w:pPr>
      <w:r>
        <w:rPr>
          <w:sz w:val="24"/>
        </w:rPr>
        <w:t xml:space="preserve">hetkellinen nopeus;</w:t>
      </w:r>
    </w:p>
    <w:p w14:paraId="58569D43" w14:textId="5DE622F0" w:rsidR="00B45048" w:rsidRPr="0035097F" w:rsidRDefault="00B45048" w:rsidP="00883D72">
      <w:pPr>
        <w:pStyle w:val="Commentaire"/>
        <w:numPr>
          <w:ilvl w:val="0"/>
          <w:numId w:val="1"/>
        </w:numPr>
        <w:rPr>
          <w:sz w:val="24"/>
          <w:szCs w:val="24"/>
        </w:rPr>
      </w:pPr>
      <w:r>
        <w:rPr>
          <w:sz w:val="24"/>
        </w:rPr>
        <w:t xml:space="preserve">liikennemuoto.</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rPr>
          <w:i/>
        </w:rPr>
        <w:t xml:space="preserve"> </w:t>
      </w:r>
      <w:r>
        <w:rPr>
          <w:i/>
        </w:rPr>
        <w:t xml:space="preserve">D. 1214-14 §.</w:t>
      </w:r>
      <w:r>
        <w:rPr>
          <w:i/>
        </w:rPr>
        <w:t xml:space="preserve"> </w:t>
      </w:r>
      <w:r>
        <w:rPr>
          <w:i/>
        </w:rPr>
        <w:t xml:space="preserve">-</w:t>
      </w:r>
      <w:r>
        <w:rPr>
          <w:i/>
        </w:rPr>
        <w:t xml:space="preserve"> </w:t>
      </w:r>
      <w:r>
        <w:t xml:space="preserve"> </w:t>
      </w:r>
      <w:r>
        <w:t xml:space="preserve">Liikkumisen järjestämisestä vastaavien viranomaisten esittämä pyyntö, joka liittyy L. 1214-8-3 §:n I momentissa tarkoitettujen asiaankuuluvien tietojen toimittamiseen, voi koskea ainoastaan D. 1214-13 §:ssä tarkoitettuja tietojen anonymisoinnin tuloksena saatuja tietoja, joiden käyttö on välttämätöntä L. 1214-8-3 §:n III momentissa määriteltyjen tarkoitusten toteuttamiseksi.</w:t>
      </w:r>
    </w:p>
    <w:p w14:paraId="7885D0C7" w14:textId="073774D2" w:rsidR="00883D72" w:rsidRDefault="00883D72" w:rsidP="00883D72">
      <w:pPr>
        <w:pStyle w:val="Corpsdetexte"/>
      </w:pPr>
      <w:r>
        <w:t xml:space="preserve"> </w:t>
      </w:r>
      <w:r>
        <w:rPr>
          <w:i/>
        </w:rPr>
        <w:t xml:space="preserve">D. 1214-15 §.</w:t>
      </w:r>
      <w:r>
        <w:t xml:space="preserve"> </w:t>
      </w:r>
      <w:r>
        <w:t xml:space="preserve">– -</w:t>
      </w:r>
      <w:r>
        <w:t xml:space="preserve"> </w:t>
      </w:r>
      <w:r>
        <w:t xml:space="preserve">Tämän lain L. 1214-8-3 §:n I momentin soveltamiseksi digitaalisten reittipalvelujen on anonymisoitava D.1214-13 §:ssä tarkoitetut tiedot.</w:t>
      </w:r>
      <w:r>
        <w:t xml:space="preserve"> </w:t>
      </w:r>
      <w:r>
        <w:t xml:space="preserve">Valitulla anonymisointimenetelmällä on taattava tietojen peruuttamaton anonymisointi uusimman tekniikan mukaisesti ja tarjottava asiaankuuluvia ja käyttökelpoisia tietoja liikkumisen järjestämisestä vastaavien viranomaisten tarpeisiin.</w:t>
      </w:r>
      <w:r>
        <w:t xml:space="preserve"> </w:t>
      </w:r>
      <w:r>
        <w:t xml:space="preserve">Liikkumisen järjestämisestä vastaavien viranomaisten saataville asetettavat tiedot on esitettävä avoimessa muodossa, ja niiden on oltava helposti käytettävissä ja hyödynnettävissä automatisoidussa käsittelyjärjestelmässä.</w:t>
      </w:r>
    </w:p>
    <w:p w14:paraId="40A75DDA" w14:textId="302A7F5A" w:rsidR="00883D72" w:rsidRDefault="00883D72" w:rsidP="008B5EF2">
      <w:pPr>
        <w:pStyle w:val="Corpsdetexte"/>
      </w:pPr>
      <w:r>
        <w:t xml:space="preserve"> </w:t>
      </w:r>
      <w:r>
        <w:rPr>
          <w:i/>
        </w:rPr>
        <w:t xml:space="preserve">D. 1214-16 §.</w:t>
      </w:r>
      <w:r>
        <w:t xml:space="preserve"> </w:t>
      </w:r>
      <w:r>
        <w:t xml:space="preserve">–</w:t>
      </w:r>
      <w:r>
        <w:t xml:space="preserve"> </w:t>
      </w:r>
      <w:r>
        <w:t xml:space="preserve">Digitaalisten reittipalvelujen, jotka saavat liikkumisen järjestämisestä vastaavalta viranomaiselta pyynnön asettaa tietoja saataville, on ilmoitettava asianomaisille käyttäjille heidän matkatietojensa anonymisointiin tähtäävän käsittelytoimen toteuttamisesta luonnollisten henkilöiden suojelusta henkilötietojen käsittelyssä sekä näiden tietojen vapaasta liikkuvuudesta annetun asetuksen (EU) 2016/679 12 ja 13 artiklassa säädettyjen edellytysten mukaisesti.</w:t>
      </w:r>
    </w:p>
    <w:p w14:paraId="25E997EB" w14:textId="77777777" w:rsidR="00B45048" w:rsidRDefault="00B45048" w:rsidP="00B45048">
      <w:pPr>
        <w:pStyle w:val="Corpsdetexte"/>
      </w:pPr>
      <w:r>
        <w:t xml:space="preserve"> </w:t>
      </w:r>
      <w:r>
        <w:t xml:space="preserve">D. 1214-17 §.</w:t>
      </w:r>
      <w:r>
        <w:t xml:space="preserve"> </w:t>
      </w:r>
      <w:r>
        <w:t xml:space="preserve">–</w:t>
      </w:r>
      <w:r>
        <w:t xml:space="preserve"> </w:t>
      </w:r>
      <w:r>
        <w:t xml:space="preserve">Digitaaliset reittipalvelut, jotka toimittavat liikkumisen järjestämistä vastaavalle viranomaiselle yksityiskohtaiset tiedot anonymisoinnista aiheutuneista kustannuksista, voivat saada taloudellisen korvauksen tietojen anonymisointiin liittyvistä kustannuksista.</w:t>
      </w:r>
    </w:p>
    <w:p w14:paraId="6FAEE03C" w14:textId="54DF830F" w:rsidR="00883D72" w:rsidRPr="00C32FE3" w:rsidRDefault="00B45048" w:rsidP="003C7294">
      <w:pPr>
        <w:jc w:val="both"/>
      </w:pPr>
      <w:r>
        <w:t xml:space="preserve"> </w:t>
      </w:r>
      <w:r>
        <w:t xml:space="preserve">D. 1214-18 §.</w:t>
      </w:r>
      <w:r>
        <w:t xml:space="preserve"> </w:t>
      </w:r>
      <w:r>
        <w:t xml:space="preserve">Luonnollisten henkilöiden suojelusta henkilötietojen käsittelyssä sekä näiden tietojen vapaasta liikkuvuudesta annetun asetuksen (EU) 2016/679 32 artiklan säännösten mukaisesti digitaalisten reittipalvelujen on toteutettava asianmukaiset tekniset ja organisatoriset toimenpiteet, kun ne anonymisoivat D.1214-13 §:ssä tarkoitettuja tietoja.”</w:t>
      </w:r>
    </w:p>
    <w:p w14:paraId="22DD5D67" w14:textId="05023230" w:rsidR="00883D72" w:rsidRPr="00C32FE3" w:rsidRDefault="00883D72" w:rsidP="00883D72">
      <w:pPr>
        <w:pStyle w:val="SNArticle"/>
      </w:pPr>
      <w:r>
        <w:t xml:space="preserve">2 §</w:t>
      </w:r>
    </w:p>
    <w:p w14:paraId="2154F8C9" w14:textId="3F5253A1" w:rsidR="00883D72" w:rsidRDefault="00883D72" w:rsidP="00883D72">
      <w:pPr>
        <w:pStyle w:val="Corpsdetexte"/>
      </w:pPr>
      <w:r>
        <w:t xml:space="preserve">Alueellisesta yhteistyöstä ja hallinnon hajauttamisesta vastaava ministeri sekä alueellisesta yhteistyöstä ja hallinnon hajauttamisesta vastaavassa ministeriössä liikenteestä vastaava apulaisministeri vastaavat kumpikin omalta osaltaan tämän </w:t>
      </w:r>
      <w:r>
        <w:rPr>
          <w:i/>
        </w:rPr>
        <w:t xml:space="preserve">Ranskan tasavallan virallisessa lehdessä</w:t>
      </w:r>
      <w:r>
        <w:t xml:space="preserve"> julkaistavan asetuksen täytäntöönpanosta.</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Annettu [päivämäärä] 2024.</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Pääministerin puolesta:</w:t>
      </w:r>
    </w:p>
    <w:p w14:paraId="7B39E09B" w14:textId="5BFF95BE" w:rsidR="00B45048" w:rsidRPr="00B45048" w:rsidRDefault="00992FA1" w:rsidP="00B45048">
      <w:pPr>
        <w:rPr>
          <w:color w:val="00000A"/>
        </w:rPr>
      </w:pPr>
      <w:r>
        <w:rPr>
          <w:color w:val="00000A"/>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Alueellisesta yhteistyöstä ja hallinnon hajauttamisesta vastaava ministeri,</w:t>
      </w:r>
    </w:p>
    <w:p w14:paraId="70801EE3" w14:textId="69E20974" w:rsidR="00B45048" w:rsidRDefault="00853B18" w:rsidP="00B45048">
      <w:pPr>
        <w:rPr>
          <w:color w:val="00000A"/>
        </w:rPr>
      </w:pPr>
      <w:r>
        <w:rPr>
          <w:color w:val="00000A"/>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Apulaisministeri alueellisesta yhteistyöstä ja hallinnon hajauttamisesta vastaavassa ministeriössä, liikenne,</w:t>
      </w:r>
    </w:p>
    <w:p w14:paraId="3FC793F1" w14:textId="73F8BF45" w:rsidR="00B45048" w:rsidRPr="00B45048" w:rsidRDefault="002835FE" w:rsidP="00AD1053">
      <w:pPr>
        <w:jc w:val="right"/>
        <w:rPr>
          <w:color w:val="00000A"/>
        </w:rPr>
      </w:pPr>
      <w:r>
        <w:rPr>
          <w:color w:val="00000A"/>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