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6868E" w14:textId="1491DFB4">
      <w:pPr>
        <w:pStyle w:val="P68B1DB1-P68B1DB1-Title11"/>
        <w:spacing w:before="0"/>
        <w:ind w:left="0"/>
        <w:jc w:val="right"/>
        <w:rPr>
          <w:i/>
          <w:iCs/>
          <w:color w:val="FF0000"/>
          <w:sz w:val="24"/>
          <w:szCs w:val="24"/>
          <w:u w:val="none"/>
        </w:rPr>
      </w:pPr>
      <w:r>
        <w:t xml:space="preserve">Si tratta di una traduzione automatica</w:t>
      </w:r>
    </w:p>
    <w:p w14:paraId="48A46481" w14:textId="77777777">
      <w:pPr>
        <w:pStyle w:val="P68B1DB1-Title1"/>
        <w:spacing w:before="0"/>
        <w:ind w:left="0"/>
      </w:pPr>
    </w:p>
    <w:p w14:paraId="5DDBFD33" w14:textId="3AD4A40E">
      <w:pPr>
        <w:pStyle w:val="P68B1DB1-Title1"/>
        <w:spacing w:before="0"/>
        <w:ind w:left="0"/>
      </w:pPr>
      <w:r>
        <w:t xml:space="preserve">Giurisprudenza sulla direttiva (UE) 2015/1535</w:t>
      </w:r>
    </w:p>
    <w:p w14:paraId="5AFCD03C" w14:textId="77777777">
      <w:pPr>
        <w:pStyle w:val="BodyText"/>
      </w:pPr>
    </w:p>
    <w:p w14:paraId="55805DA1" w14:textId="3A3D4AA9">
      <w:pPr>
        <w:pStyle w:val="BodyText"/>
      </w:pPr>
      <w:r>
        <w:t xml:space="preserve">Il presente documento individua le principali sentenze e ordinanze della Corte di giustizia dell'Unione europea concernenti l'ambito di applicazione e l'applicazione della direttiva (UE) 2015/1535, che istituisce una procedura d'informazione nel settore delle regolamentazioni tecniche e delle regole relative ai servizi della società dell'informazione. Il suo obiettivo è fungere da guida per le amministrazioni, l'industria e i cittadini degli Stati membri.</w:t>
      </w:r>
    </w:p>
    <w:p w14:paraId="4F3E66AE" w14:textId="77777777">
      <w:pPr>
        <w:pStyle w:val="BodyText"/>
        <w:rPr>
          <w:sz w:val="22"/>
          <w:szCs w:val="18"/>
        </w:rPr>
      </w:pPr>
    </w:p>
    <w:p w14:paraId="53D6EBA0" w14:textId="77777777">
      <w:pPr>
        <w:pStyle w:val="BodyText"/>
      </w:pPr>
      <w:r>
        <w:t xml:space="preserve">Poiché il presente documento non è esaustivo, alcune decisioni pertinenti potrebbero non essere incluse.</w:t>
      </w:r>
    </w:p>
    <w:p w14:paraId="771A43E5" w14:textId="77777777">
      <w:pPr>
        <w:pStyle w:val="BodyText"/>
      </w:pPr>
    </w:p>
    <w:p w14:paraId="45186CE0" w14:textId="45ABA22D">
      <w:pPr>
        <w:pStyle w:val="BodyText"/>
      </w:pPr>
      <w:r>
        <w:t xml:space="preserve">Le sentenze sono presentate in ordine cronologico e il documento è strutturato in quattro parti:</w:t>
      </w:r>
    </w:p>
    <w:p w14:paraId="267A7D41" w14:textId="77777777">
      <w:pPr>
        <w:pStyle w:val="P68B1DB1-Normal4"/>
        <w:spacing w:after="0" w:line="278" w:lineRule="auto"/>
        <w:rPr>
          <w:rFonts w:ascii="Times New Roman" w:hAnsi="Times New Roman" w:cs="Times New Roman"/>
        </w:rPr>
      </w:pPr>
      <w:bookmarkStart w:id="0" w:name="_Hlk194503326"/>
    </w:p>
    <w:p w14:paraId="7D859DD3" w14:textId="68537153">
      <w:pPr>
        <w:pStyle w:val="P68B1DB1-TOC12"/>
        <w:tabs>
          <w:tab w:val="left" w:pos="440"/>
          <w:tab w:val="right" w:leader="dot" w:pos="9016"/>
        </w:tabs>
        <w:rPr>
          <w:rFonts w:eastAsiaTheme="minorEastAsia"/>
          <w:b w:val="0"/>
          <w:bCs w:val="0"/>
          <w:caps w:val="0"/>
          <w:kern w:val="2"/>
          <w:sz w:val="24"/>
          <w:szCs w:val="24"/>
          <w14:ligatures w14:val="standardContextual"/>
        </w:rPr>
      </w:pPr>
      <w:r>
        <w:fldChar w:fldCharType="begin"/>
      </w:r>
      <w:r>
        <w:rPr>
          <w:rFonts w:ascii="Times New Roman" w:hAnsi="Times New Roman" w:cs="Times New Roman"/>
        </w:rPr>
        <w:instrText xml:space="preserve"> TOC \o "2-2" \h \z \t "Heading 1,1" </w:instrText>
      </w:r>
      <w:r>
        <w:rPr>
          <w:rFonts w:ascii="Times New Roman" w:hAnsi="Times New Roman" w:cs="Times New Roman"/>
        </w:rPr>
        <w:fldChar w:fldCharType="separate"/>
      </w:r>
      <w:hyperlink w:anchor="_Toc203035665" w:history="1">
        <w:r>
          <w:rPr>
            <w:rStyle w:val="Hyperlink"/>
          </w:rPr>
          <w:t>I.</w:t>
        </w:r>
        <w:r>
          <w:rPr>
            <w:rFonts w:eastAsiaTheme="minorEastAsia"/>
            <w:b w:val="0"/>
            <w:bCs w:val="0"/>
            <w:caps w:val="0"/>
            <w:kern w:val="2"/>
            <w:sz w:val="24"/>
            <w:szCs w:val="24"/>
            <w14:ligatures w14:val="standardContextual"/>
          </w:rPr>
          <w:tab/>
        </w:r>
        <w:r>
          <w:rPr>
            <w:rStyle w:val="Hyperlink"/>
          </w:rPr>
          <w:t>Classification as Technical Regulation</w:t>
        </w:r>
        <w:r>
          <w:rPr>
            <w:webHidden/>
          </w:rPr>
          <w:tab/>
        </w:r>
        <w:r>
          <w:rPr>
            <w:webHidden/>
          </w:rPr>
          <w:fldChar w:fldCharType="begin"/>
        </w:r>
        <w:r>
          <w:rPr>
            <w:webHidden/>
          </w:rPr>
          <w:instrText xml:space="preserve"> PAGEREF _Toc203035665 \h </w:instrText>
        </w:r>
        <w:r>
          <w:rPr>
            <w:webHidden/>
          </w:rPr>
        </w:r>
        <w:r>
          <w:rPr>
            <w:webHidden/>
          </w:rPr>
          <w:fldChar w:fldCharType="separate"/>
        </w:r>
        <w:r>
          <w:rPr>
            <w:webHidden/>
          </w:rPr>
          <w:t>4</w:t>
        </w:r>
        <w:r>
          <w:rPr>
            <w:webHidden/>
          </w:rPr>
          <w:fldChar w:fldCharType="end"/>
        </w:r>
      </w:hyperlink>
    </w:p>
    <w:p w14:paraId="0A04A47D" w14:textId="2BCBBFA9">
      <w:pPr>
        <w:pStyle w:val="TOC2"/>
        <w:tabs>
          <w:tab w:val="left" w:pos="660"/>
          <w:tab w:val="right" w:leader="dot" w:pos="9016"/>
        </w:tabs>
        <w:rPr>
          <w:rFonts w:eastAsiaTheme="minorEastAsia"/>
          <w:smallCaps w:val="0"/>
          <w:kern w:val="2"/>
          <w:sz w:val="24"/>
          <w:szCs w:val="24"/>
          <w14:ligatures w14:val="standardContextual"/>
        </w:rPr>
      </w:pPr>
      <w:hyperlink w:anchor="_Toc203035666" w:history="1">
        <w:r>
          <w:rPr>
            <w:rStyle w:val="Hyperlink"/>
            <w:bCs/>
          </w:rPr>
          <w:t>a.</w:t>
        </w:r>
        <w:r>
          <w:rPr>
            <w:rFonts w:eastAsiaTheme="minorEastAsia"/>
            <w:smallCaps w:val="0"/>
            <w:kern w:val="2"/>
            <w:sz w:val="24"/>
            <w:szCs w:val="24"/>
            <w14:ligatures w14:val="standardContextual"/>
          </w:rPr>
          <w:tab/>
        </w:r>
        <w:r>
          <w:rPr>
            <w:rStyle w:val="Hyperlink"/>
          </w:rPr>
          <w:t>Common Criteria for Technical Regulations</w:t>
        </w:r>
        <w:r>
          <w:rPr>
            <w:webHidden/>
          </w:rPr>
          <w:tab/>
        </w:r>
        <w:r>
          <w:rPr>
            <w:webHidden/>
          </w:rPr>
          <w:fldChar w:fldCharType="begin"/>
        </w:r>
        <w:r>
          <w:rPr>
            <w:webHidden/>
          </w:rPr>
          <w:instrText xml:space="preserve"> PAGEREF _Toc203035666 \h </w:instrText>
        </w:r>
        <w:r>
          <w:rPr>
            <w:webHidden/>
          </w:rPr>
        </w:r>
        <w:r>
          <w:rPr>
            <w:webHidden/>
          </w:rPr>
          <w:fldChar w:fldCharType="separate"/>
        </w:r>
        <w:r>
          <w:rPr>
            <w:webHidden/>
          </w:rPr>
          <w:t>4</w:t>
        </w:r>
        <w:r>
          <w:rPr>
            <w:webHidden/>
          </w:rPr>
          <w:fldChar w:fldCharType="end"/>
        </w:r>
      </w:hyperlink>
    </w:p>
    <w:p w14:paraId="6F26F433" w14:textId="185E7FA5">
      <w:pPr>
        <w:pStyle w:val="TOC2"/>
        <w:tabs>
          <w:tab w:val="left" w:pos="660"/>
          <w:tab w:val="right" w:leader="dot" w:pos="9016"/>
        </w:tabs>
        <w:rPr>
          <w:rFonts w:eastAsiaTheme="minorEastAsia"/>
          <w:smallCaps w:val="0"/>
          <w:kern w:val="2"/>
          <w:sz w:val="24"/>
          <w:szCs w:val="24"/>
          <w14:ligatures w14:val="standardContextual"/>
        </w:rPr>
      </w:pPr>
      <w:hyperlink w:anchor="_Toc203035667" w:history="1">
        <w:r>
          <w:rPr>
            <w:rStyle w:val="Hyperlink"/>
            <w:bCs/>
          </w:rPr>
          <w:t>b.</w:t>
        </w:r>
        <w:r>
          <w:rPr>
            <w:rFonts w:eastAsiaTheme="minorEastAsia"/>
            <w:smallCaps w:val="0"/>
            <w:kern w:val="2"/>
            <w:sz w:val="24"/>
            <w:szCs w:val="24"/>
            <w14:ligatures w14:val="standardContextual"/>
          </w:rPr>
          <w:tab/>
        </w:r>
        <w:r>
          <w:rPr>
            <w:rStyle w:val="Hyperlink"/>
          </w:rPr>
          <w:t>Technical Specifications</w:t>
        </w:r>
        <w:r>
          <w:rPr>
            <w:webHidden/>
          </w:rPr>
          <w:tab/>
        </w:r>
        <w:r>
          <w:rPr>
            <w:webHidden/>
          </w:rPr>
          <w:fldChar w:fldCharType="begin"/>
        </w:r>
        <w:r>
          <w:rPr>
            <w:webHidden/>
          </w:rPr>
          <w:instrText xml:space="preserve"> PAGEREF _Toc203035667 \h </w:instrText>
        </w:r>
        <w:r>
          <w:rPr>
            <w:webHidden/>
          </w:rPr>
        </w:r>
        <w:r>
          <w:rPr>
            <w:webHidden/>
          </w:rPr>
          <w:fldChar w:fldCharType="separate"/>
        </w:r>
        <w:r>
          <w:rPr>
            <w:webHidden/>
          </w:rPr>
          <w:t>6</w:t>
        </w:r>
        <w:r>
          <w:rPr>
            <w:webHidden/>
          </w:rPr>
          <w:fldChar w:fldCharType="end"/>
        </w:r>
      </w:hyperlink>
    </w:p>
    <w:p w14:paraId="4473297C" w14:textId="5097F959">
      <w:pPr>
        <w:pStyle w:val="TOC2"/>
        <w:tabs>
          <w:tab w:val="left" w:pos="660"/>
          <w:tab w:val="right" w:leader="dot" w:pos="9016"/>
        </w:tabs>
        <w:rPr>
          <w:rFonts w:eastAsiaTheme="minorEastAsia"/>
          <w:smallCaps w:val="0"/>
          <w:kern w:val="2"/>
          <w:sz w:val="24"/>
          <w:szCs w:val="24"/>
          <w14:ligatures w14:val="standardContextual"/>
        </w:rPr>
      </w:pPr>
      <w:hyperlink w:anchor="_Toc203035668" w:history="1">
        <w:r>
          <w:rPr>
            <w:rStyle w:val="Hyperlink"/>
            <w:bCs/>
          </w:rPr>
          <w:t>c.</w:t>
        </w:r>
        <w:r>
          <w:rPr>
            <w:rFonts w:eastAsiaTheme="minorEastAsia"/>
            <w:smallCaps w:val="0"/>
            <w:kern w:val="2"/>
            <w:sz w:val="24"/>
            <w:szCs w:val="24"/>
            <w14:ligatures w14:val="standardContextual"/>
          </w:rPr>
          <w:tab/>
        </w:r>
        <w:r>
          <w:rPr>
            <w:rStyle w:val="Hyperlink"/>
          </w:rPr>
          <w:t>Other Requirements</w:t>
        </w:r>
        <w:r>
          <w:rPr>
            <w:webHidden/>
          </w:rPr>
          <w:tab/>
        </w:r>
        <w:r>
          <w:rPr>
            <w:webHidden/>
          </w:rPr>
          <w:fldChar w:fldCharType="begin"/>
        </w:r>
        <w:r>
          <w:rPr>
            <w:webHidden/>
          </w:rPr>
          <w:instrText xml:space="preserve"> PAGEREF _Toc203035668 \h </w:instrText>
        </w:r>
        <w:r>
          <w:rPr>
            <w:webHidden/>
          </w:rPr>
        </w:r>
        <w:r>
          <w:rPr>
            <w:webHidden/>
          </w:rPr>
          <w:fldChar w:fldCharType="separate"/>
        </w:r>
        <w:r>
          <w:rPr>
            <w:webHidden/>
          </w:rPr>
          <w:t>14</w:t>
        </w:r>
        <w:r>
          <w:rPr>
            <w:webHidden/>
          </w:rPr>
          <w:fldChar w:fldCharType="end"/>
        </w:r>
      </w:hyperlink>
    </w:p>
    <w:p w14:paraId="110B55B0" w14:textId="4A4EB9AB">
      <w:pPr>
        <w:pStyle w:val="TOC2"/>
        <w:tabs>
          <w:tab w:val="left" w:pos="660"/>
          <w:tab w:val="right" w:leader="dot" w:pos="9016"/>
        </w:tabs>
        <w:rPr>
          <w:rFonts w:eastAsiaTheme="minorEastAsia"/>
          <w:smallCaps w:val="0"/>
          <w:kern w:val="2"/>
          <w:sz w:val="24"/>
          <w:szCs w:val="24"/>
          <w14:ligatures w14:val="standardContextual"/>
        </w:rPr>
      </w:pPr>
      <w:hyperlink w:anchor="_Toc203035669" w:history="1">
        <w:r>
          <w:rPr>
            <w:rStyle w:val="Hyperlink"/>
            <w:bCs/>
          </w:rPr>
          <w:t>d.</w:t>
        </w:r>
        <w:r>
          <w:rPr>
            <w:rFonts w:eastAsiaTheme="minorEastAsia"/>
            <w:smallCaps w:val="0"/>
            <w:kern w:val="2"/>
            <w:sz w:val="24"/>
            <w:szCs w:val="24"/>
            <w14:ligatures w14:val="standardContextual"/>
          </w:rPr>
          <w:tab/>
        </w:r>
        <w:r>
          <w:rPr>
            <w:rStyle w:val="Hyperlink"/>
          </w:rPr>
          <w:t>Rules on Services</w:t>
        </w:r>
        <w:r>
          <w:rPr>
            <w:webHidden/>
          </w:rPr>
          <w:tab/>
        </w:r>
        <w:r>
          <w:rPr>
            <w:webHidden/>
          </w:rPr>
          <w:fldChar w:fldCharType="begin"/>
        </w:r>
        <w:r>
          <w:rPr>
            <w:webHidden/>
          </w:rPr>
          <w:instrText xml:space="preserve"> PAGEREF _Toc203035669 \h </w:instrText>
        </w:r>
        <w:r>
          <w:rPr>
            <w:webHidden/>
          </w:rPr>
        </w:r>
        <w:r>
          <w:rPr>
            <w:webHidden/>
          </w:rPr>
          <w:fldChar w:fldCharType="separate"/>
        </w:r>
        <w:r>
          <w:rPr>
            <w:webHidden/>
          </w:rPr>
          <w:t>21</w:t>
        </w:r>
        <w:r>
          <w:rPr>
            <w:webHidden/>
          </w:rPr>
          <w:fldChar w:fldCharType="end"/>
        </w:r>
      </w:hyperlink>
    </w:p>
    <w:p w14:paraId="7AE2FA08" w14:textId="1FC0EAA8">
      <w:pPr>
        <w:pStyle w:val="TOC2"/>
        <w:tabs>
          <w:tab w:val="left" w:pos="660"/>
          <w:tab w:val="right" w:leader="dot" w:pos="9016"/>
        </w:tabs>
        <w:rPr>
          <w:rFonts w:eastAsiaTheme="minorEastAsia"/>
          <w:smallCaps w:val="0"/>
          <w:kern w:val="2"/>
          <w:sz w:val="24"/>
          <w:szCs w:val="24"/>
          <w14:ligatures w14:val="standardContextual"/>
        </w:rPr>
      </w:pPr>
      <w:hyperlink w:anchor="_Toc203035670" w:history="1">
        <w:r>
          <w:rPr>
            <w:rStyle w:val="Hyperlink"/>
            <w:bCs/>
          </w:rPr>
          <w:t>e.</w:t>
        </w:r>
        <w:r>
          <w:rPr>
            <w:rFonts w:eastAsiaTheme="minorEastAsia"/>
            <w:smallCaps w:val="0"/>
            <w:kern w:val="2"/>
            <w:sz w:val="24"/>
            <w:szCs w:val="24"/>
            <w14:ligatures w14:val="standardContextual"/>
          </w:rPr>
          <w:tab/>
        </w:r>
        <w:r>
          <w:rPr>
            <w:rStyle w:val="Hyperlink"/>
          </w:rPr>
          <w:t>Prohibition Provisions</w:t>
        </w:r>
        <w:r>
          <w:rPr>
            <w:webHidden/>
          </w:rPr>
          <w:tab/>
        </w:r>
        <w:r>
          <w:rPr>
            <w:webHidden/>
          </w:rPr>
          <w:fldChar w:fldCharType="begin"/>
        </w:r>
        <w:r>
          <w:rPr>
            <w:webHidden/>
          </w:rPr>
          <w:instrText xml:space="preserve"> PAGEREF _Toc203035670 \h </w:instrText>
        </w:r>
        <w:r>
          <w:rPr>
            <w:webHidden/>
          </w:rPr>
        </w:r>
        <w:r>
          <w:rPr>
            <w:webHidden/>
          </w:rPr>
          <w:fldChar w:fldCharType="separate"/>
        </w:r>
        <w:r>
          <w:rPr>
            <w:webHidden/>
          </w:rPr>
          <w:t>31</w:t>
        </w:r>
        <w:r>
          <w:rPr>
            <w:webHidden/>
          </w:rPr>
          <w:fldChar w:fldCharType="end"/>
        </w:r>
      </w:hyperlink>
    </w:p>
    <w:p w14:paraId="709EEE7A" w14:textId="670F7D1D">
      <w:pPr>
        <w:pStyle w:val="TOC2"/>
        <w:tabs>
          <w:tab w:val="left" w:pos="660"/>
          <w:tab w:val="right" w:leader="dot" w:pos="9016"/>
        </w:tabs>
        <w:rPr>
          <w:rFonts w:eastAsiaTheme="minorEastAsia"/>
          <w:smallCaps w:val="0"/>
          <w:kern w:val="2"/>
          <w:sz w:val="24"/>
          <w:szCs w:val="24"/>
          <w14:ligatures w14:val="standardContextual"/>
        </w:rPr>
      </w:pPr>
      <w:hyperlink w:anchor="_Toc203035671" w:history="1">
        <w:r>
          <w:rPr>
            <w:rStyle w:val="Hyperlink"/>
            <w:bCs/>
          </w:rPr>
          <w:t>f.</w:t>
        </w:r>
        <w:r>
          <w:rPr>
            <w:rFonts w:eastAsiaTheme="minorEastAsia"/>
            <w:smallCaps w:val="0"/>
            <w:kern w:val="2"/>
            <w:sz w:val="24"/>
            <w:szCs w:val="24"/>
            <w14:ligatures w14:val="standardContextual"/>
          </w:rPr>
          <w:tab/>
        </w:r>
        <w:r>
          <w:rPr>
            <w:rStyle w:val="Hyperlink"/>
          </w:rPr>
          <w:t>De Facto Technical Regulations</w:t>
        </w:r>
        <w:r>
          <w:rPr>
            <w:webHidden/>
          </w:rPr>
          <w:tab/>
        </w:r>
        <w:r>
          <w:rPr>
            <w:webHidden/>
          </w:rPr>
          <w:fldChar w:fldCharType="begin"/>
        </w:r>
        <w:r>
          <w:rPr>
            <w:webHidden/>
          </w:rPr>
          <w:instrText xml:space="preserve"> PAGEREF _Toc203035671 \h </w:instrText>
        </w:r>
        <w:r>
          <w:rPr>
            <w:webHidden/>
          </w:rPr>
        </w:r>
        <w:r>
          <w:rPr>
            <w:webHidden/>
          </w:rPr>
          <w:fldChar w:fldCharType="separate"/>
        </w:r>
        <w:r>
          <w:rPr>
            <w:webHidden/>
          </w:rPr>
          <w:t>34</w:t>
        </w:r>
        <w:r>
          <w:rPr>
            <w:webHidden/>
          </w:rPr>
          <w:fldChar w:fldCharType="end"/>
        </w:r>
      </w:hyperlink>
    </w:p>
    <w:p w14:paraId="1C2FBBFA" w14:textId="2ED58CFC">
      <w:pPr>
        <w:pStyle w:val="TOC2"/>
        <w:tabs>
          <w:tab w:val="left" w:pos="660"/>
          <w:tab w:val="right" w:leader="dot" w:pos="9016"/>
        </w:tabs>
        <w:rPr>
          <w:rFonts w:eastAsiaTheme="minorEastAsia"/>
          <w:smallCaps w:val="0"/>
          <w:kern w:val="2"/>
          <w:sz w:val="24"/>
          <w:szCs w:val="24"/>
          <w14:ligatures w14:val="standardContextual"/>
        </w:rPr>
      </w:pPr>
      <w:hyperlink w:anchor="_Toc203035672" w:history="1">
        <w:r>
          <w:rPr>
            <w:rStyle w:val="Hyperlink"/>
            <w:bCs/>
          </w:rPr>
          <w:t>g.</w:t>
        </w:r>
        <w:r>
          <w:rPr>
            <w:rFonts w:eastAsiaTheme="minorEastAsia"/>
            <w:smallCaps w:val="0"/>
            <w:kern w:val="2"/>
            <w:sz w:val="24"/>
            <w:szCs w:val="24"/>
            <w14:ligatures w14:val="standardContextual"/>
          </w:rPr>
          <w:tab/>
        </w:r>
        <w:r>
          <w:rPr>
            <w:rStyle w:val="Hyperlink"/>
          </w:rPr>
          <w:t>Excluded Matters</w:t>
        </w:r>
        <w:r>
          <w:rPr>
            <w:webHidden/>
          </w:rPr>
          <w:tab/>
        </w:r>
        <w:r>
          <w:rPr>
            <w:webHidden/>
          </w:rPr>
          <w:fldChar w:fldCharType="begin"/>
        </w:r>
        <w:r>
          <w:rPr>
            <w:webHidden/>
          </w:rPr>
          <w:instrText xml:space="preserve"> PAGEREF _Toc203035672 \h </w:instrText>
        </w:r>
        <w:r>
          <w:rPr>
            <w:webHidden/>
          </w:rPr>
        </w:r>
        <w:r>
          <w:rPr>
            <w:webHidden/>
          </w:rPr>
          <w:fldChar w:fldCharType="separate"/>
        </w:r>
        <w:r>
          <w:rPr>
            <w:webHidden/>
          </w:rPr>
          <w:t>37</w:t>
        </w:r>
        <w:r>
          <w:rPr>
            <w:webHidden/>
          </w:rPr>
          <w:fldChar w:fldCharType="end"/>
        </w:r>
      </w:hyperlink>
    </w:p>
    <w:p w14:paraId="6E4B30D2" w14:textId="492D7E3B">
      <w:pPr>
        <w:pStyle w:val="TOC1"/>
        <w:tabs>
          <w:tab w:val="left" w:pos="440"/>
          <w:tab w:val="right" w:leader="dot" w:pos="9016"/>
        </w:tabs>
        <w:rPr>
          <w:rFonts w:eastAsiaTheme="minorEastAsia"/>
          <w:b w:val="0"/>
          <w:bCs w:val="0"/>
          <w:caps w:val="0"/>
          <w:kern w:val="2"/>
          <w:sz w:val="24"/>
          <w:szCs w:val="24"/>
          <w14:ligatures w14:val="standardContextual"/>
        </w:rPr>
      </w:pPr>
      <w:hyperlink w:anchor="_Toc203035673" w:history="1">
        <w:r>
          <w:rPr>
            <w:rStyle w:val="Hyperlink"/>
          </w:rPr>
          <w:t>II.</w:t>
        </w:r>
        <w:r>
          <w:rPr>
            <w:rFonts w:eastAsiaTheme="minorEastAsia"/>
            <w:b w:val="0"/>
            <w:bCs w:val="0"/>
            <w:caps w:val="0"/>
            <w:kern w:val="2"/>
            <w:sz w:val="24"/>
            <w:szCs w:val="24"/>
            <w14:ligatures w14:val="standardContextual"/>
          </w:rPr>
          <w:tab/>
        </w:r>
        <w:r>
          <w:rPr>
            <w:rStyle w:val="Hyperlink"/>
          </w:rPr>
          <w:t>Notification Obligation</w:t>
        </w:r>
        <w:r>
          <w:rPr>
            <w:webHidden/>
          </w:rPr>
          <w:tab/>
        </w:r>
        <w:r>
          <w:rPr>
            <w:webHidden/>
          </w:rPr>
          <w:fldChar w:fldCharType="begin"/>
        </w:r>
        <w:r>
          <w:rPr>
            <w:webHidden/>
          </w:rPr>
          <w:instrText xml:space="preserve"> PAGEREF _Toc203035673 \h </w:instrText>
        </w:r>
        <w:r>
          <w:rPr>
            <w:webHidden/>
          </w:rPr>
        </w:r>
        <w:r>
          <w:rPr>
            <w:webHidden/>
          </w:rPr>
          <w:fldChar w:fldCharType="separate"/>
        </w:r>
        <w:r>
          <w:rPr>
            <w:webHidden/>
          </w:rPr>
          <w:t>39</w:t>
        </w:r>
        <w:r>
          <w:rPr>
            <w:webHidden/>
          </w:rPr>
          <w:fldChar w:fldCharType="end"/>
        </w:r>
      </w:hyperlink>
    </w:p>
    <w:p w14:paraId="559CE1AC" w14:textId="73AB7DFD">
      <w:pPr>
        <w:pStyle w:val="TOC2"/>
        <w:tabs>
          <w:tab w:val="left" w:pos="660"/>
          <w:tab w:val="right" w:leader="dot" w:pos="9016"/>
        </w:tabs>
        <w:rPr>
          <w:rFonts w:eastAsiaTheme="minorEastAsia"/>
          <w:smallCaps w:val="0"/>
          <w:kern w:val="2"/>
          <w:sz w:val="24"/>
          <w:szCs w:val="24"/>
          <w14:ligatures w14:val="standardContextual"/>
        </w:rPr>
      </w:pPr>
      <w:hyperlink w:anchor="_Toc203035674" w:history="1">
        <w:r>
          <w:rPr>
            <w:rStyle w:val="Hyperlink"/>
            <w:bCs/>
          </w:rPr>
          <w:t>a.</w:t>
        </w:r>
        <w:r>
          <w:rPr>
            <w:rFonts w:eastAsiaTheme="minorEastAsia"/>
            <w:smallCaps w:val="0"/>
            <w:kern w:val="2"/>
            <w:sz w:val="24"/>
            <w:szCs w:val="24"/>
            <w14:ligatures w14:val="standardContextual"/>
          </w:rPr>
          <w:tab/>
        </w:r>
        <w:r>
          <w:rPr>
            <w:rStyle w:val="Hyperlink"/>
          </w:rPr>
          <w:t>Notification at the Draft Stage</w:t>
        </w:r>
        <w:r>
          <w:rPr>
            <w:webHidden/>
          </w:rPr>
          <w:tab/>
        </w:r>
        <w:r>
          <w:rPr>
            <w:webHidden/>
          </w:rPr>
          <w:fldChar w:fldCharType="begin"/>
        </w:r>
        <w:r>
          <w:rPr>
            <w:webHidden/>
          </w:rPr>
          <w:instrText xml:space="preserve"> PAGEREF _Toc203035674 \h </w:instrText>
        </w:r>
        <w:r>
          <w:rPr>
            <w:webHidden/>
          </w:rPr>
        </w:r>
        <w:r>
          <w:rPr>
            <w:webHidden/>
          </w:rPr>
          <w:fldChar w:fldCharType="separate"/>
        </w:r>
        <w:r>
          <w:rPr>
            <w:webHidden/>
          </w:rPr>
          <w:t>39</w:t>
        </w:r>
        <w:r>
          <w:rPr>
            <w:webHidden/>
          </w:rPr>
          <w:fldChar w:fldCharType="end"/>
        </w:r>
      </w:hyperlink>
    </w:p>
    <w:p w14:paraId="7E8A6736" w14:textId="71519B8A">
      <w:pPr>
        <w:pStyle w:val="TOC2"/>
        <w:tabs>
          <w:tab w:val="left" w:pos="660"/>
          <w:tab w:val="right" w:leader="dot" w:pos="9016"/>
        </w:tabs>
        <w:rPr>
          <w:rFonts w:eastAsiaTheme="minorEastAsia"/>
          <w:smallCaps w:val="0"/>
          <w:kern w:val="2"/>
          <w:sz w:val="24"/>
          <w:szCs w:val="24"/>
          <w14:ligatures w14:val="standardContextual"/>
        </w:rPr>
      </w:pPr>
      <w:hyperlink w:anchor="_Toc203035675" w:history="1">
        <w:r>
          <w:rPr>
            <w:rStyle w:val="Hyperlink"/>
            <w:bCs/>
          </w:rPr>
          <w:t>b.</w:t>
        </w:r>
        <w:r>
          <w:rPr>
            <w:rFonts w:eastAsiaTheme="minorEastAsia"/>
            <w:smallCaps w:val="0"/>
            <w:kern w:val="2"/>
            <w:sz w:val="24"/>
            <w:szCs w:val="24"/>
            <w14:ligatures w14:val="standardContextual"/>
          </w:rPr>
          <w:tab/>
        </w:r>
        <w:r>
          <w:rPr>
            <w:rStyle w:val="Hyperlink"/>
          </w:rPr>
          <w:t>Notifications of New Technical Regulations</w:t>
        </w:r>
        <w:r>
          <w:rPr>
            <w:webHidden/>
          </w:rPr>
          <w:tab/>
        </w:r>
        <w:r>
          <w:rPr>
            <w:webHidden/>
          </w:rPr>
          <w:fldChar w:fldCharType="begin"/>
        </w:r>
        <w:r>
          <w:rPr>
            <w:webHidden/>
          </w:rPr>
          <w:instrText xml:space="preserve"> PAGEREF _Toc203035675 \h </w:instrText>
        </w:r>
        <w:r>
          <w:rPr>
            <w:webHidden/>
          </w:rPr>
        </w:r>
        <w:r>
          <w:rPr>
            <w:webHidden/>
          </w:rPr>
          <w:fldChar w:fldCharType="separate"/>
        </w:r>
        <w:r>
          <w:rPr>
            <w:webHidden/>
          </w:rPr>
          <w:t>41</w:t>
        </w:r>
        <w:r>
          <w:rPr>
            <w:webHidden/>
          </w:rPr>
          <w:fldChar w:fldCharType="end"/>
        </w:r>
      </w:hyperlink>
    </w:p>
    <w:p w14:paraId="1EA679C1" w14:textId="584C8B1D">
      <w:pPr>
        <w:pStyle w:val="TOC2"/>
        <w:tabs>
          <w:tab w:val="left" w:pos="660"/>
          <w:tab w:val="right" w:leader="dot" w:pos="9016"/>
        </w:tabs>
        <w:rPr>
          <w:rFonts w:eastAsiaTheme="minorEastAsia"/>
          <w:smallCaps w:val="0"/>
          <w:kern w:val="2"/>
          <w:sz w:val="24"/>
          <w:szCs w:val="24"/>
          <w14:ligatures w14:val="standardContextual"/>
        </w:rPr>
      </w:pPr>
      <w:hyperlink w:anchor="_Toc203035676" w:history="1">
        <w:r>
          <w:rPr>
            <w:rStyle w:val="Hyperlink"/>
            <w:bCs/>
          </w:rPr>
          <w:t>c.</w:t>
        </w:r>
        <w:r>
          <w:rPr>
            <w:rFonts w:eastAsiaTheme="minorEastAsia"/>
            <w:smallCaps w:val="0"/>
            <w:kern w:val="2"/>
            <w:sz w:val="24"/>
            <w:szCs w:val="24"/>
            <w14:ligatures w14:val="standardContextual"/>
          </w:rPr>
          <w:tab/>
        </w:r>
        <w:r>
          <w:rPr>
            <w:rStyle w:val="Hyperlink"/>
          </w:rPr>
          <w:t>Notification of the Full Text</w:t>
        </w:r>
        <w:r>
          <w:rPr>
            <w:webHidden/>
          </w:rPr>
          <w:tab/>
        </w:r>
        <w:r>
          <w:rPr>
            <w:webHidden/>
          </w:rPr>
          <w:fldChar w:fldCharType="begin"/>
        </w:r>
        <w:r>
          <w:rPr>
            <w:webHidden/>
          </w:rPr>
          <w:instrText xml:space="preserve"> PAGEREF _Toc203035676 \h </w:instrText>
        </w:r>
        <w:r>
          <w:rPr>
            <w:webHidden/>
          </w:rPr>
        </w:r>
        <w:r>
          <w:rPr>
            <w:webHidden/>
          </w:rPr>
          <w:fldChar w:fldCharType="separate"/>
        </w:r>
        <w:r>
          <w:rPr>
            <w:webHidden/>
          </w:rPr>
          <w:t>43</w:t>
        </w:r>
        <w:r>
          <w:rPr>
            <w:webHidden/>
          </w:rPr>
          <w:fldChar w:fldCharType="end"/>
        </w:r>
      </w:hyperlink>
    </w:p>
    <w:p w14:paraId="7399B3C2" w14:textId="37BC6B70">
      <w:pPr>
        <w:pStyle w:val="TOC2"/>
        <w:tabs>
          <w:tab w:val="left" w:pos="660"/>
          <w:tab w:val="right" w:leader="dot" w:pos="9016"/>
        </w:tabs>
        <w:rPr>
          <w:rFonts w:eastAsiaTheme="minorEastAsia"/>
          <w:smallCaps w:val="0"/>
          <w:kern w:val="2"/>
          <w:sz w:val="24"/>
          <w:szCs w:val="24"/>
          <w14:ligatures w14:val="standardContextual"/>
        </w:rPr>
      </w:pPr>
      <w:hyperlink w:anchor="_Toc203035677" w:history="1">
        <w:r>
          <w:rPr>
            <w:rStyle w:val="Hyperlink"/>
            <w:bCs/>
          </w:rPr>
          <w:t>d.</w:t>
        </w:r>
        <w:r>
          <w:rPr>
            <w:rFonts w:eastAsiaTheme="minorEastAsia"/>
            <w:smallCaps w:val="0"/>
            <w:kern w:val="2"/>
            <w:sz w:val="24"/>
            <w:szCs w:val="24"/>
            <w14:ligatures w14:val="standardContextual"/>
          </w:rPr>
          <w:tab/>
        </w:r>
        <w:r>
          <w:rPr>
            <w:rStyle w:val="Hyperlink"/>
          </w:rPr>
          <w:t>Notification of Concerned Basic Provisions</w:t>
        </w:r>
        <w:r>
          <w:rPr>
            <w:webHidden/>
          </w:rPr>
          <w:tab/>
        </w:r>
        <w:r>
          <w:rPr>
            <w:webHidden/>
          </w:rPr>
          <w:fldChar w:fldCharType="begin"/>
        </w:r>
        <w:r>
          <w:rPr>
            <w:webHidden/>
          </w:rPr>
          <w:instrText xml:space="preserve"> PAGEREF _Toc203035677 \h </w:instrText>
        </w:r>
        <w:r>
          <w:rPr>
            <w:webHidden/>
          </w:rPr>
        </w:r>
        <w:r>
          <w:rPr>
            <w:webHidden/>
          </w:rPr>
          <w:fldChar w:fldCharType="separate"/>
        </w:r>
        <w:r>
          <w:rPr>
            <w:webHidden/>
          </w:rPr>
          <w:t>44</w:t>
        </w:r>
        <w:r>
          <w:rPr>
            <w:webHidden/>
          </w:rPr>
          <w:fldChar w:fldCharType="end"/>
        </w:r>
      </w:hyperlink>
    </w:p>
    <w:p w14:paraId="6A9200BA" w14:textId="09F270C1">
      <w:pPr>
        <w:pStyle w:val="TOC2"/>
        <w:tabs>
          <w:tab w:val="left" w:pos="660"/>
          <w:tab w:val="right" w:leader="dot" w:pos="9016"/>
        </w:tabs>
        <w:rPr>
          <w:rFonts w:eastAsiaTheme="minorEastAsia"/>
          <w:smallCaps w:val="0"/>
          <w:kern w:val="2"/>
          <w:sz w:val="24"/>
          <w:szCs w:val="24"/>
          <w14:ligatures w14:val="standardContextual"/>
        </w:rPr>
      </w:pPr>
      <w:hyperlink w:anchor="_Toc203035678" w:history="1">
        <w:r>
          <w:rPr>
            <w:rStyle w:val="Hyperlink"/>
            <w:bCs/>
          </w:rPr>
          <w:t>e.</w:t>
        </w:r>
        <w:r>
          <w:rPr>
            <w:rFonts w:eastAsiaTheme="minorEastAsia"/>
            <w:smallCaps w:val="0"/>
            <w:kern w:val="2"/>
            <w:sz w:val="24"/>
            <w:szCs w:val="24"/>
            <w14:ligatures w14:val="standardContextual"/>
          </w:rPr>
          <w:tab/>
        </w:r>
        <w:r>
          <w:rPr>
            <w:rStyle w:val="Hyperlink"/>
          </w:rPr>
          <w:t>Re-Notification During the Standstill Period</w:t>
        </w:r>
        <w:r>
          <w:rPr>
            <w:webHidden/>
          </w:rPr>
          <w:tab/>
        </w:r>
        <w:r>
          <w:rPr>
            <w:webHidden/>
          </w:rPr>
          <w:fldChar w:fldCharType="begin"/>
        </w:r>
        <w:r>
          <w:rPr>
            <w:webHidden/>
          </w:rPr>
          <w:instrText xml:space="preserve"> PAGEREF _Toc203035678 \h </w:instrText>
        </w:r>
        <w:r>
          <w:rPr>
            <w:webHidden/>
          </w:rPr>
        </w:r>
        <w:r>
          <w:rPr>
            <w:webHidden/>
          </w:rPr>
          <w:fldChar w:fldCharType="separate"/>
        </w:r>
        <w:r>
          <w:rPr>
            <w:webHidden/>
          </w:rPr>
          <w:t>45</w:t>
        </w:r>
        <w:r>
          <w:rPr>
            <w:webHidden/>
          </w:rPr>
          <w:fldChar w:fldCharType="end"/>
        </w:r>
      </w:hyperlink>
    </w:p>
    <w:p w14:paraId="7E32C518" w14:textId="7B625DD7">
      <w:pPr>
        <w:pStyle w:val="TOC1"/>
        <w:tabs>
          <w:tab w:val="left" w:pos="660"/>
          <w:tab w:val="right" w:leader="dot" w:pos="9016"/>
        </w:tabs>
        <w:rPr>
          <w:rFonts w:eastAsiaTheme="minorEastAsia"/>
          <w:b w:val="0"/>
          <w:bCs w:val="0"/>
          <w:caps w:val="0"/>
          <w:kern w:val="2"/>
          <w:sz w:val="24"/>
          <w:szCs w:val="24"/>
          <w14:ligatures w14:val="standardContextual"/>
        </w:rPr>
      </w:pPr>
      <w:hyperlink w:anchor="_Toc203035679" w:history="1">
        <w:r>
          <w:rPr>
            <w:rStyle w:val="Hyperlink"/>
          </w:rPr>
          <w:t>III.</w:t>
        </w:r>
        <w:r>
          <w:rPr>
            <w:rFonts w:eastAsiaTheme="minorEastAsia"/>
            <w:b w:val="0"/>
            <w:bCs w:val="0"/>
            <w:caps w:val="0"/>
            <w:kern w:val="2"/>
            <w:sz w:val="24"/>
            <w:szCs w:val="24"/>
            <w14:ligatures w14:val="standardContextual"/>
          </w:rPr>
          <w:tab/>
        </w:r>
        <w:r>
          <w:rPr>
            <w:rStyle w:val="Hyperlink"/>
          </w:rPr>
          <w:t>Exceptions to the Obligation to Notify</w:t>
        </w:r>
        <w:r>
          <w:rPr>
            <w:webHidden/>
          </w:rPr>
          <w:tab/>
        </w:r>
        <w:r>
          <w:rPr>
            <w:webHidden/>
          </w:rPr>
          <w:fldChar w:fldCharType="begin"/>
        </w:r>
        <w:r>
          <w:rPr>
            <w:webHidden/>
          </w:rPr>
          <w:instrText xml:space="preserve"> PAGEREF _Toc203035679 \h </w:instrText>
        </w:r>
        <w:r>
          <w:rPr>
            <w:webHidden/>
          </w:rPr>
        </w:r>
        <w:r>
          <w:rPr>
            <w:webHidden/>
          </w:rPr>
          <w:fldChar w:fldCharType="separate"/>
        </w:r>
        <w:r>
          <w:rPr>
            <w:webHidden/>
          </w:rPr>
          <w:t>47</w:t>
        </w:r>
        <w:r>
          <w:rPr>
            <w:webHidden/>
          </w:rPr>
          <w:fldChar w:fldCharType="end"/>
        </w:r>
      </w:hyperlink>
    </w:p>
    <w:p w14:paraId="7CC02EA3" w14:textId="01C3FBA0">
      <w:pPr>
        <w:pStyle w:val="TOC2"/>
        <w:tabs>
          <w:tab w:val="left" w:pos="660"/>
          <w:tab w:val="right" w:leader="dot" w:pos="9016"/>
        </w:tabs>
        <w:rPr>
          <w:rFonts w:eastAsiaTheme="minorEastAsia"/>
          <w:smallCaps w:val="0"/>
          <w:kern w:val="2"/>
          <w:sz w:val="24"/>
          <w:szCs w:val="24"/>
          <w14:ligatures w14:val="standardContextual"/>
        </w:rPr>
      </w:pPr>
      <w:hyperlink w:anchor="_Toc203035680" w:history="1">
        <w:r>
          <w:rPr>
            <w:rStyle w:val="Hyperlink"/>
            <w:bCs/>
          </w:rPr>
          <w:t>a.</w:t>
        </w:r>
        <w:r>
          <w:rPr>
            <w:rFonts w:eastAsiaTheme="minorEastAsia"/>
            <w:smallCaps w:val="0"/>
            <w:kern w:val="2"/>
            <w:sz w:val="24"/>
            <w:szCs w:val="24"/>
            <w14:ligatures w14:val="standardContextual"/>
          </w:rPr>
          <w:tab/>
        </w:r>
        <w:r>
          <w:rPr>
            <w:rStyle w:val="Hyperlink"/>
          </w:rPr>
          <w:t>Transposition of a European Act</w:t>
        </w:r>
        <w:r>
          <w:rPr>
            <w:webHidden/>
          </w:rPr>
          <w:tab/>
        </w:r>
        <w:r>
          <w:rPr>
            <w:webHidden/>
          </w:rPr>
          <w:fldChar w:fldCharType="begin"/>
        </w:r>
        <w:r>
          <w:rPr>
            <w:webHidden/>
          </w:rPr>
          <w:instrText xml:space="preserve"> PAGEREF _Toc203035680 \h </w:instrText>
        </w:r>
        <w:r>
          <w:rPr>
            <w:webHidden/>
          </w:rPr>
        </w:r>
        <w:r>
          <w:rPr>
            <w:webHidden/>
          </w:rPr>
          <w:fldChar w:fldCharType="separate"/>
        </w:r>
        <w:r>
          <w:rPr>
            <w:webHidden/>
          </w:rPr>
          <w:t>47</w:t>
        </w:r>
        <w:r>
          <w:rPr>
            <w:webHidden/>
          </w:rPr>
          <w:fldChar w:fldCharType="end"/>
        </w:r>
      </w:hyperlink>
    </w:p>
    <w:p w14:paraId="73CA2C68" w14:textId="27F826B4">
      <w:pPr>
        <w:pStyle w:val="TOC2"/>
        <w:tabs>
          <w:tab w:val="left" w:pos="660"/>
          <w:tab w:val="right" w:leader="dot" w:pos="9016"/>
        </w:tabs>
        <w:rPr>
          <w:rFonts w:eastAsiaTheme="minorEastAsia"/>
          <w:smallCaps w:val="0"/>
          <w:kern w:val="2"/>
          <w:sz w:val="24"/>
          <w:szCs w:val="24"/>
          <w14:ligatures w14:val="standardContextual"/>
        </w:rPr>
      </w:pPr>
      <w:hyperlink w:anchor="_Toc203035681" w:history="1">
        <w:r>
          <w:rPr>
            <w:rStyle w:val="Hyperlink"/>
            <w:bCs/>
          </w:rPr>
          <w:t>b.</w:t>
        </w:r>
        <w:r>
          <w:rPr>
            <w:rFonts w:eastAsiaTheme="minorEastAsia"/>
            <w:smallCaps w:val="0"/>
            <w:kern w:val="2"/>
            <w:sz w:val="24"/>
            <w:szCs w:val="24"/>
            <w14:ligatures w14:val="standardContextual"/>
          </w:rPr>
          <w:tab/>
        </w:r>
        <w:r>
          <w:rPr>
            <w:rStyle w:val="Hyperlink"/>
          </w:rPr>
          <w:t>Use of a Safeguard Clause</w:t>
        </w:r>
        <w:r>
          <w:rPr>
            <w:webHidden/>
          </w:rPr>
          <w:tab/>
        </w:r>
        <w:r>
          <w:rPr>
            <w:webHidden/>
          </w:rPr>
          <w:fldChar w:fldCharType="begin"/>
        </w:r>
        <w:r>
          <w:rPr>
            <w:webHidden/>
          </w:rPr>
          <w:instrText xml:space="preserve"> PAGEREF _Toc203035681 \h </w:instrText>
        </w:r>
        <w:r>
          <w:rPr>
            <w:webHidden/>
          </w:rPr>
        </w:r>
        <w:r>
          <w:rPr>
            <w:webHidden/>
          </w:rPr>
          <w:fldChar w:fldCharType="separate"/>
        </w:r>
        <w:r>
          <w:rPr>
            <w:webHidden/>
          </w:rPr>
          <w:t>49</w:t>
        </w:r>
        <w:r>
          <w:rPr>
            <w:webHidden/>
          </w:rPr>
          <w:fldChar w:fldCharType="end"/>
        </w:r>
      </w:hyperlink>
    </w:p>
    <w:p w14:paraId="2E16821A" w14:textId="37A0CCE7">
      <w:pPr>
        <w:pStyle w:val="TOC2"/>
        <w:tabs>
          <w:tab w:val="left" w:pos="660"/>
          <w:tab w:val="right" w:leader="dot" w:pos="9016"/>
        </w:tabs>
        <w:rPr>
          <w:rFonts w:eastAsiaTheme="minorEastAsia"/>
          <w:smallCaps w:val="0"/>
          <w:kern w:val="2"/>
          <w:sz w:val="24"/>
          <w:szCs w:val="24"/>
          <w14:ligatures w14:val="standardContextual"/>
        </w:rPr>
      </w:pPr>
      <w:hyperlink w:anchor="_Toc203035682" w:history="1">
        <w:r>
          <w:rPr>
            <w:rStyle w:val="Hyperlink"/>
            <w:bCs/>
          </w:rPr>
          <w:t>c.</w:t>
        </w:r>
        <w:r>
          <w:rPr>
            <w:rFonts w:eastAsiaTheme="minorEastAsia"/>
            <w:smallCaps w:val="0"/>
            <w:kern w:val="2"/>
            <w:sz w:val="24"/>
            <w:szCs w:val="24"/>
            <w14:ligatures w14:val="standardContextual"/>
          </w:rPr>
          <w:tab/>
        </w:r>
        <w:r>
          <w:rPr>
            <w:rStyle w:val="Hyperlink"/>
          </w:rPr>
          <w:t>Amendment in Accordance with a Commission Request</w:t>
        </w:r>
        <w:r>
          <w:rPr>
            <w:webHidden/>
          </w:rPr>
          <w:tab/>
        </w:r>
        <w:r>
          <w:rPr>
            <w:webHidden/>
          </w:rPr>
          <w:fldChar w:fldCharType="begin"/>
        </w:r>
        <w:r>
          <w:rPr>
            <w:webHidden/>
          </w:rPr>
          <w:instrText xml:space="preserve"> PAGEREF _Toc203035682 \h </w:instrText>
        </w:r>
        <w:r>
          <w:rPr>
            <w:webHidden/>
          </w:rPr>
        </w:r>
        <w:r>
          <w:rPr>
            <w:webHidden/>
          </w:rPr>
          <w:fldChar w:fldCharType="separate"/>
        </w:r>
        <w:r>
          <w:rPr>
            <w:webHidden/>
          </w:rPr>
          <w:t>51</w:t>
        </w:r>
        <w:r>
          <w:rPr>
            <w:webHidden/>
          </w:rPr>
          <w:fldChar w:fldCharType="end"/>
        </w:r>
      </w:hyperlink>
    </w:p>
    <w:p w14:paraId="3089DDB6" w14:textId="5A964DBB">
      <w:pPr>
        <w:pStyle w:val="TOC2"/>
        <w:tabs>
          <w:tab w:val="left" w:pos="660"/>
          <w:tab w:val="right" w:leader="dot" w:pos="9016"/>
        </w:tabs>
        <w:rPr>
          <w:rFonts w:eastAsiaTheme="minorEastAsia"/>
          <w:smallCaps w:val="0"/>
          <w:kern w:val="2"/>
          <w:sz w:val="24"/>
          <w:szCs w:val="24"/>
          <w14:ligatures w14:val="standardContextual"/>
        </w:rPr>
      </w:pPr>
      <w:hyperlink w:anchor="_Toc203035683" w:history="1">
        <w:r>
          <w:rPr>
            <w:rStyle w:val="Hyperlink"/>
          </w:rPr>
          <w:t>a.</w:t>
        </w:r>
        <w:r>
          <w:rPr>
            <w:rFonts w:eastAsiaTheme="minorEastAsia"/>
            <w:smallCaps w:val="0"/>
            <w:kern w:val="2"/>
            <w:sz w:val="24"/>
            <w:szCs w:val="24"/>
            <w14:ligatures w14:val="standardContextual"/>
          </w:rPr>
          <w:tab/>
        </w:r>
        <w:r>
          <w:rPr>
            <w:rStyle w:val="Hyperlink"/>
          </w:rPr>
          <w:t>Circumstances That Do Not Constitute Exceptions</w:t>
        </w:r>
        <w:r>
          <w:rPr>
            <w:webHidden/>
          </w:rPr>
          <w:tab/>
        </w:r>
        <w:r>
          <w:rPr>
            <w:webHidden/>
          </w:rPr>
          <w:fldChar w:fldCharType="begin"/>
        </w:r>
        <w:r>
          <w:rPr>
            <w:webHidden/>
          </w:rPr>
          <w:instrText xml:space="preserve"> PAGEREF _Toc203035683 \h </w:instrText>
        </w:r>
        <w:r>
          <w:rPr>
            <w:webHidden/>
          </w:rPr>
        </w:r>
        <w:r>
          <w:rPr>
            <w:webHidden/>
          </w:rPr>
          <w:fldChar w:fldCharType="separate"/>
        </w:r>
        <w:r>
          <w:rPr>
            <w:webHidden/>
          </w:rPr>
          <w:t>52</w:t>
        </w:r>
        <w:r>
          <w:rPr>
            <w:webHidden/>
          </w:rPr>
          <w:fldChar w:fldCharType="end"/>
        </w:r>
      </w:hyperlink>
    </w:p>
    <w:p w14:paraId="340B66C9" w14:textId="65DEBB09">
      <w:pPr>
        <w:pStyle w:val="TOC1"/>
        <w:tabs>
          <w:tab w:val="left" w:pos="660"/>
          <w:tab w:val="right" w:leader="dot" w:pos="9016"/>
        </w:tabs>
        <w:rPr>
          <w:rFonts w:eastAsiaTheme="minorEastAsia"/>
          <w:b w:val="0"/>
          <w:bCs w:val="0"/>
          <w:caps w:val="0"/>
          <w:kern w:val="2"/>
          <w:sz w:val="24"/>
          <w:szCs w:val="24"/>
          <w14:ligatures w14:val="standardContextual"/>
        </w:rPr>
      </w:pPr>
      <w:hyperlink w:anchor="_Toc203035684" w:history="1">
        <w:r>
          <w:rPr>
            <w:rStyle w:val="Hyperlink"/>
          </w:rPr>
          <w:t>IV.</w:t>
        </w:r>
        <w:r>
          <w:rPr>
            <w:rFonts w:eastAsiaTheme="minorEastAsia"/>
            <w:b w:val="0"/>
            <w:bCs w:val="0"/>
            <w:caps w:val="0"/>
            <w:kern w:val="2"/>
            <w:sz w:val="24"/>
            <w:szCs w:val="24"/>
            <w14:ligatures w14:val="standardContextual"/>
          </w:rPr>
          <w:tab/>
        </w:r>
        <w:r>
          <w:rPr>
            <w:rStyle w:val="Hyperlink"/>
          </w:rPr>
          <w:t>Inapplicability</w:t>
        </w:r>
        <w:r>
          <w:rPr>
            <w:webHidden/>
          </w:rPr>
          <w:tab/>
        </w:r>
        <w:r>
          <w:rPr>
            <w:webHidden/>
          </w:rPr>
          <w:fldChar w:fldCharType="begin"/>
        </w:r>
        <w:r>
          <w:rPr>
            <w:webHidden/>
          </w:rPr>
          <w:instrText xml:space="preserve"> PAGEREF _Toc203035684 \h </w:instrText>
        </w:r>
        <w:r>
          <w:rPr>
            <w:webHidden/>
          </w:rPr>
        </w:r>
        <w:r>
          <w:rPr>
            <w:webHidden/>
          </w:rPr>
          <w:fldChar w:fldCharType="separate"/>
        </w:r>
        <w:r>
          <w:rPr>
            <w:webHidden/>
          </w:rPr>
          <w:t>54</w:t>
        </w:r>
        <w:r>
          <w:rPr>
            <w:webHidden/>
          </w:rPr>
          <w:fldChar w:fldCharType="end"/>
        </w:r>
      </w:hyperlink>
    </w:p>
    <w:p w14:paraId="3472F46D" w14:textId="5B898B42">
      <w:pPr>
        <w:pStyle w:val="TOC2"/>
        <w:tabs>
          <w:tab w:val="left" w:pos="660"/>
          <w:tab w:val="right" w:leader="dot" w:pos="9016"/>
        </w:tabs>
        <w:rPr>
          <w:rFonts w:eastAsiaTheme="minorEastAsia"/>
          <w:smallCaps w:val="0"/>
          <w:kern w:val="2"/>
          <w:sz w:val="24"/>
          <w:szCs w:val="24"/>
          <w14:ligatures w14:val="standardContextual"/>
        </w:rPr>
      </w:pPr>
      <w:hyperlink w:anchor="_Toc203035685" w:history="1">
        <w:r>
          <w:rPr>
            <w:rStyle w:val="Hyperlink"/>
            <w:bCs/>
          </w:rPr>
          <w:t>a.</w:t>
        </w:r>
        <w:r>
          <w:rPr>
            <w:rFonts w:eastAsiaTheme="minorEastAsia"/>
            <w:smallCaps w:val="0"/>
            <w:kern w:val="2"/>
            <w:sz w:val="24"/>
            <w:szCs w:val="24"/>
            <w14:ligatures w14:val="standardContextual"/>
          </w:rPr>
          <w:tab/>
        </w:r>
        <w:r>
          <w:rPr>
            <w:rStyle w:val="Hyperlink"/>
          </w:rPr>
          <w:t>Inapplicability in the Event of Non-Notification</w:t>
        </w:r>
        <w:r>
          <w:rPr>
            <w:webHidden/>
          </w:rPr>
          <w:tab/>
        </w:r>
        <w:r>
          <w:rPr>
            <w:webHidden/>
          </w:rPr>
          <w:fldChar w:fldCharType="begin"/>
        </w:r>
        <w:r>
          <w:rPr>
            <w:webHidden/>
          </w:rPr>
          <w:instrText xml:space="preserve"> PAGEREF _Toc203035685 \h </w:instrText>
        </w:r>
        <w:r>
          <w:rPr>
            <w:webHidden/>
          </w:rPr>
        </w:r>
        <w:r>
          <w:rPr>
            <w:webHidden/>
          </w:rPr>
          <w:fldChar w:fldCharType="separate"/>
        </w:r>
        <w:r>
          <w:rPr>
            <w:webHidden/>
          </w:rPr>
          <w:t>54</w:t>
        </w:r>
        <w:r>
          <w:rPr>
            <w:webHidden/>
          </w:rPr>
          <w:fldChar w:fldCharType="end"/>
        </w:r>
      </w:hyperlink>
    </w:p>
    <w:p w14:paraId="3917D769" w14:textId="59C074AB">
      <w:pPr>
        <w:pStyle w:val="TOC2"/>
        <w:tabs>
          <w:tab w:val="left" w:pos="660"/>
          <w:tab w:val="right" w:leader="dot" w:pos="9016"/>
        </w:tabs>
        <w:rPr>
          <w:rFonts w:eastAsiaTheme="minorEastAsia"/>
          <w:smallCaps w:val="0"/>
          <w:kern w:val="2"/>
          <w:sz w:val="24"/>
          <w:szCs w:val="24"/>
          <w14:ligatures w14:val="standardContextual"/>
        </w:rPr>
      </w:pPr>
      <w:hyperlink w:anchor="_Toc203035686" w:history="1">
        <w:r>
          <w:rPr>
            <w:rStyle w:val="Hyperlink"/>
            <w:bCs/>
          </w:rPr>
          <w:t>b.</w:t>
        </w:r>
        <w:r>
          <w:rPr>
            <w:rFonts w:eastAsiaTheme="minorEastAsia"/>
            <w:smallCaps w:val="0"/>
            <w:kern w:val="2"/>
            <w:sz w:val="24"/>
            <w:szCs w:val="24"/>
            <w14:ligatures w14:val="standardContextual"/>
          </w:rPr>
          <w:tab/>
        </w:r>
        <w:r>
          <w:rPr>
            <w:rStyle w:val="Hyperlink"/>
          </w:rPr>
          <w:t>Inapplicability in the Event of Adoption During the Standstill Period</w:t>
        </w:r>
        <w:r>
          <w:rPr>
            <w:webHidden/>
          </w:rPr>
          <w:tab/>
        </w:r>
        <w:r>
          <w:rPr>
            <w:webHidden/>
          </w:rPr>
          <w:fldChar w:fldCharType="begin"/>
        </w:r>
        <w:r>
          <w:rPr>
            <w:webHidden/>
          </w:rPr>
          <w:instrText xml:space="preserve"> PAGEREF _Toc203035686 \h </w:instrText>
        </w:r>
        <w:r>
          <w:rPr>
            <w:webHidden/>
          </w:rPr>
        </w:r>
        <w:r>
          <w:rPr>
            <w:webHidden/>
          </w:rPr>
          <w:fldChar w:fldCharType="separate"/>
        </w:r>
        <w:r>
          <w:rPr>
            <w:webHidden/>
          </w:rPr>
          <w:t>58</w:t>
        </w:r>
        <w:r>
          <w:rPr>
            <w:webHidden/>
          </w:rPr>
          <w:fldChar w:fldCharType="end"/>
        </w:r>
      </w:hyperlink>
    </w:p>
    <w:p w14:paraId="62AF9A81" w14:textId="5B90334F">
      <w:pPr>
        <w:pStyle w:val="TOC2"/>
        <w:tabs>
          <w:tab w:val="left" w:pos="660"/>
          <w:tab w:val="right" w:leader="dot" w:pos="9016"/>
        </w:tabs>
        <w:rPr>
          <w:rFonts w:eastAsiaTheme="minorEastAsia"/>
          <w:smallCaps w:val="0"/>
          <w:kern w:val="2"/>
          <w:sz w:val="24"/>
          <w:szCs w:val="24"/>
          <w14:ligatures w14:val="standardContextual"/>
        </w:rPr>
      </w:pPr>
      <w:hyperlink w:anchor="_Toc203035687" w:history="1">
        <w:r>
          <w:rPr>
            <w:rStyle w:val="Hyperlink"/>
            <w:bCs/>
          </w:rPr>
          <w:t>c.</w:t>
        </w:r>
        <w:r>
          <w:rPr>
            <w:rFonts w:eastAsiaTheme="minorEastAsia"/>
            <w:smallCaps w:val="0"/>
            <w:kern w:val="2"/>
            <w:sz w:val="24"/>
            <w:szCs w:val="24"/>
            <w14:ligatures w14:val="standardContextual"/>
          </w:rPr>
          <w:tab/>
        </w:r>
        <w:r>
          <w:rPr>
            <w:rStyle w:val="Hyperlink"/>
          </w:rPr>
          <w:t>Clarification as to the Effect of Inapplicability</w:t>
        </w:r>
        <w:r>
          <w:rPr>
            <w:webHidden/>
          </w:rPr>
          <w:tab/>
        </w:r>
        <w:r>
          <w:rPr>
            <w:webHidden/>
          </w:rPr>
          <w:fldChar w:fldCharType="begin"/>
        </w:r>
        <w:r>
          <w:rPr>
            <w:webHidden/>
          </w:rPr>
          <w:instrText xml:space="preserve"> PAGEREF _Toc203035687 \h </w:instrText>
        </w:r>
        <w:r>
          <w:rPr>
            <w:webHidden/>
          </w:rPr>
        </w:r>
        <w:r>
          <w:rPr>
            <w:webHidden/>
          </w:rPr>
          <w:fldChar w:fldCharType="separate"/>
        </w:r>
        <w:r>
          <w:rPr>
            <w:webHidden/>
          </w:rPr>
          <w:t>60</w:t>
        </w:r>
        <w:r>
          <w:rPr>
            <w:webHidden/>
          </w:rPr>
          <w:fldChar w:fldCharType="end"/>
        </w:r>
      </w:hyperlink>
    </w:p>
    <w:p w14:paraId="05C72C05" w14:textId="53813097">
      <w:pPr>
        <w:pStyle w:val="TOC2"/>
        <w:tabs>
          <w:tab w:val="left" w:pos="660"/>
          <w:tab w:val="right" w:leader="dot" w:pos="9016"/>
        </w:tabs>
        <w:rPr>
          <w:rFonts w:eastAsiaTheme="minorEastAsia"/>
          <w:smallCaps w:val="0"/>
          <w:kern w:val="2"/>
          <w:sz w:val="24"/>
          <w:szCs w:val="24"/>
          <w14:ligatures w14:val="standardContextual"/>
        </w:rPr>
      </w:pPr>
      <w:hyperlink w:anchor="_Toc203035688" w:history="1">
        <w:r>
          <w:rPr>
            <w:rStyle w:val="Hyperlink"/>
            <w:bCs/>
          </w:rPr>
          <w:t>d.</w:t>
        </w:r>
        <w:r>
          <w:rPr>
            <w:rFonts w:eastAsiaTheme="minorEastAsia"/>
            <w:smallCaps w:val="0"/>
            <w:kern w:val="2"/>
            <w:sz w:val="24"/>
            <w:szCs w:val="24"/>
            <w14:ligatures w14:val="standardContextual"/>
          </w:rPr>
          <w:tab/>
        </w:r>
        <w:r>
          <w:rPr>
            <w:rStyle w:val="Hyperlink"/>
          </w:rPr>
          <w:t>Infringement Procedure</w:t>
        </w:r>
        <w:r>
          <w:rPr>
            <w:webHidden/>
          </w:rPr>
          <w:tab/>
        </w:r>
        <w:r>
          <w:rPr>
            <w:webHidden/>
          </w:rPr>
          <w:fldChar w:fldCharType="begin"/>
        </w:r>
        <w:r>
          <w:rPr>
            <w:webHidden/>
          </w:rPr>
          <w:instrText xml:space="preserve"> PAGEREF _Toc203035688 \h </w:instrText>
        </w:r>
        <w:r>
          <w:rPr>
            <w:webHidden/>
          </w:rPr>
        </w:r>
        <w:r>
          <w:rPr>
            <w:webHidden/>
          </w:rPr>
          <w:fldChar w:fldCharType="separate"/>
        </w:r>
        <w:r>
          <w:rPr>
            <w:webHidden/>
          </w:rPr>
          <w:t>61</w:t>
        </w:r>
        <w:r>
          <w:rPr>
            <w:webHidden/>
          </w:rPr>
          <w:fldChar w:fldCharType="end"/>
        </w:r>
      </w:hyperlink>
    </w:p>
    <w:p w14:paraId="58AB357B" w14:textId="44F07789">
      <w:pPr>
        <w:pStyle w:val="P68B1DB1-Normal4"/>
        <w:spacing w:line="278" w:lineRule="auto"/>
        <w:rPr>
          <w:rFonts w:ascii="Times New Roman" w:hAnsi="Times New Roman" w:cs="Times New Roman"/>
        </w:rPr>
      </w:pPr>
      <w:r>
        <w:rPr>
          <w:rFonts w:ascii="Times New Roman" w:hAnsi="Times New Roman" w:cs="Times New Roman"/>
        </w:rPr>
        <w:fldChar w:fldCharType="end"/>
      </w:r>
    </w:p>
    <w:p w14:paraId="0EC5AF49" w14:textId="77777777">
      <w:pPr>
        <w:spacing w:line="278" w:lineRule="auto"/>
        <w:rPr>
          <w:sz w:val="20"/>
        </w:rPr>
      </w:pPr>
      <w:r>
        <w:br w:type="page"/>
      </w:r>
    </w:p>
    <w:p w14:paraId="6635D92A" w14:textId="484720D6">
      <w:pPr>
        <w:pStyle w:val="P68B1DB1-Normal4"/>
        <w:spacing w:line="278" w:lineRule="auto"/>
        <w:jc w:val="both"/>
      </w:pPr>
      <w:r>
        <w:rPr>
          <w:rFonts w:ascii="Times New Roman" w:hAnsi="Times New Roman" w:cs="Times New Roman"/>
          <w:sz w:val="24"/>
          <w:szCs w:val="24"/>
        </w:rPr>
        <w:t xml:space="preserve">Le decisioni dalle quali sono stati compilati estratti nel presente documento si riferiscono a direttive successive che prevedono una procedura d'informazione nel settore delle regolamentazioni tecniche. La seguente tabella di equivalenza illustra la continuità delle loro disposizioni principali</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w:t>
      </w:r>
    </w:p>
    <w:p w14:paraId="7EF257CD" w14:textId="77777777">
      <w:pPr>
        <w:spacing w:after="0" w:line="240" w:lineRule="auto"/>
        <w:jc w:val="both"/>
        <w:rPr>
          <w:rFonts w:ascii="Times New Roman" w:hAnsi="Times New Roman" w:cs="Times New Roman"/>
          <w:sz w:val="24"/>
          <w:szCs w:val="24"/>
        </w:rPr>
      </w:pPr>
    </w:p>
    <w:p w14:paraId="31BFF92A" w14:textId="3BC8AB17">
      <w:pPr>
        <w:pStyle w:val="P68B1DB1-Normal5"/>
        <w:spacing w:after="0" w:line="240" w:lineRule="auto"/>
        <w:jc w:val="center"/>
        <w:rPr>
          <w:bCs/>
        </w:rPr>
      </w:pPr>
      <w:r>
        <w:t xml:space="preserve">Tabella di equivalenza delle disposizioni principali </w:t>
      </w:r>
    </w:p>
    <w:p w14:paraId="74F41B86" w14:textId="7258661E">
      <w:pPr>
        <w:pStyle w:val="P68B1DB1-Normal5"/>
        <w:spacing w:after="0" w:line="240" w:lineRule="auto"/>
        <w:jc w:val="center"/>
        <w:rPr>
          <w:bCs/>
        </w:rPr>
      </w:pPr>
      <w:r>
        <w:t xml:space="preserve">Direttive (UE) 2015/1535, 98/34/CE e 83/189/CEE</w:t>
      </w:r>
    </w:p>
    <w:p w14:paraId="3AD91D64" w14:textId="77777777">
      <w:pPr>
        <w:spacing w:after="0" w:line="240" w:lineRule="auto"/>
      </w:pPr>
    </w:p>
    <w:tbl>
      <w:tblPr>
        <w:tblStyle w:val="TableGrid"/>
        <w:tblW w:w="10206" w:type="dxa"/>
        <w:tblInd w:w="-572" w:type="dxa"/>
        <w:tblLook w:val="04A0" w:firstRow="1" w:lastRow="0" w:firstColumn="1" w:lastColumn="0" w:noHBand="0" w:noVBand="1"/>
      </w:tblPr>
      <w:tblGrid>
        <w:gridCol w:w="3119"/>
        <w:gridCol w:w="2457"/>
        <w:gridCol w:w="2315"/>
        <w:gridCol w:w="2315"/>
      </w:tblGrid>
      <w:tr w14:paraId="3A08F315" w14:textId="77777777">
        <w:trPr>
          <w:trHeight w:val="599"/>
        </w:trPr>
        <w:tc>
          <w:tcPr>
            <w:tcW w:w="3119" w:type="dxa"/>
            <w:shd w:val="clear" w:color="auto" w:fill="auto"/>
          </w:tcPr>
          <w:p w14:paraId="364945D8" w14:textId="2E5772D6">
            <w:pPr>
              <w:pStyle w:val="P68B1DB1-Normal6"/>
              <w:spacing w:line="240" w:lineRule="auto"/>
              <w:rPr>
                <w:bCs/>
              </w:rPr>
            </w:pPr>
            <w:r>
              <w:t xml:space="preserve">I contenuti delle norme</w:t>
            </w:r>
          </w:p>
        </w:tc>
        <w:tc>
          <w:tcPr>
            <w:tcW w:w="2457" w:type="dxa"/>
            <w:shd w:val="clear" w:color="auto" w:fill="auto"/>
          </w:tcPr>
          <w:p w14:paraId="34093202" w14:textId="25E58692">
            <w:pPr>
              <w:spacing w:line="240" w:lineRule="auto"/>
              <w:rPr>
                <w:rFonts w:ascii="Times New Roman" w:hAnsi="Times New Roman" w:cs="Times New Roman"/>
                <w:b/>
                <w:bCs/>
                <w:sz w:val="24"/>
                <w:szCs w:val="24"/>
              </w:rPr>
            </w:pPr>
            <w:hyperlink r:id="rId8" w:history="1">
              <w:r>
                <w:rPr>
                  <w:rStyle w:val="Hyperlink"/>
                  <w:rFonts w:ascii="Times New Roman" w:hAnsi="Times New Roman" w:cs="Times New Roman"/>
                  <w:b/>
                  <w:color w:val="0000FF"/>
                  <w:sz w:val="24"/>
                  <w:szCs w:val="24"/>
                </w:rPr>
                <w:t xml:space="preserve">Direttiva (UE) 2015/1535</w:t>
              </w:r>
            </w:hyperlink>
            <w:r>
              <w:rPr>
                <w:rStyle w:val="FootnoteReference"/>
                <w:rFonts w:ascii="Times New Roman" w:hAnsi="Times New Roman" w:cs="Times New Roman"/>
                <w:sz w:val="24"/>
                <w:szCs w:val="24"/>
              </w:rPr>
              <w:footnoteReference w:id="2"/>
            </w:r>
          </w:p>
        </w:tc>
        <w:tc>
          <w:tcPr>
            <w:tcW w:w="2315" w:type="dxa"/>
            <w:shd w:val="clear" w:color="auto" w:fill="auto"/>
          </w:tcPr>
          <w:p w14:paraId="5FD03597" w14:textId="330E7145">
            <w:pPr>
              <w:spacing w:line="240" w:lineRule="auto"/>
              <w:rPr>
                <w:rFonts w:ascii="Times New Roman" w:hAnsi="Times New Roman" w:cs="Times New Roman"/>
                <w:b/>
                <w:bCs/>
                <w:sz w:val="24"/>
                <w:szCs w:val="24"/>
              </w:rPr>
            </w:pPr>
            <w:hyperlink r:id="rId9" w:history="1">
              <w:r>
                <w:rPr>
                  <w:rStyle w:val="Hyperlink"/>
                  <w:rFonts w:ascii="Times New Roman" w:hAnsi="Times New Roman" w:cs="Times New Roman"/>
                  <w:b/>
                  <w:color w:val="0000FF"/>
                  <w:sz w:val="24"/>
                  <w:szCs w:val="24"/>
                </w:rPr>
                <w:t xml:space="preserve">Direttiva 98/34/CE</w:t>
              </w:r>
            </w:hyperlink>
            <w:r>
              <w:rPr>
                <w:rStyle w:val="FootnoteReference"/>
                <w:rFonts w:ascii="Times New Roman" w:hAnsi="Times New Roman" w:cs="Times New Roman"/>
                <w:sz w:val="24"/>
                <w:szCs w:val="24"/>
              </w:rPr>
              <w:footnoteReference w:id="3"/>
            </w:r>
          </w:p>
        </w:tc>
        <w:tc>
          <w:tcPr>
            <w:tcW w:w="2315" w:type="dxa"/>
            <w:shd w:val="clear" w:color="auto" w:fill="auto"/>
          </w:tcPr>
          <w:p w14:paraId="51A4CAE7" w14:textId="73C3CCF3">
            <w:pPr>
              <w:spacing w:line="240" w:lineRule="auto"/>
              <w:rPr>
                <w:rFonts w:ascii="Times New Roman" w:hAnsi="Times New Roman" w:cs="Times New Roman"/>
                <w:b/>
                <w:bCs/>
                <w:sz w:val="24"/>
                <w:szCs w:val="24"/>
              </w:rPr>
            </w:pPr>
            <w:hyperlink r:id="rId10" w:history="1">
              <w:r>
                <w:rPr>
                  <w:rStyle w:val="Hyperlink"/>
                  <w:rFonts w:ascii="Times New Roman" w:hAnsi="Times New Roman" w:cs="Times New Roman"/>
                  <w:b/>
                  <w:color w:val="0000FF"/>
                  <w:sz w:val="24"/>
                  <w:szCs w:val="24"/>
                </w:rPr>
                <w:t xml:space="preserve">Direttiva 83/189/CEE</w:t>
              </w:r>
            </w:hyperlink>
            <w:r>
              <w:rPr>
                <w:rStyle w:val="FootnoteReference"/>
                <w:rFonts w:ascii="Times New Roman" w:hAnsi="Times New Roman" w:cs="Times New Roman"/>
                <w:sz w:val="24"/>
                <w:szCs w:val="24"/>
              </w:rPr>
              <w:footnoteReference w:id="4"/>
            </w:r>
          </w:p>
        </w:tc>
      </w:tr>
      <w:tr w14:paraId="72585BFB" w14:textId="77777777">
        <w:trPr>
          <w:trHeight w:val="599"/>
        </w:trPr>
        <w:tc>
          <w:tcPr>
            <w:tcW w:w="3119" w:type="dxa"/>
          </w:tcPr>
          <w:p w14:paraId="04624D71" w14:textId="77777777">
            <w:pPr>
              <w:pStyle w:val="P68B1DB1-Normal7"/>
              <w:spacing w:line="240" w:lineRule="auto"/>
            </w:pPr>
            <w:r>
              <w:t xml:space="preserve">Definizione di "prodotti"</w:t>
            </w:r>
          </w:p>
        </w:tc>
        <w:tc>
          <w:tcPr>
            <w:tcW w:w="2457" w:type="dxa"/>
          </w:tcPr>
          <w:p w14:paraId="4A418F3D" w14:textId="11CADE6C">
            <w:pPr>
              <w:pStyle w:val="P68B1DB1-Normal7"/>
              <w:spacing w:line="240" w:lineRule="auto"/>
            </w:pPr>
            <w:r>
              <w:t xml:space="preserve">Articolo 1, paragrafo 1, lettera a)</w:t>
            </w:r>
          </w:p>
        </w:tc>
        <w:tc>
          <w:tcPr>
            <w:tcW w:w="2315" w:type="dxa"/>
          </w:tcPr>
          <w:p w14:paraId="5020F0EC" w14:textId="29FBC8B8">
            <w:pPr>
              <w:pStyle w:val="P68B1DB1-Normal7"/>
              <w:spacing w:line="240" w:lineRule="auto"/>
            </w:pPr>
            <w:r>
              <w:t xml:space="preserve">Articolo 1, paragrafo 1</w:t>
            </w:r>
          </w:p>
        </w:tc>
        <w:tc>
          <w:tcPr>
            <w:tcW w:w="2315" w:type="dxa"/>
          </w:tcPr>
          <w:p w14:paraId="1AC77ECE" w14:textId="6BC392C6">
            <w:pPr>
              <w:pStyle w:val="P68B1DB1-Normal7"/>
              <w:spacing w:line="240" w:lineRule="auto"/>
            </w:pPr>
            <w:r>
              <w:t xml:space="preserve">Articolo 1, paragrafo 7</w:t>
            </w:r>
          </w:p>
        </w:tc>
      </w:tr>
      <w:tr w14:paraId="4F3F95AF" w14:textId="77777777">
        <w:trPr>
          <w:trHeight w:val="599"/>
        </w:trPr>
        <w:tc>
          <w:tcPr>
            <w:tcW w:w="3119" w:type="dxa"/>
          </w:tcPr>
          <w:p w14:paraId="42CDA066" w14:textId="77777777">
            <w:pPr>
              <w:pStyle w:val="P68B1DB1-Normal7"/>
              <w:spacing w:line="240" w:lineRule="auto"/>
            </w:pPr>
            <w:r>
              <w:t xml:space="preserve">Definizione di "servizi"</w:t>
            </w:r>
          </w:p>
        </w:tc>
        <w:tc>
          <w:tcPr>
            <w:tcW w:w="2457" w:type="dxa"/>
          </w:tcPr>
          <w:p w14:paraId="658F3867" w14:textId="6E2F4A98">
            <w:pPr>
              <w:pStyle w:val="P68B1DB1-Normal7"/>
              <w:spacing w:line="240" w:lineRule="auto"/>
            </w:pPr>
            <w:r>
              <w:t xml:space="preserve">Articolo 1, paragrafo 1, lettera b)</w:t>
            </w:r>
          </w:p>
        </w:tc>
        <w:tc>
          <w:tcPr>
            <w:tcW w:w="2315" w:type="dxa"/>
          </w:tcPr>
          <w:p w14:paraId="4273AEF8" w14:textId="51C8B937">
            <w:pPr>
              <w:pStyle w:val="P68B1DB1-Normal7"/>
              <w:spacing w:line="240" w:lineRule="auto"/>
            </w:pPr>
            <w:r>
              <w:t xml:space="preserve">Articolo 1, paragrafo 2</w:t>
            </w:r>
          </w:p>
        </w:tc>
        <w:tc>
          <w:tcPr>
            <w:tcW w:w="2315" w:type="dxa"/>
          </w:tcPr>
          <w:p w14:paraId="6B0C3AFB" w14:textId="2BD4E0BD">
            <w:pPr>
              <w:pStyle w:val="P68B1DB1-Normal7"/>
              <w:spacing w:line="240" w:lineRule="auto"/>
              <w:jc w:val="center"/>
            </w:pPr>
            <w:r>
              <w:t>___</w:t>
            </w:r>
          </w:p>
        </w:tc>
      </w:tr>
      <w:tr w14:paraId="576462BF" w14:textId="77777777">
        <w:trPr>
          <w:trHeight w:val="599"/>
        </w:trPr>
        <w:tc>
          <w:tcPr>
            <w:tcW w:w="3119" w:type="dxa"/>
          </w:tcPr>
          <w:p w14:paraId="555E46FF" w14:textId="77777777">
            <w:pPr>
              <w:pStyle w:val="P68B1DB1-Normal7"/>
              <w:spacing w:line="240" w:lineRule="auto"/>
            </w:pPr>
            <w:r>
              <w:t xml:space="preserve">Definizione di "specifica tecnica"</w:t>
            </w:r>
          </w:p>
        </w:tc>
        <w:tc>
          <w:tcPr>
            <w:tcW w:w="2457" w:type="dxa"/>
          </w:tcPr>
          <w:p w14:paraId="1CD6781C" w14:textId="4816FB95">
            <w:pPr>
              <w:pStyle w:val="P68B1DB1-Normal7"/>
              <w:spacing w:line="240" w:lineRule="auto"/>
            </w:pPr>
            <w:r>
              <w:t xml:space="preserve">Articolo 1, paragrafo 1, lettera c)</w:t>
            </w:r>
          </w:p>
        </w:tc>
        <w:tc>
          <w:tcPr>
            <w:tcW w:w="2315" w:type="dxa"/>
          </w:tcPr>
          <w:p w14:paraId="6ACA8AFC" w14:textId="5CBBFC47">
            <w:pPr>
              <w:pStyle w:val="P68B1DB1-Normal7"/>
              <w:spacing w:line="240" w:lineRule="auto"/>
            </w:pPr>
            <w:r>
              <w:t xml:space="preserve">Articolo 1, paragrafo 3</w:t>
            </w:r>
          </w:p>
        </w:tc>
        <w:tc>
          <w:tcPr>
            <w:tcW w:w="2315" w:type="dxa"/>
          </w:tcPr>
          <w:p w14:paraId="7742C3F4" w14:textId="668574B6">
            <w:pPr>
              <w:pStyle w:val="P68B1DB1-Normal7"/>
              <w:spacing w:line="240" w:lineRule="auto"/>
            </w:pPr>
            <w:r>
              <w:t xml:space="preserve">Articolo 1, paragrafo 1</w:t>
            </w:r>
          </w:p>
        </w:tc>
      </w:tr>
      <w:tr w14:paraId="39DCA993" w14:textId="77777777">
        <w:trPr>
          <w:trHeight w:val="599"/>
        </w:trPr>
        <w:tc>
          <w:tcPr>
            <w:tcW w:w="3119" w:type="dxa"/>
          </w:tcPr>
          <w:p w14:paraId="412D2403" w14:textId="77777777">
            <w:pPr>
              <w:pStyle w:val="P68B1DB1-Normal7"/>
              <w:spacing w:line="240" w:lineRule="auto"/>
            </w:pPr>
            <w:r>
              <w:t xml:space="preserve">Definizione di "altri requisiti"</w:t>
            </w:r>
          </w:p>
        </w:tc>
        <w:tc>
          <w:tcPr>
            <w:tcW w:w="2457" w:type="dxa"/>
          </w:tcPr>
          <w:p w14:paraId="7BCB4CC5" w14:textId="4C804DFA">
            <w:pPr>
              <w:pStyle w:val="P68B1DB1-Normal7"/>
              <w:spacing w:line="240" w:lineRule="auto"/>
            </w:pPr>
            <w:r>
              <w:t xml:space="preserve">Articolo 1, paragrafo 1, lettera d)</w:t>
            </w:r>
          </w:p>
        </w:tc>
        <w:tc>
          <w:tcPr>
            <w:tcW w:w="2315" w:type="dxa"/>
          </w:tcPr>
          <w:p w14:paraId="414D1EEC" w14:textId="18CAA0FE">
            <w:pPr>
              <w:pStyle w:val="P68B1DB1-Normal7"/>
              <w:spacing w:line="240" w:lineRule="auto"/>
            </w:pPr>
            <w:r>
              <w:t xml:space="preserve">Articolo 1, paragrafo 4</w:t>
            </w:r>
          </w:p>
        </w:tc>
        <w:tc>
          <w:tcPr>
            <w:tcW w:w="2315" w:type="dxa"/>
          </w:tcPr>
          <w:p w14:paraId="46A8193A" w14:textId="477D2F0E">
            <w:pPr>
              <w:pStyle w:val="P68B1DB1-Normal7"/>
              <w:spacing w:line="240" w:lineRule="auto"/>
              <w:jc w:val="center"/>
            </w:pPr>
            <w:r>
              <w:t>___</w:t>
            </w:r>
          </w:p>
        </w:tc>
      </w:tr>
      <w:tr w14:paraId="48F0D2A4" w14:textId="77777777">
        <w:trPr>
          <w:trHeight w:val="599"/>
        </w:trPr>
        <w:tc>
          <w:tcPr>
            <w:tcW w:w="3119" w:type="dxa"/>
          </w:tcPr>
          <w:p w14:paraId="61624EA2" w14:textId="77777777">
            <w:pPr>
              <w:pStyle w:val="P68B1DB1-Normal7"/>
              <w:spacing w:line="240" w:lineRule="auto"/>
            </w:pPr>
            <w:r>
              <w:t xml:space="preserve">Definizione di "regola relativa ai servizi"</w:t>
            </w:r>
          </w:p>
        </w:tc>
        <w:tc>
          <w:tcPr>
            <w:tcW w:w="2457" w:type="dxa"/>
          </w:tcPr>
          <w:p w14:paraId="136F7BB7" w14:textId="4AA67A90">
            <w:pPr>
              <w:pStyle w:val="P68B1DB1-Normal7"/>
              <w:spacing w:line="240" w:lineRule="auto"/>
            </w:pPr>
            <w:r>
              <w:t xml:space="preserve">Articolo 1, paragrafo 1, lettera e)</w:t>
            </w:r>
          </w:p>
        </w:tc>
        <w:tc>
          <w:tcPr>
            <w:tcW w:w="2315" w:type="dxa"/>
          </w:tcPr>
          <w:p w14:paraId="36E9CD4F" w14:textId="1B75247A">
            <w:pPr>
              <w:pStyle w:val="P68B1DB1-Normal7"/>
              <w:spacing w:line="240" w:lineRule="auto"/>
            </w:pPr>
            <w:r>
              <w:t xml:space="preserve">Articolo 1, paragrafo 5</w:t>
            </w:r>
          </w:p>
        </w:tc>
        <w:tc>
          <w:tcPr>
            <w:tcW w:w="2315" w:type="dxa"/>
          </w:tcPr>
          <w:p w14:paraId="42762185" w14:textId="37A509CA">
            <w:pPr>
              <w:pStyle w:val="P68B1DB1-Normal7"/>
              <w:spacing w:line="240" w:lineRule="auto"/>
              <w:jc w:val="center"/>
            </w:pPr>
            <w:r>
              <w:t>___</w:t>
            </w:r>
          </w:p>
        </w:tc>
      </w:tr>
      <w:tr w14:paraId="4622E632" w14:textId="77777777">
        <w:trPr>
          <w:trHeight w:val="599"/>
        </w:trPr>
        <w:tc>
          <w:tcPr>
            <w:tcW w:w="3119" w:type="dxa"/>
          </w:tcPr>
          <w:p w14:paraId="59CDC9EC" w14:textId="77777777">
            <w:pPr>
              <w:pStyle w:val="P68B1DB1-Normal7"/>
              <w:spacing w:line="240" w:lineRule="auto"/>
            </w:pPr>
            <w:r>
              <w:t xml:space="preserve">Nozione di "regola tecnica"</w:t>
            </w:r>
          </w:p>
        </w:tc>
        <w:tc>
          <w:tcPr>
            <w:tcW w:w="2457" w:type="dxa"/>
          </w:tcPr>
          <w:p w14:paraId="46C85599" w14:textId="1342B29E">
            <w:pPr>
              <w:pStyle w:val="P68B1DB1-Normal7"/>
              <w:spacing w:line="240" w:lineRule="auto"/>
            </w:pPr>
            <w:r>
              <w:t xml:space="preserve">Articolo 1, paragrafo 1, lettera f)</w:t>
            </w:r>
          </w:p>
        </w:tc>
        <w:tc>
          <w:tcPr>
            <w:tcW w:w="2315" w:type="dxa"/>
          </w:tcPr>
          <w:p w14:paraId="0E88B9E2" w14:textId="31F951B8">
            <w:pPr>
              <w:pStyle w:val="P68B1DB1-Normal7"/>
              <w:spacing w:line="240" w:lineRule="auto"/>
            </w:pPr>
            <w:r>
              <w:t xml:space="preserve">Articolo 1, paragrafo 11</w:t>
            </w:r>
          </w:p>
        </w:tc>
        <w:tc>
          <w:tcPr>
            <w:tcW w:w="2315" w:type="dxa"/>
          </w:tcPr>
          <w:p w14:paraId="2E4FCAC6" w14:textId="1930FF48">
            <w:pPr>
              <w:pStyle w:val="P68B1DB1-Normal7"/>
              <w:spacing w:line="240" w:lineRule="auto"/>
            </w:pPr>
            <w:r>
              <w:t xml:space="preserve">Articolo 1, paragrafo 5</w:t>
            </w:r>
          </w:p>
        </w:tc>
      </w:tr>
      <w:tr w14:paraId="0C829266" w14:textId="77777777">
        <w:trPr>
          <w:trHeight w:val="599"/>
        </w:trPr>
        <w:tc>
          <w:tcPr>
            <w:tcW w:w="3119" w:type="dxa"/>
          </w:tcPr>
          <w:p w14:paraId="2E36B6FC" w14:textId="77777777">
            <w:pPr>
              <w:pStyle w:val="P68B1DB1-Normal7"/>
              <w:spacing w:line="240" w:lineRule="auto"/>
            </w:pPr>
            <w:r>
              <w:t xml:space="preserve">Obbligo di notifica</w:t>
            </w:r>
          </w:p>
        </w:tc>
        <w:tc>
          <w:tcPr>
            <w:tcW w:w="2457" w:type="dxa"/>
          </w:tcPr>
          <w:p w14:paraId="04169FF7" w14:textId="77777777">
            <w:pPr>
              <w:pStyle w:val="P68B1DB1-Normal7"/>
              <w:spacing w:line="240" w:lineRule="auto"/>
            </w:pPr>
            <w:r>
              <w:t xml:space="preserve">Articolo 5, paragrafo 1, prima frase</w:t>
            </w:r>
          </w:p>
        </w:tc>
        <w:tc>
          <w:tcPr>
            <w:tcW w:w="2315" w:type="dxa"/>
          </w:tcPr>
          <w:p w14:paraId="730385F8" w14:textId="77777777">
            <w:pPr>
              <w:pStyle w:val="P68B1DB1-Normal7"/>
              <w:spacing w:line="240" w:lineRule="auto"/>
            </w:pPr>
            <w:r>
              <w:t xml:space="preserve">Articolo 8, paragrafo 1, prima frase</w:t>
            </w:r>
          </w:p>
        </w:tc>
        <w:tc>
          <w:tcPr>
            <w:tcW w:w="2315" w:type="dxa"/>
          </w:tcPr>
          <w:p w14:paraId="6937609F" w14:textId="5A2377E0">
            <w:pPr>
              <w:pStyle w:val="P68B1DB1-Normal8"/>
              <w:spacing w:line="240" w:lineRule="auto"/>
            </w:pPr>
            <w:r>
              <w:t xml:space="preserve">Articolo 8, paragrafo 1</w:t>
            </w:r>
          </w:p>
        </w:tc>
      </w:tr>
      <w:tr w14:paraId="4472DE96" w14:textId="77777777">
        <w:trPr>
          <w:trHeight w:val="599"/>
        </w:trPr>
        <w:tc>
          <w:tcPr>
            <w:tcW w:w="3119" w:type="dxa"/>
          </w:tcPr>
          <w:p w14:paraId="08371658" w14:textId="2AE2569B">
            <w:pPr>
              <w:pStyle w:val="P68B1DB1-Normal7"/>
              <w:spacing w:line="240" w:lineRule="auto"/>
            </w:pPr>
            <w:r>
              <w:t xml:space="preserve">Notifica delle disposizioni di base o interessate</w:t>
            </w:r>
          </w:p>
        </w:tc>
        <w:tc>
          <w:tcPr>
            <w:tcW w:w="2457" w:type="dxa"/>
          </w:tcPr>
          <w:p w14:paraId="4460E5CA" w14:textId="77777777">
            <w:pPr>
              <w:pStyle w:val="P68B1DB1-Normal7"/>
              <w:spacing w:line="240" w:lineRule="auto"/>
            </w:pPr>
            <w:r>
              <w:t xml:space="preserve">Articolo 5, paragrafo 1, seconda frase</w:t>
            </w:r>
          </w:p>
        </w:tc>
        <w:tc>
          <w:tcPr>
            <w:tcW w:w="2315" w:type="dxa"/>
          </w:tcPr>
          <w:p w14:paraId="545C5C96" w14:textId="77777777">
            <w:pPr>
              <w:pStyle w:val="P68B1DB1-Normal7"/>
              <w:spacing w:line="240" w:lineRule="auto"/>
            </w:pPr>
            <w:r>
              <w:t xml:space="preserve">Articolo 8, paragrafo 1, seconda frase</w:t>
            </w:r>
          </w:p>
        </w:tc>
        <w:tc>
          <w:tcPr>
            <w:tcW w:w="2315" w:type="dxa"/>
          </w:tcPr>
          <w:p w14:paraId="7658B70A" w14:textId="43A43C7F">
            <w:pPr>
              <w:pStyle w:val="P68B1DB1-Normal7"/>
              <w:spacing w:line="240" w:lineRule="auto"/>
              <w:jc w:val="center"/>
              <w:rPr>
                <w:rFonts w:eastAsia="Times New Roman"/>
              </w:rPr>
            </w:pPr>
            <w:r>
              <w:t>___</w:t>
            </w:r>
          </w:p>
        </w:tc>
      </w:tr>
      <w:tr w14:paraId="6E207C21" w14:textId="77777777">
        <w:trPr>
          <w:trHeight w:val="599"/>
        </w:trPr>
        <w:tc>
          <w:tcPr>
            <w:tcW w:w="3119" w:type="dxa"/>
          </w:tcPr>
          <w:p w14:paraId="05D20653" w14:textId="1C493645">
            <w:pPr>
              <w:pStyle w:val="P68B1DB1-Normal7"/>
              <w:spacing w:line="240" w:lineRule="auto"/>
            </w:pPr>
            <w:r>
              <w:t xml:space="preserve">Nuova notifica durante il periodo di differimento</w:t>
            </w:r>
          </w:p>
        </w:tc>
        <w:tc>
          <w:tcPr>
            <w:tcW w:w="2457" w:type="dxa"/>
          </w:tcPr>
          <w:p w14:paraId="65494BDB" w14:textId="77777777">
            <w:pPr>
              <w:pStyle w:val="P68B1DB1-Normal7"/>
              <w:spacing w:line="240" w:lineRule="auto"/>
            </w:pPr>
            <w:r>
              <w:t xml:space="preserve">Articolo 5, paragrafo 1, terza frase</w:t>
            </w:r>
          </w:p>
        </w:tc>
        <w:tc>
          <w:tcPr>
            <w:tcW w:w="2315" w:type="dxa"/>
          </w:tcPr>
          <w:p w14:paraId="47F0091E" w14:textId="77777777">
            <w:pPr>
              <w:pStyle w:val="P68B1DB1-Normal7"/>
              <w:spacing w:line="240" w:lineRule="auto"/>
            </w:pPr>
            <w:r>
              <w:t xml:space="preserve">Articolo 8, paragrafo 1, terza frase</w:t>
            </w:r>
          </w:p>
        </w:tc>
        <w:tc>
          <w:tcPr>
            <w:tcW w:w="2315" w:type="dxa"/>
          </w:tcPr>
          <w:p w14:paraId="5E9AA7B4" w14:textId="7B61CCCA">
            <w:pPr>
              <w:pStyle w:val="P68B1DB1-Normal7"/>
              <w:spacing w:line="240" w:lineRule="auto"/>
              <w:jc w:val="center"/>
              <w:rPr>
                <w:rFonts w:eastAsia="Times New Roman"/>
              </w:rPr>
            </w:pPr>
            <w:r>
              <w:t>___</w:t>
            </w:r>
          </w:p>
        </w:tc>
      </w:tr>
      <w:tr w14:paraId="7EEDDE8A" w14:textId="77777777">
        <w:trPr>
          <w:trHeight w:val="599"/>
        </w:trPr>
        <w:tc>
          <w:tcPr>
            <w:tcW w:w="3119" w:type="dxa"/>
          </w:tcPr>
          <w:p w14:paraId="6F46F2B9" w14:textId="77777777">
            <w:pPr>
              <w:pStyle w:val="P68B1DB1-Normal7"/>
              <w:spacing w:line="240" w:lineRule="auto"/>
            </w:pPr>
            <w:r>
              <w:t xml:space="preserve">Periodo sospensivo</w:t>
            </w:r>
          </w:p>
        </w:tc>
        <w:tc>
          <w:tcPr>
            <w:tcW w:w="2457" w:type="dxa"/>
          </w:tcPr>
          <w:p w14:paraId="0FDAA36A" w14:textId="77777777">
            <w:pPr>
              <w:pStyle w:val="P68B1DB1-Normal7"/>
              <w:spacing w:line="240" w:lineRule="auto"/>
            </w:pPr>
            <w:r>
              <w:t xml:space="preserve">Articolo 6</w:t>
            </w:r>
          </w:p>
        </w:tc>
        <w:tc>
          <w:tcPr>
            <w:tcW w:w="2315" w:type="dxa"/>
          </w:tcPr>
          <w:p w14:paraId="51BBC4E4" w14:textId="77777777">
            <w:pPr>
              <w:pStyle w:val="P68B1DB1-Normal7"/>
              <w:spacing w:line="240" w:lineRule="auto"/>
            </w:pPr>
            <w:r>
              <w:t xml:space="preserve">Articolo 9</w:t>
            </w:r>
          </w:p>
        </w:tc>
        <w:tc>
          <w:tcPr>
            <w:tcW w:w="2315" w:type="dxa"/>
          </w:tcPr>
          <w:p w14:paraId="2B7D3F30" w14:textId="77777777">
            <w:pPr>
              <w:pStyle w:val="P68B1DB1-Normal8"/>
              <w:spacing w:line="240" w:lineRule="auto"/>
            </w:pPr>
            <w:r>
              <w:t xml:space="preserve">Articolo 9</w:t>
            </w:r>
          </w:p>
        </w:tc>
      </w:tr>
      <w:tr w14:paraId="31FCCE62" w14:textId="77777777">
        <w:trPr>
          <w:trHeight w:val="599"/>
        </w:trPr>
        <w:tc>
          <w:tcPr>
            <w:tcW w:w="3119" w:type="dxa"/>
          </w:tcPr>
          <w:p w14:paraId="067F46A1" w14:textId="77777777">
            <w:pPr>
              <w:pStyle w:val="P68B1DB1-Normal7"/>
              <w:spacing w:line="240" w:lineRule="auto"/>
            </w:pPr>
            <w:r>
              <w:t xml:space="preserve">Eccezioni agli obblighi di notifica e di sospensione</w:t>
            </w:r>
          </w:p>
        </w:tc>
        <w:tc>
          <w:tcPr>
            <w:tcW w:w="2457" w:type="dxa"/>
          </w:tcPr>
          <w:p w14:paraId="5BC53094" w14:textId="77777777">
            <w:pPr>
              <w:pStyle w:val="P68B1DB1-Normal7"/>
              <w:spacing w:line="240" w:lineRule="auto"/>
            </w:pPr>
            <w:r>
              <w:t xml:space="preserve">Articolo 7</w:t>
            </w:r>
          </w:p>
        </w:tc>
        <w:tc>
          <w:tcPr>
            <w:tcW w:w="2315" w:type="dxa"/>
          </w:tcPr>
          <w:p w14:paraId="36E59068" w14:textId="77777777">
            <w:pPr>
              <w:pStyle w:val="P68B1DB1-Normal7"/>
              <w:spacing w:line="240" w:lineRule="auto"/>
            </w:pPr>
            <w:r>
              <w:t xml:space="preserve">Articolo 10</w:t>
            </w:r>
          </w:p>
        </w:tc>
        <w:tc>
          <w:tcPr>
            <w:tcW w:w="2315" w:type="dxa"/>
          </w:tcPr>
          <w:p w14:paraId="1FE1BC2D" w14:textId="77777777">
            <w:pPr>
              <w:pStyle w:val="P68B1DB1-Normal8"/>
              <w:spacing w:line="240" w:lineRule="auto"/>
            </w:pPr>
            <w:r>
              <w:t xml:space="preserve">Articolo 10</w:t>
            </w:r>
          </w:p>
        </w:tc>
      </w:tr>
    </w:tbl>
    <w:p w14:paraId="4A865CBE" w14:textId="77777777">
      <w:pPr>
        <w:spacing w:after="0" w:line="240" w:lineRule="auto"/>
      </w:pPr>
    </w:p>
    <w:p w14:paraId="08C84FAC" w14:textId="77777777">
      <w:pPr>
        <w:spacing w:line="278" w:lineRule="auto"/>
      </w:pPr>
      <w:r>
        <w:br w:type="page"/>
      </w:r>
    </w:p>
    <w:p w14:paraId="0059B666" w14:textId="32BA8B95">
      <w:pPr>
        <w:jc w:val="both"/>
        <w:rPr>
          <w:rFonts w:ascii="Times New Roman" w:hAnsi="Times New Roman" w:cs="Times New Roman"/>
          <w:b/>
          <w:bCs/>
          <w:sz w:val="24"/>
          <w:szCs w:val="24"/>
          <w:u w:val="single"/>
        </w:rPr>
        <w:pStyle w:val="P68B1DB1-Normal5"/>
      </w:pPr>
      <w:r>
        <w:t xml:space="preserve">Clausola di esclusione della responsabilità</w:t>
      </w:r>
    </w:p>
    <w:p w14:paraId="0CB71D4E" w14:textId="7BF1CD8D">
      <w:pPr>
        <w:jc w:val="both"/>
        <w:rPr>
          <w:rFonts w:ascii="Times New Roman" w:hAnsi="Times New Roman" w:cs="Times New Roman"/>
          <w:sz w:val="24"/>
          <w:szCs w:val="24"/>
        </w:rPr>
        <w:pStyle w:val="P68B1DB1-Normal7"/>
      </w:pPr>
      <w:r>
        <w:t xml:space="preserve">Le informazioni e gli orientamenti contenuti nel presente documento sono intesi a contribuire a una migliore comprensione delle norme di notifica della direttiva (UE) 2015/1535.</w:t>
      </w:r>
    </w:p>
    <w:p w14:paraId="67EC004B" w14:textId="434F8650">
      <w:pPr>
        <w:jc w:val="both"/>
        <w:rPr>
          <w:rFonts w:ascii="Times New Roman" w:hAnsi="Times New Roman" w:cs="Times New Roman"/>
          <w:sz w:val="24"/>
          <w:szCs w:val="24"/>
        </w:rPr>
        <w:pStyle w:val="P68B1DB1-Normal7"/>
      </w:pPr>
      <w:r>
        <w:t xml:space="preserve">Si tratta unicamente di uno strumento di orientamento. Solo il testo della direttiva ha valore giuridico ed è idoneo a creare diritti e obblighi per i singoli e gli Stati membri. Il presente documento non crea alcun diritto o aspettativa azionabile.</w:t>
      </w:r>
    </w:p>
    <w:p w14:paraId="63D425FC" w14:textId="2836B58B">
      <w:pPr>
        <w:jc w:val="both"/>
        <w:rPr>
          <w:rFonts w:ascii="Times New Roman" w:hAnsi="Times New Roman" w:cs="Times New Roman"/>
          <w:sz w:val="24"/>
          <w:szCs w:val="24"/>
        </w:rPr>
        <w:pStyle w:val="P68B1DB1-Normal7"/>
      </w:pPr>
      <w:r>
        <w:t xml:space="preserve">L'interpretazione vincolante della normativa dell'Unione europea è di competenza esclusiva della Corte di giustizia dell'Unione europea. Le opinioni espresse nel presente documento lasciano impregiudicata la posizione che la Commissione potrebbe adottare dinanzi alla Corte di giustizia.</w:t>
      </w:r>
    </w:p>
    <w:p w14:paraId="5CC222EA" w14:textId="4A13BEE2">
      <w:pPr>
        <w:jc w:val="both"/>
        <w:rPr>
          <w:rFonts w:ascii="Times New Roman" w:hAnsi="Times New Roman" w:cs="Times New Roman"/>
          <w:sz w:val="24"/>
          <w:szCs w:val="24"/>
        </w:rPr>
        <w:pStyle w:val="P68B1DB1-Normal7"/>
      </w:pPr>
      <w:r>
        <w:t xml:space="preserve">Poiché rispecchia lo stato della giurisprudenza al momento della sua redazione, il presente documento dovrebbe essere considerato uno "strumento vitale" che può essere migliorato e il suo contenuto può essere oggetto di modifiche senza preavviso.</w:t>
      </w:r>
    </w:p>
    <w:p w14:paraId="00285176" w14:textId="09C940D1">
      <w:pPr>
        <w:spacing w:after="0" w:line="240" w:lineRule="auto"/>
      </w:pPr>
      <w:r>
        <w:br w:type="page"/>
      </w:r>
    </w:p>
    <w:p w14:paraId="16528720" w14:textId="3D5EAE69">
      <w:pPr>
        <w:pStyle w:val="P68B1DB1-Heading13"/>
        <w:numPr>
          <w:ilvl w:val="0"/>
          <w:numId w:val="34"/>
        </w:numPr>
        <w:spacing w:before="0" w:after="0"/>
        <w:jc w:val="center"/>
        <w:rPr>
          <w:color w:val="auto"/>
        </w:rPr>
      </w:pPr>
      <w:bookmarkStart w:id="1" w:name="_Ref194485731"/>
      <w:bookmarkStart w:id="2" w:name="_Toc198043782"/>
      <w:bookmarkStart w:id="3" w:name="_Toc198044080"/>
      <w:bookmarkStart w:id="4" w:name="_Toc203035665"/>
      <w:bookmarkStart w:id="5" w:name="_Ref194484508"/>
      <w:bookmarkEnd w:id="0"/>
      <w:r>
        <w:t xml:space="preserve">Classificazione come regolamentazione tecnica</w:t>
      </w:r>
      <w:bookmarkEnd w:id="1"/>
      <w:bookmarkEnd w:id="2"/>
      <w:bookmarkEnd w:id="3"/>
      <w:bookmarkEnd w:id="4"/>
    </w:p>
    <w:p w14:paraId="771697CF" w14:textId="77777777">
      <w:pPr>
        <w:pStyle w:val="BodyText"/>
        <w:jc w:val="left"/>
      </w:pPr>
    </w:p>
    <w:p w14:paraId="0A4D39B5" w14:textId="5B89CEFC">
      <w:pPr>
        <w:pStyle w:val="P68B1DB1-Normal12"/>
        <w:spacing w:after="0" w:line="240" w:lineRule="auto"/>
        <w:ind w:left="567"/>
        <w:jc w:val="both"/>
        <w:rPr>
          <w:iCs/>
        </w:rPr>
      </w:pPr>
      <w:r>
        <w:t xml:space="preserve">"[...] la nozione di "regola tecnica" comprende quattro categorie di misure, vale a dire: i) "specificazioni tecniche" ai sensi dell'articolo 1, paragrafo 3, della direttiva 98/34, ii) "altri requisiti" quali definiti all'articolo 1, paragrafo 4, di tale direttiva, iii) "regole relative ai servizi" di cui all'articolo 1, paragrafo 5, di tale direttiva e iv) "disposizioni legislative, regolamentari o amministrative degli Stati membri che vietano la fabbricazione, l'importazione, la commercializzazione o l'utilizzazione di un prodotto o la prestazione o l'utilizzazione di un servizio, o lo stabilimento in qualità di prestatore di servizi".</w:t>
      </w:r>
    </w:p>
    <w:p w14:paraId="4FAB98F0" w14:textId="77777777">
      <w:pPr>
        <w:spacing w:after="0" w:line="240" w:lineRule="auto"/>
        <w:ind w:left="567"/>
        <w:jc w:val="both"/>
        <w:rPr>
          <w:rFonts w:ascii="Times New Roman" w:hAnsi="Times New Roman" w:cs="Times New Roman"/>
          <w:i/>
          <w:iCs/>
          <w:sz w:val="24"/>
          <w:szCs w:val="24"/>
        </w:rPr>
      </w:pPr>
    </w:p>
    <w:p w14:paraId="52EA0CC8" w14:textId="61714FD0">
      <w:pPr>
        <w:pStyle w:val="P68B1DB1-Normal7"/>
        <w:spacing w:after="0" w:line="240" w:lineRule="auto"/>
        <w:ind w:left="567"/>
        <w:jc w:val="right"/>
      </w:pPr>
      <w:r>
        <w:t>(</w:t>
      </w:r>
      <w:hyperlink r:id="rId11" w:history="1">
        <w:r>
          <w:rPr>
            <w:rStyle w:val="Hyperlink"/>
            <w:color w:val="0000FF"/>
          </w:rPr>
          <w:t xml:space="preserve">Sentenza del 2 febbraio 2016</w:t>
        </w:r>
      </w:hyperlink>
      <w:r>
        <w:t xml:space="preserve">, </w:t>
      </w:r>
      <w:r>
        <w:rPr>
          <w:i/>
        </w:rPr>
        <w:t>Ince</w:t>
      </w:r>
      <w:r>
        <w:t xml:space="preserve">, C-336/14, non ancora pubblicata, punto 70)</w:t>
      </w:r>
    </w:p>
    <w:p w14:paraId="39D1F0E4" w14:textId="77777777">
      <w:pPr>
        <w:pStyle w:val="BodyText"/>
        <w:jc w:val="left"/>
      </w:pPr>
    </w:p>
    <w:p w14:paraId="38CAE174" w14:textId="44091B45">
      <w:pPr>
        <w:pStyle w:val="P68B1DB1-Heading24"/>
        <w:numPr>
          <w:ilvl w:val="0"/>
          <w:numId w:val="35"/>
        </w:numPr>
        <w:spacing w:before="0" w:after="0"/>
        <w:jc w:val="center"/>
        <w:rPr>
          <w:bCs/>
          <w:color w:val="auto"/>
        </w:rPr>
      </w:pPr>
      <w:bookmarkStart w:id="6" w:name="_Ref194479747"/>
      <w:bookmarkStart w:id="7" w:name="_Ref196314191"/>
      <w:bookmarkStart w:id="8" w:name="_Toc198043783"/>
      <w:bookmarkStart w:id="9" w:name="_Toc198044081"/>
      <w:bookmarkStart w:id="10" w:name="_Toc203035666"/>
      <w:r>
        <w:t xml:space="preserve">Criteri comuni di regolamentazione </w:t>
      </w:r>
      <w:bookmarkEnd w:id="6"/>
      <w:r>
        <w:t>tecnica</w:t>
      </w:r>
      <w:bookmarkEnd w:id="7"/>
      <w:bookmarkEnd w:id="8"/>
      <w:bookmarkEnd w:id="9"/>
      <w:bookmarkEnd w:id="10"/>
    </w:p>
    <w:p w14:paraId="5A37DF5A" w14:textId="77777777">
      <w:pPr>
        <w:pStyle w:val="BodyText"/>
      </w:pPr>
    </w:p>
    <w:p w14:paraId="2C807316" w14:textId="77777777">
      <w:pPr>
        <w:pStyle w:val="P68B1DB1-BodyText11"/>
        <w:ind w:left="567"/>
        <w:rPr>
          <w:iCs/>
        </w:rPr>
      </w:pPr>
      <w:r>
        <w:t xml:space="preserve">"" Regola tecnica ": una specificazione tecnica o altro requisito o una regola relativa ai servizi, comprese le disposizioni amministrative che ad esse si applicano, la cui osservanza è obbligatoria, de jure o de facto, per la commercializzazione, la prestazione di servizi, lo stabilimento di un operatore di servizi o l'uso in uno Stato membro o in una parte importante di esso, nonché, fatta eccezione per quelle di cui all'articolo 7, le disposizioni legislative, regolamentari o amministrative degli Stati membri che vietano la fabbricazione, l'importazione, la commercializzazione o l'utilizzazione di un prodotto o la prestazione o l'utilizzazione di un servizio o lo stabilimento come prestatore di servizi."</w:t>
      </w:r>
    </w:p>
    <w:p w14:paraId="56CBE257" w14:textId="77777777">
      <w:pPr>
        <w:pStyle w:val="BodyText"/>
      </w:pPr>
    </w:p>
    <w:p w14:paraId="66B70B28" w14:textId="1278CE54">
      <w:pPr>
        <w:pStyle w:val="P68B1DB1-Normal7"/>
        <w:spacing w:after="0" w:line="240" w:lineRule="auto"/>
        <w:jc w:val="right"/>
      </w:pPr>
      <w:r>
        <w:t xml:space="preserve">[articolo 1, paragrafo 1, lettera f), prima frase, della direttiva (UE) 2015/1535]</w:t>
      </w:r>
    </w:p>
    <w:p w14:paraId="4D7A236C" w14:textId="77777777">
      <w:pPr>
        <w:spacing w:after="0" w:line="240" w:lineRule="auto"/>
        <w:rPr>
          <w:sz w:val="24"/>
          <w:szCs w:val="24"/>
        </w:rPr>
      </w:pPr>
    </w:p>
    <w:p w14:paraId="61ADC4B8" w14:textId="2F4C951B">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2" w:history="1">
        <w:r>
          <w:rPr>
            <w:rStyle w:val="Hyperlink"/>
            <w:rFonts w:ascii="Times New Roman" w:hAnsi="Times New Roman" w:cs="Times New Roman" w:eastAsia="Times New Roman"/>
            <w:b/>
            <w:i/>
            <w:color w:val="0000FF"/>
            <w:szCs w:val="20"/>
          </w:rPr>
          <w:t xml:space="preserve">Sentenza della Corte di giustizia del 30 aprile 1996</w:t>
        </w:r>
      </w:hyperlink>
      <w:r>
        <w:rPr>
          <w:rFonts w:ascii="Times New Roman" w:hAnsi="Times New Roman" w:cs="Times New Roman" w:eastAsia="Times New Roman"/>
          <w:b/>
          <w:i/>
          <w:szCs w:val="20"/>
        </w:rPr>
        <w:t xml:space="preserve">, CIA Security International SA, C-194/94, punto 29.</w:t>
      </w:r>
      <w:bookmarkEnd w:id="11"/>
    </w:p>
    <w:p w14:paraId="6260A28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0490804" w14:textId="77777777">
      <w:pPr>
        <w:pStyle w:val="P68B1DB1-P68B1DB1-Normal135"/>
        <w:widowControl w:val="0"/>
        <w:tabs>
          <w:tab w:val="left" w:pos="393"/>
        </w:tabs>
        <w:autoSpaceDE w:val="0"/>
        <w:autoSpaceDN w:val="0"/>
        <w:spacing w:after="0" w:line="240" w:lineRule="auto"/>
        <w:jc w:val="both"/>
        <w:rPr>
          <w:b w:val="0"/>
          <w:bCs/>
          <w:i w:val="0"/>
          <w:iCs/>
        </w:rPr>
      </w:pPr>
      <w:r>
        <w:t xml:space="preserve">Una norma può essere qualificata come "regola tecnica" solo se produce effetti giuridici propri. Non è questo il caso di una legge quadro priva di effetti giuridici per i singoli.</w:t>
      </w:r>
    </w:p>
    <w:p w14:paraId="7CC5408A" w14:textId="77777777">
      <w:pPr>
        <w:widowControl w:val="0"/>
        <w:tabs>
          <w:tab w:val="left" w:pos="393"/>
        </w:tabs>
        <w:autoSpaceDE w:val="0"/>
        <w:autoSpaceDN w:val="0"/>
        <w:spacing w:after="0" w:line="240" w:lineRule="auto"/>
        <w:jc w:val="both"/>
        <w:rPr>
          <w:rFonts w:ascii="Times New Roman" w:hAnsi="Times New Roman" w:cs="Times New Roman" w:eastAsia="Times New Roman"/>
          <w:sz w:val="20"/>
          <w:szCs w:val="20"/>
        </w:rPr>
      </w:pPr>
    </w:p>
    <w:p w14:paraId="3649EC17" w14:textId="62FD7542">
      <w:pPr>
        <w:pStyle w:val="P68B1DB1-P68B1DB1-Normal146"/>
        <w:widowControl w:val="0"/>
        <w:tabs>
          <w:tab w:val="left" w:pos="393"/>
        </w:tabs>
        <w:autoSpaceDE w:val="0"/>
        <w:autoSpaceDN w:val="0"/>
        <w:spacing w:after="0" w:line="240" w:lineRule="auto"/>
        <w:ind w:left="567"/>
        <w:jc w:val="both"/>
        <w:rPr>
          <w:i/>
          <w:iCs/>
          <w:sz w:val="20"/>
        </w:rPr>
      </w:pPr>
      <w:r>
        <w:t xml:space="preserve">"29. Occorre osservare in proposito che una norma viene considerata regola tecnica ai sensi della direttiva 83/189 qualora produca effetti giuridici propri. Se, in base al diritto nazionale, la norma si limita a consentire l'adozione di regolamenti amministrativi contenenti norme vincolanti per gli interessati, di modo che essa non produce di per sé effetti giuridici per i singoli, essa non costituisce una regola tecnica ai sensi della direttiva (v. sentenza 1994 settembre 1, causa C-317/92, Commissione/Germania, Racc. pag. 2039-26, punto). A tal riguardo, occorre ricordare che, ai sensi dell'articolo 8, paragrafo 1, primo comma, della direttiva 83/189, gli Stati membri comunicano, contemporaneamente al progetto di regola tecnica, lo strumento di abilitazione in base al quale è stato adottato, qualora la conoscenza di tale testo sia necessaria per valutare la portata del progetto di regola tecnica."</w:t>
      </w:r>
    </w:p>
    <w:p w14:paraId="4CF2EEDE" w14:textId="77777777">
      <w:pPr>
        <w:spacing w:after="0" w:line="240" w:lineRule="auto"/>
      </w:pPr>
    </w:p>
    <w:p w14:paraId="1EC2A38D" w14:textId="4709776B">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3" w:history="1">
        <w:r>
          <w:rPr>
            <w:rStyle w:val="Hyperlink"/>
            <w:rFonts w:ascii="Times New Roman" w:hAnsi="Times New Roman" w:cs="Times New Roman" w:eastAsia="Times New Roman"/>
            <w:b/>
            <w:i/>
            <w:color w:val="0000FF"/>
            <w:szCs w:val="20"/>
          </w:rPr>
          <w:t xml:space="preserve">Sentenza della Corte di giustizia del 20 marzo 1997</w:t>
        </w:r>
      </w:hyperlink>
      <w:r>
        <w:rPr>
          <w:rFonts w:ascii="Times New Roman" w:hAnsi="Times New Roman" w:cs="Times New Roman" w:eastAsia="Times New Roman"/>
          <w:b/>
          <w:i/>
          <w:szCs w:val="20"/>
        </w:rPr>
        <w:t xml:space="preserve">, Bic Benelux, C-13/96, punti 19 e 20.</w:t>
      </w:r>
      <w:bookmarkEnd w:id="12"/>
    </w:p>
    <w:p w14:paraId="2C091717" w14:textId="77777777">
      <w:pPr>
        <w:widowControl w:val="0"/>
        <w:tabs>
          <w:tab w:val="left" w:pos="396"/>
          <w:tab w:val="left" w:pos="400"/>
        </w:tabs>
        <w:autoSpaceDE w:val="0"/>
        <w:autoSpaceDN w:val="0"/>
        <w:spacing w:after="0" w:line="240" w:lineRule="auto"/>
        <w:jc w:val="both"/>
        <w:rPr>
          <w:rFonts w:ascii="Times New Roman" w:hAnsi="Times New Roman" w:cs="Times New Roman" w:eastAsia="Times New Roman"/>
          <w:szCs w:val="20"/>
        </w:rPr>
      </w:pPr>
    </w:p>
    <w:p w14:paraId="73C7900A" w14:textId="3F5D68F7">
      <w:pPr>
        <w:pStyle w:val="P68B1DB1-P68B1DB1-Normal135"/>
        <w:widowControl w:val="0"/>
        <w:tabs>
          <w:tab w:val="left" w:pos="396"/>
          <w:tab w:val="left" w:pos="400"/>
        </w:tabs>
        <w:autoSpaceDE w:val="0"/>
        <w:autoSpaceDN w:val="0"/>
        <w:spacing w:after="0" w:line="240" w:lineRule="auto"/>
        <w:jc w:val="both"/>
        <w:rPr>
          <w:b w:val="0"/>
          <w:bCs/>
          <w:i w:val="0"/>
          <w:iCs/>
        </w:rPr>
      </w:pPr>
      <w:r>
        <w:t xml:space="preserve">Le ragioni dell'adozione di una misura nazionale sono irrilevanti ai fini della qualificazione di tale misura come "regola tecnica". L'obiettivo della direttiva è quello di tutelare, mediante un controllo preventivo, la libera circolazione delle merci, che costituisce uno dei fondamenti della Comunità.</w:t>
      </w:r>
    </w:p>
    <w:p w14:paraId="49EDC2CC" w14:textId="77777777">
      <w:pPr>
        <w:widowControl w:val="0"/>
        <w:autoSpaceDE w:val="0"/>
        <w:autoSpaceDN w:val="0"/>
        <w:spacing w:after="0" w:line="240" w:lineRule="auto"/>
        <w:jc w:val="both"/>
        <w:rPr>
          <w:rFonts w:ascii="Times New Roman" w:hAnsi="Times New Roman" w:cs="Times New Roman" w:eastAsia="Times New Roman"/>
          <w:szCs w:val="20"/>
        </w:rPr>
      </w:pPr>
    </w:p>
    <w:p w14:paraId="4156ECFE" w14:textId="7DEAF419">
      <w:pPr>
        <w:pStyle w:val="P68B1DB1-P68B1DB1-Normal146"/>
        <w:widowControl w:val="0"/>
        <w:autoSpaceDE w:val="0"/>
        <w:autoSpaceDN w:val="0"/>
        <w:spacing w:after="0" w:line="240" w:lineRule="auto"/>
        <w:ind w:left="510"/>
        <w:jc w:val="both"/>
        <w:rPr>
          <w:i/>
          <w:iCs/>
          <w:sz w:val="20"/>
        </w:rPr>
      </w:pPr>
      <w:r>
        <w:t xml:space="preserve">"19. [...] Nella direttiva 83/189 non vi è alcun fondamento per un'interpretazione che limiti la sua applicazione alle misure nazionali suscettibili di armonizzazione solo sulla base dell'articolo 100 bis del trattato. Infatti, lo scopo della detta direttiva è quello di salvaguardare, mediante un controllo previo, la libera circolazione delle merci, che costituisce uno dei fondamenti della Comunità. Tale controllo è necessario poiché talune regole tecniche rientranti nella sfera d'applicazione della direttiva sono idonee ad ostacolare direttamente o indirettamente, in atto o in potenza, gli scambi intracomunitari di merci. Siffatti ostacoli possono derivare dall'adozione di regole tecniche nazionali, anche se queste non costituiscono un doppione rispetto ad un contrassegno apposto nello Stato d'origine e indipendentemente dai motivi che ne hanno giustificato l'adozione. </w:t>
      </w:r>
    </w:p>
    <w:p w14:paraId="3ECEA0CB" w14:textId="77777777">
      <w:pPr>
        <w:pStyle w:val="P68B1DB1-Normal14"/>
        <w:widowControl w:val="0"/>
        <w:autoSpaceDE w:val="0"/>
        <w:autoSpaceDN w:val="0"/>
        <w:spacing w:after="0" w:line="240" w:lineRule="auto"/>
        <w:ind w:left="510"/>
        <w:jc w:val="both"/>
        <w:rPr>
          <w:i/>
          <w:iCs/>
          <w:sz w:val="20"/>
        </w:rPr>
      </w:pPr>
    </w:p>
    <w:p w14:paraId="17FB6164" w14:textId="39A34C5B">
      <w:pPr>
        <w:pStyle w:val="P68B1DB1-P68B1DB1-Normal146"/>
        <w:widowControl w:val="0"/>
        <w:autoSpaceDE w:val="0"/>
        <w:autoSpaceDN w:val="0"/>
        <w:spacing w:after="0" w:line="240" w:lineRule="auto"/>
        <w:ind w:left="510"/>
        <w:jc w:val="both"/>
        <w:rPr>
          <w:i/>
          <w:iCs/>
          <w:sz w:val="20"/>
        </w:rPr>
      </w:pPr>
      <w:r>
        <w:t xml:space="preserve">20. Di conseguenza, il fatto che una misura nazionale sia stata adottata per tutelare l'ambiente o che non attui una norma tecnica che possa costituire di per sé un ostacolo alla libera circolazione non significa che la misura in questione non possa costituire una regola tecnica ai sensi della direttiva 83/189".</w:t>
      </w:r>
    </w:p>
    <w:p w14:paraId="21D40469" w14:textId="77777777">
      <w:pPr>
        <w:spacing w:after="0" w:line="240" w:lineRule="auto"/>
      </w:pPr>
    </w:p>
    <w:p w14:paraId="5DB9E3C5" w14:textId="38D65933">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4" w:history="1">
        <w:r>
          <w:rPr>
            <w:rStyle w:val="Hyperlink"/>
            <w:rFonts w:ascii="Times New Roman" w:hAnsi="Times New Roman" w:cs="Times New Roman" w:eastAsia="Times New Roman"/>
            <w:b/>
            <w:i/>
            <w:color w:val="0000FF"/>
            <w:szCs w:val="20"/>
          </w:rPr>
          <w:t xml:space="preserve">Sentenza della Corte di giustizia del 16 novembre 2000</w:t>
        </w:r>
      </w:hyperlink>
      <w:r>
        <w:rPr>
          <w:rFonts w:ascii="Times New Roman" w:hAnsi="Times New Roman" w:cs="Times New Roman" w:eastAsia="Times New Roman"/>
          <w:b/>
          <w:i/>
          <w:szCs w:val="20"/>
        </w:rPr>
        <w:t xml:space="preserve">, Donkersteeg, C-37/99, punti da 30 a 34.</w:t>
      </w:r>
      <w:bookmarkEnd w:id="13"/>
    </w:p>
    <w:p w14:paraId="3F63DC2D" w14:textId="77777777">
      <w:pPr>
        <w:widowControl w:val="0"/>
        <w:autoSpaceDE w:val="0"/>
        <w:autoSpaceDN w:val="0"/>
        <w:spacing w:after="0" w:line="240" w:lineRule="auto"/>
        <w:jc w:val="both"/>
        <w:rPr>
          <w:rFonts w:ascii="Times New Roman" w:hAnsi="Times New Roman" w:cs="Times New Roman" w:eastAsia="Times New Roman"/>
          <w:szCs w:val="20"/>
        </w:rPr>
      </w:pPr>
    </w:p>
    <w:p w14:paraId="75027B7E" w14:textId="22C0CBFC">
      <w:pPr>
        <w:pStyle w:val="P68B1DB1-P68B1DB1-Normal135"/>
        <w:widowControl w:val="0"/>
        <w:autoSpaceDE w:val="0"/>
        <w:autoSpaceDN w:val="0"/>
        <w:spacing w:after="0" w:line="240" w:lineRule="auto"/>
        <w:jc w:val="both"/>
        <w:rPr>
          <w:b w:val="0"/>
          <w:bCs/>
          <w:i w:val="0"/>
          <w:iCs/>
        </w:rPr>
      </w:pPr>
      <w:r>
        <w:t xml:space="preserve">Le norme dettagliate sulla vaccinazione degli animali sono una "specifica tecnica". Tuttavia, si tratta di una "regola tecnica" che richiede una notifica solo se la sua osservanza è obbligatoria de jure o de facto. Ciò non si verifica quando, in caso di violazione della regola, non vengono imposte restrizioni alla commercializzazione o all'uso dei prodotti di cui trattasi.</w:t>
      </w:r>
    </w:p>
    <w:p w14:paraId="7B48861C" w14:textId="77777777">
      <w:pPr>
        <w:widowControl w:val="0"/>
        <w:autoSpaceDE w:val="0"/>
        <w:autoSpaceDN w:val="0"/>
        <w:spacing w:after="0" w:line="240" w:lineRule="auto"/>
        <w:jc w:val="both"/>
        <w:rPr>
          <w:rFonts w:ascii="Times New Roman" w:hAnsi="Times New Roman" w:cs="Times New Roman" w:eastAsia="Times New Roman"/>
          <w:szCs w:val="20"/>
        </w:rPr>
      </w:pPr>
    </w:p>
    <w:p w14:paraId="284DCB65" w14:textId="72CEBC4F">
      <w:pPr>
        <w:pStyle w:val="P68B1DB1-P68B1DB1-Normal146"/>
        <w:widowControl w:val="0"/>
        <w:autoSpaceDE w:val="0"/>
        <w:autoSpaceDN w:val="0"/>
        <w:spacing w:after="0"/>
        <w:ind w:left="567"/>
        <w:jc w:val="both"/>
        <w:rPr>
          <w:i/>
          <w:iCs/>
          <w:sz w:val="20"/>
        </w:rPr>
      </w:pPr>
      <w:r>
        <w:t xml:space="preserve">"30. [...] ai sensi dell'articolo 1, paragrafo 1, della direttiva, per quanto riguarda i prodotti agricoli, una "specificazione tecnica" è quella contenuta in un documento che stabilisce le caratteristiche richieste di un prodotto o i suoi metodi e procedure di produzione.</w:t>
      </w:r>
    </w:p>
    <w:p w14:paraId="4B80B8D5" w14:textId="77777777">
      <w:pPr>
        <w:pStyle w:val="P68B1DB1-Normal14"/>
        <w:widowControl w:val="0"/>
        <w:autoSpaceDE w:val="0"/>
        <w:autoSpaceDN w:val="0"/>
        <w:spacing w:after="0"/>
        <w:ind w:left="567"/>
        <w:jc w:val="both"/>
        <w:rPr>
          <w:i/>
          <w:iCs/>
          <w:sz w:val="20"/>
        </w:rPr>
      </w:pPr>
    </w:p>
    <w:p w14:paraId="243FA6BC" w14:textId="77777777">
      <w:pPr>
        <w:pStyle w:val="P68B1DB1-P68B1DB1-Normal146"/>
        <w:widowControl w:val="0"/>
        <w:autoSpaceDE w:val="0"/>
        <w:autoSpaceDN w:val="0"/>
        <w:spacing w:after="0"/>
        <w:ind w:left="567"/>
        <w:jc w:val="both"/>
        <w:rPr>
          <w:i/>
          <w:iCs/>
          <w:sz w:val="20"/>
        </w:rPr>
      </w:pPr>
      <w:r>
        <w:t xml:space="preserve">31. Una norma come quella di cui all'articolo 2, paragrafo 1, del VBZA è una specificazione tecnica ai sensi dell'articolo 1, paragrafo 1, della direttiva. Come sostiene giustamente la Commissione, poiché le norme precise e dettagliate relative alla vaccinazione contro la malattia di Aujeszky sono connesse alla produzione propriamente detta del prodotto agricolo interessato e devono essere rispettate durante tutto il ciclo di produzione, tale regola definisce quindi una "procedura" nella produzione di tale prodotto.</w:t>
      </w:r>
    </w:p>
    <w:p w14:paraId="38EC4E98" w14:textId="77777777">
      <w:pPr>
        <w:pStyle w:val="P68B1DB1-Normal14"/>
        <w:widowControl w:val="0"/>
        <w:autoSpaceDE w:val="0"/>
        <w:autoSpaceDN w:val="0"/>
        <w:spacing w:after="0"/>
        <w:ind w:left="567"/>
        <w:jc w:val="both"/>
        <w:rPr>
          <w:i/>
          <w:iCs/>
          <w:sz w:val="20"/>
        </w:rPr>
      </w:pPr>
    </w:p>
    <w:p w14:paraId="5C8FDDF5" w14:textId="77777777">
      <w:pPr>
        <w:pStyle w:val="P68B1DB1-P68B1DB1-Normal146"/>
        <w:widowControl w:val="0"/>
        <w:autoSpaceDE w:val="0"/>
        <w:autoSpaceDN w:val="0"/>
        <w:spacing w:after="0"/>
        <w:ind w:left="567"/>
        <w:jc w:val="both"/>
        <w:rPr>
          <w:i/>
          <w:iCs/>
          <w:sz w:val="20"/>
        </w:rPr>
      </w:pPr>
      <w:r>
        <w:t xml:space="preserve">32. Tuttavia, per essere qualificata come regola tecnica ai sensi della direttiva, la norma di cui trattasi nel procedimento principale deve, conformemente all'articolo 1, paragrafo 5, di quest'ultima, contenere specificazioni tecniche la cui osservanza è obbligatoria, de jure o de facto, per la commercializzazione o l'utilizzazione in uno Stato membro o in una parte importante di esso, ad eccezione di quelle stabilite dagli enti locali.</w:t>
      </w:r>
    </w:p>
    <w:p w14:paraId="1642D773" w14:textId="77777777">
      <w:pPr>
        <w:pStyle w:val="P68B1DB1-Normal14"/>
        <w:widowControl w:val="0"/>
        <w:autoSpaceDE w:val="0"/>
        <w:autoSpaceDN w:val="0"/>
        <w:spacing w:after="0"/>
        <w:ind w:left="567"/>
        <w:jc w:val="both"/>
        <w:rPr>
          <w:i/>
          <w:iCs/>
          <w:sz w:val="20"/>
        </w:rPr>
      </w:pPr>
    </w:p>
    <w:p w14:paraId="1D500948" w14:textId="77777777">
      <w:pPr>
        <w:pStyle w:val="P68B1DB1-P68B1DB1-Normal146"/>
        <w:widowControl w:val="0"/>
        <w:autoSpaceDE w:val="0"/>
        <w:autoSpaceDN w:val="0"/>
        <w:spacing w:after="0"/>
        <w:ind w:left="567"/>
        <w:jc w:val="both"/>
        <w:rPr>
          <w:i/>
          <w:iCs/>
          <w:sz w:val="20"/>
        </w:rPr>
      </w:pPr>
      <w:r>
        <w:t xml:space="preserve">33. Occorre rilevare, come ha fatto il governo dei Paesi Bassi, che la regola di cui all'articolo 2, paragrafo 1, del VBZA non impone restrizioni né alla commercializzazione né all'uso dei prodotti di cui trattasi se, in violazione di tale norma, i suini non sono stati vaccinati contro la malattia di Aujeszky.</w:t>
      </w:r>
    </w:p>
    <w:p w14:paraId="2280D2F8" w14:textId="77777777">
      <w:pPr>
        <w:pStyle w:val="P68B1DB1-Normal14"/>
        <w:widowControl w:val="0"/>
        <w:autoSpaceDE w:val="0"/>
        <w:autoSpaceDN w:val="0"/>
        <w:spacing w:after="0"/>
        <w:ind w:left="567"/>
        <w:jc w:val="both"/>
        <w:rPr>
          <w:i/>
          <w:iCs/>
          <w:sz w:val="20"/>
        </w:rPr>
      </w:pPr>
    </w:p>
    <w:p w14:paraId="432A3655" w14:textId="77777777">
      <w:pPr>
        <w:pStyle w:val="P68B1DB1-P68B1DB1-Normal146"/>
        <w:widowControl w:val="0"/>
        <w:autoSpaceDE w:val="0"/>
        <w:autoSpaceDN w:val="0"/>
        <w:spacing w:after="0"/>
        <w:ind w:left="567"/>
        <w:jc w:val="both"/>
        <w:rPr>
          <w:i/>
          <w:iCs/>
          <w:sz w:val="20"/>
        </w:rPr>
      </w:pPr>
      <w:r>
        <w:t xml:space="preserve">34. Occorre pertanto risolvere la seconda questione nel senso che una disposizione come quella di cui trattasi nella causa principale, che impone ad ogni agricoltore di far vaccinare i suini presenti nella sua azienda contro la malattia di Aujeszky, non costituisce, ai sensi della direttiva, una regola tecnica che avrebbe dovuto essere notificata alla Commissione prima di essere adottata."</w:t>
      </w:r>
    </w:p>
    <w:p w14:paraId="4573243C" w14:textId="77777777">
      <w:pPr>
        <w:spacing w:after="0" w:line="240" w:lineRule="auto"/>
      </w:pPr>
    </w:p>
    <w:p w14:paraId="6D41E4F7" w14:textId="2DFA6AAE">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5" w:history="1">
        <w:r>
          <w:rPr>
            <w:rStyle w:val="Hyperlink"/>
            <w:rFonts w:ascii="Times New Roman" w:hAnsi="Times New Roman" w:cs="Times New Roman" w:eastAsia="Times New Roman"/>
            <w:b/>
            <w:i/>
            <w:color w:val="0000FF"/>
            <w:szCs w:val="20"/>
          </w:rPr>
          <w:t xml:space="preserve">Sentenza della Corte di giustizia del 3 dicembre 2020</w:t>
        </w:r>
      </w:hyperlink>
      <w:r>
        <w:rPr>
          <w:rFonts w:ascii="Times New Roman" w:hAnsi="Times New Roman" w:cs="Times New Roman" w:eastAsia="Times New Roman"/>
          <w:b/>
          <w:i/>
          <w:szCs w:val="20"/>
        </w:rPr>
        <w:t xml:space="preserve">, Star Taxi App, C-62/19, punti 60 e 61.</w:t>
      </w:r>
      <w:bookmarkEnd w:id="14"/>
    </w:p>
    <w:p w14:paraId="13F9C96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0B016A8" w14:textId="595E56D7">
      <w:pPr>
        <w:pStyle w:val="P68B1DB1-P68B1DB1-Normal135"/>
        <w:widowControl w:val="0"/>
        <w:autoSpaceDE w:val="0"/>
        <w:autoSpaceDN w:val="0"/>
        <w:spacing w:after="0" w:line="240" w:lineRule="auto"/>
        <w:jc w:val="both"/>
        <w:rPr>
          <w:b w:val="0"/>
          <w:bCs/>
          <w:i w:val="0"/>
          <w:iCs/>
        </w:rPr>
      </w:pPr>
      <w:r>
        <w:t xml:space="preserve">Affinché una misura nazionale possa essere qualificata come "regola tecnica", essa deve essere vincolante de jure o de facto, per la prestazione o l'uso del servizio in questione, in uno Stato membro o in una parte importante di esso.</w:t>
      </w:r>
    </w:p>
    <w:p w14:paraId="2E622B9C" w14:textId="77777777">
      <w:pPr>
        <w:widowControl w:val="0"/>
        <w:autoSpaceDE w:val="0"/>
        <w:autoSpaceDN w:val="0"/>
        <w:spacing w:after="0" w:line="240" w:lineRule="auto"/>
        <w:jc w:val="both"/>
        <w:rPr>
          <w:rFonts w:ascii="Times New Roman" w:hAnsi="Times New Roman" w:cs="Times New Roman" w:eastAsia="Times New Roman"/>
          <w:szCs w:val="20"/>
        </w:rPr>
      </w:pPr>
    </w:p>
    <w:p w14:paraId="072FCDD3" w14:textId="5A28BFDE">
      <w:pPr>
        <w:pStyle w:val="P68B1DB1-Normal15"/>
        <w:widowControl w:val="0"/>
        <w:autoSpaceDE w:val="0"/>
        <w:autoSpaceDN w:val="0"/>
        <w:spacing w:after="0" w:line="240" w:lineRule="auto"/>
        <w:ind w:left="567"/>
        <w:jc w:val="both"/>
        <w:rPr>
          <w:i w:val="0"/>
          <w:iCs/>
        </w:rPr>
      </w:pPr>
      <w:r>
        <w:t xml:space="preserve">"60. [...] dall'articolo 1, paragrafo 1, lettera f), primo comma, della direttiva 2015/1535 risulta che per "regola tecnica" si intende "una specificazione tecnica o altri requisiti o una regola relativa ai servizi, comprese le disposizioni amministrative che ad esse si applicano, la cui osservanza è obbligatoria, de jure o de facto, per la commercializzazione, la prestazione di un servizio, lo stabilimento di un operatore di servizi o l'uso in uno Stato membro o in una parte importante di esso, nonché, ad eccezione di quelle di cui all'articolo 7, le disposizioni legislative, regolamentari ed amministrative degli Stati membri che vietano la fabbricazione, l'importazione, la commercializzazione o l'utilizzazione di un prodotto o la prestazione o l'utilizzo di un servizio, o lo stabilimento come prestatore di servizi".</w:t>
      </w:r>
    </w:p>
    <w:p w14:paraId="4FF7DC70" w14:textId="77777777">
      <w:pPr>
        <w:pStyle w:val="P68B1DB1-Normal15"/>
        <w:widowControl w:val="0"/>
        <w:autoSpaceDE w:val="0"/>
        <w:autoSpaceDN w:val="0"/>
        <w:spacing w:after="0" w:line="240" w:lineRule="auto"/>
        <w:ind w:left="567"/>
        <w:jc w:val="both"/>
        <w:rPr>
          <w:i w:val="0"/>
          <w:iCs/>
        </w:rPr>
      </w:pPr>
    </w:p>
    <w:p w14:paraId="4482F387" w14:textId="50B8F03F">
      <w:pPr>
        <w:pStyle w:val="P68B1DB1-Normal15"/>
        <w:widowControl w:val="0"/>
        <w:autoSpaceDE w:val="0"/>
        <w:autoSpaceDN w:val="0"/>
        <w:spacing w:after="0" w:line="240" w:lineRule="auto"/>
        <w:ind w:left="567"/>
        <w:jc w:val="both"/>
        <w:rPr>
          <w:i w:val="0"/>
          <w:iCs/>
        </w:rPr>
      </w:pPr>
      <w:r>
        <w:t xml:space="preserve">61. Ne consegue che, affinché una normativa nazionale riguardante un servizio della società dell'informazione possa essere qualificata come "regola tecnica", essa deve non solo essere qualificata come "regola relativa ai servizi" ai sensi dell'articolo 1, paragrafo 1, lettera e), della direttiva 2015/1535, ma anche essere obbligatoria, de jure o de facto, per quanto riguarda, in particolare, la prestazione del servizio in questione o il suo utilizzo in uno Stato membro o in una parte importante di tale Stato."</w:t>
      </w:r>
    </w:p>
    <w:p w14:paraId="6EC55A15" w14:textId="67024D34">
      <w:pPr>
        <w:pStyle w:val="P68B1DB1-Heading24"/>
        <w:numPr>
          <w:ilvl w:val="0"/>
          <w:numId w:val="35"/>
        </w:numPr>
        <w:spacing w:before="0" w:after="0"/>
        <w:jc w:val="center"/>
        <w:rPr>
          <w:bCs/>
          <w:color w:val="auto"/>
        </w:rPr>
      </w:pPr>
      <w:bookmarkStart w:id="15" w:name="_Ref194481248"/>
      <w:bookmarkStart w:id="16" w:name="_Ref196314204"/>
      <w:bookmarkStart w:id="17" w:name="_Toc203035667"/>
      <w:bookmarkEnd w:id="15"/>
      <w:r>
        <w:t xml:space="preserve">Capitolato d'oneri</w:t>
      </w:r>
      <w:bookmarkEnd w:id="16"/>
      <w:bookmarkEnd w:id="17"/>
    </w:p>
    <w:p w14:paraId="241DC1E1" w14:textId="77777777">
      <w:pPr>
        <w:pStyle w:val="BodyText"/>
      </w:pPr>
    </w:p>
    <w:p w14:paraId="24A39E18" w14:textId="77777777">
      <w:pPr>
        <w:pStyle w:val="P68B1DB1-BodyText11"/>
        <w:ind w:left="567"/>
      </w:pPr>
      <w:r>
        <w:t xml:space="preserve">"per "specificazione tecnica" si intende una specificazione che figura in un documento che definisce le caratteristiche richieste di un prodotto, quali i livelli di qualità o di proprietà di utilizzazione, la sicurezza, le dimensioni, comprese le prescrizioni applicabili al prodotto per quanto riguarda la denominazione di vendita, la terminologia, i simboli, le prove e i metodi di prova, l'imballaggio, la marcatura e l'etichettatura, nonché le procedure di valutazione della conformità.</w:t>
      </w:r>
    </w:p>
    <w:p w14:paraId="33F4D1E4" w14:textId="77777777">
      <w:pPr>
        <w:pStyle w:val="P68B1DB1-BodyText11"/>
        <w:ind w:left="567"/>
      </w:pPr>
    </w:p>
    <w:p w14:paraId="5224E321" w14:textId="77777777">
      <w:pPr>
        <w:pStyle w:val="P68B1DB1-BodyText11"/>
        <w:ind w:left="567"/>
        <w:rPr>
          <w:iCs/>
        </w:rPr>
      </w:pPr>
      <w:r>
        <w:t xml:space="preserve">Il termine "specificazione tecnica" comprende anche i metodi e i procedimenti di produzione dei prodotti agricoli di cui all'articolo 38, paragrafo 1, secondo comma, del trattato sul funzionamento dell'Unione europea (TFUE), dei prodotti destinati all'alimentazione umana e animale e dei medicinali quali definiti all'articolo 1 della direttiva n. 2001/83/CE del Parlamento europeo e del Consiglio (1), nonché i metodi e i processi di produzione relativi ad altri prodotti, qualora abbiano un'incidenza sulle loro caratteristiche;"</w:t>
      </w:r>
    </w:p>
    <w:p w14:paraId="6C2A57E1" w14:textId="77777777">
      <w:pPr>
        <w:pStyle w:val="BodyText"/>
        <w:ind w:left="567"/>
        <w:rPr>
          <w:i/>
          <w:iCs/>
        </w:rPr>
      </w:pPr>
    </w:p>
    <w:p w14:paraId="2F7A4C59" w14:textId="62E0EC95">
      <w:pPr>
        <w:pStyle w:val="BodyText"/>
        <w:ind w:left="1440"/>
        <w:jc w:val="right"/>
      </w:pPr>
      <w:r>
        <w:t xml:space="preserve">(Articolo 1, paragrafo 1, lettera c), della direttiva (UE) 2015/1535)</w:t>
      </w:r>
    </w:p>
    <w:p w14:paraId="01CFC4AF" w14:textId="77777777">
      <w:pPr>
        <w:spacing w:after="0" w:line="240" w:lineRule="auto"/>
      </w:pPr>
    </w:p>
    <w:p w14:paraId="1AB91297" w14:textId="219B80DD">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6" w:history="1">
        <w:r>
          <w:rPr>
            <w:rStyle w:val="Hyperlink"/>
            <w:rFonts w:ascii="Times New Roman" w:hAnsi="Times New Roman" w:cs="Times New Roman" w:eastAsia="Times New Roman"/>
            <w:b/>
            <w:i/>
            <w:color w:val="0000FF"/>
            <w:szCs w:val="20"/>
          </w:rPr>
          <w:t xml:space="preserve">Sentenza della Corte di giustizia dell'11 gennaio 1996</w:t>
        </w:r>
      </w:hyperlink>
      <w:r>
        <w:rPr>
          <w:rFonts w:ascii="Times New Roman" w:hAnsi="Times New Roman" w:cs="Times New Roman" w:eastAsia="Times New Roman"/>
          <w:b/>
          <w:i/>
          <w:szCs w:val="20"/>
        </w:rPr>
        <w:t xml:space="preserve">, Commissione/Paesi Bassi, C-273/94, punto 13.</w:t>
      </w:r>
      <w:bookmarkEnd w:id="18"/>
    </w:p>
    <w:p w14:paraId="490AFA5B"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45335B30" w14:textId="77777777">
      <w:pPr>
        <w:pStyle w:val="P68B1DB1-P68B1DB1-Normal135"/>
        <w:widowControl w:val="0"/>
        <w:tabs>
          <w:tab w:val="left" w:pos="396"/>
          <w:tab w:val="left" w:pos="405"/>
        </w:tabs>
        <w:autoSpaceDE w:val="0"/>
        <w:autoSpaceDN w:val="0"/>
        <w:spacing w:after="0" w:line="240" w:lineRule="auto"/>
        <w:jc w:val="both"/>
        <w:rPr>
          <w:b w:val="0"/>
          <w:bCs/>
          <w:i w:val="0"/>
          <w:iCs/>
        </w:rPr>
      </w:pPr>
      <w:r>
        <w:t xml:space="preserve">Una norma nazionale che introduce una deroga ad una regola tecnica esistente per un determinato prodotto costituisce una "regola tecnica" se impone "specificazioni tecniche" alternative che chiunque desideri beneficiare della deroga deve rispettare. </w:t>
      </w:r>
    </w:p>
    <w:p w14:paraId="5E3E0A04"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0D132388" w14:textId="17D2E715">
      <w:pPr>
        <w:pStyle w:val="P68B1DB1-P68B1DB1-Normal147"/>
        <w:widowControl w:val="0"/>
        <w:tabs>
          <w:tab w:val="left" w:pos="405"/>
        </w:tabs>
        <w:autoSpaceDE w:val="0"/>
        <w:autoSpaceDN w:val="0"/>
        <w:spacing w:after="0" w:line="240" w:lineRule="auto"/>
        <w:ind w:left="567"/>
        <w:jc w:val="both"/>
        <w:rPr>
          <w:i/>
          <w:iCs/>
          <w:sz w:val="20"/>
          <w:szCs w:val="18"/>
        </w:rPr>
      </w:pPr>
      <w:r>
        <w:t xml:space="preserve">"13. L'applicazione a un determinato prodotto, come la margarina, di un regolamento che deroga ad un'altra regola tecnica già esistente per lo stesso prodotto costituisce una regola tecnica ai sensi dell'articolo 1, paragrafo 5, della direttiva, in quanto essa stabilisce specificazioni tecniche ai sensi dell'articolo 1, paragrafo 1, la cui osservanza è obbligatoria, de jure o de facto, quando tale prodotto è commercializzato o utilizzato. Infatti, se non viene prodotta secondo quanto disposto dal decreto sulla margarina, la margarina può essere fabbricata solo con l'uso dei succedanei autorizzati dal regolamento controverso. L'utilizzazione di tali succedanei non soltanto è limitata alle prescrizioni del regolamento controverso, ma rappresenta la sola alternativa ai prodotti che possono essere impiegati ai sensi del decreto sulla margarina. L'ordinanza controversa avrebbe quindi dovuto essere notificata conformemente alla direttiva."</w:t>
      </w:r>
    </w:p>
    <w:p w14:paraId="3246D759" w14:textId="77777777">
      <w:pPr>
        <w:spacing w:after="0" w:line="240" w:lineRule="auto"/>
      </w:pPr>
    </w:p>
    <w:bookmarkStart w:id="19" w:name="_Hlk193381440"/>
    <w:p w14:paraId="62C03AFC" w14:textId="2795F956">
      <w:pPr>
        <w:pStyle w:val="P68B1DB1-P68B1DB1-Normal168"/>
        <w:widowControl w:val="0"/>
        <w:autoSpaceDE w:val="0"/>
        <w:autoSpaceDN w:val="0"/>
        <w:spacing w:after="0" w:line="240" w:lineRule="auto"/>
        <w:jc w:val="both"/>
        <w:outlineLvl w:val="1"/>
        <w:rPr>
          <w:b/>
          <w:bCs/>
          <w:i/>
          <w:iCs/>
          <w:sz w:val="22"/>
          <w:szCs w:val="18"/>
          <w:u w:val="single"/>
        </w:rPr>
      </w:pPr>
      <w:r>
        <w:rPr>
          <w:u w:val="single"/>
        </w:rPr>
        <w:fldChar w:fldCharType="begin"/>
      </w:r>
      <w:r>
        <w:rPr>
          <w:b/>
          <w:bCs/>
          <w:i/>
          <w:iCs/>
          <w:sz w:val="22"/>
          <w:szCs w:val="18"/>
          <w:u w:val="single"/>
        </w:rPr>
        <w:instrText>HYPERLINK "https://eur-lex.europa.eu/legal-content/EN/TXT/PDF/?uri=CELEX:61994CJ0194"</w:instrText>
      </w:r>
      <w:r>
        <w:rPr>
          <w:b/>
          <w:bCs/>
          <w:i/>
          <w:iCs/>
          <w:sz w:val="22"/>
          <w:szCs w:val="18"/>
          <w:u w:val="single"/>
        </w:rPr>
      </w:r>
      <w:r>
        <w:rPr>
          <w:b/>
          <w:bCs/>
          <w:i/>
          <w:iCs/>
          <w:sz w:val="22"/>
          <w:szCs w:val="18"/>
          <w:u w:val="single"/>
        </w:rPr>
        <w:fldChar w:fldCharType="separate"/>
      </w:r>
      <w:bookmarkStart w:id="20" w:name="_Toc198043789"/>
      <w:r>
        <w:rPr>
          <w:b/>
          <w:bCs/>
          <w:i/>
          <w:iCs/>
          <w:color w:val="0000FF"/>
          <w:sz w:val="22"/>
          <w:szCs w:val="18"/>
          <w:u w:val="single"/>
        </w:rPr>
        <w:t xml:space="preserve">Sentenza della Corte di giustizia del 30 aprile 1996</w:t>
      </w:r>
      <w:r/>
      <w:r>
        <w:rPr>
          <w:b/>
          <w:bCs/>
          <w:i/>
          <w:iCs/>
          <w:color w:val="0000FF"/>
          <w:sz w:val="22"/>
          <w:szCs w:val="18"/>
          <w:u w:val="single"/>
        </w:rPr>
        <w:fldChar w:fldCharType="end"/>
        <w:t xml:space="preserve">, CIA Security International SA, C-194/94, punto 30.</w:t>
      </w:r>
      <w:bookmarkEnd w:id="20"/>
    </w:p>
    <w:p w14:paraId="03A3C498"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CB9B60A" w14:textId="77777777">
      <w:pPr>
        <w:pStyle w:val="P68B1DB1-P68B1DB1-Normal135"/>
        <w:widowControl w:val="0"/>
        <w:tabs>
          <w:tab w:val="left" w:pos="393"/>
        </w:tabs>
        <w:autoSpaceDE w:val="0"/>
        <w:autoSpaceDN w:val="0"/>
        <w:spacing w:after="0" w:line="240" w:lineRule="auto"/>
        <w:jc w:val="both"/>
        <w:rPr>
          <w:b w:val="0"/>
          <w:bCs/>
          <w:i w:val="0"/>
          <w:iCs/>
        </w:rPr>
      </w:pPr>
      <w:r>
        <w:t xml:space="preserve">Una norma deve essere qualificata come "regola tecnica" quando impone alle imprese interessate di chiedere la previa omologazione del loro materiale, anche se le norme amministrative previste non sono state adottate.</w:t>
      </w:r>
    </w:p>
    <w:p w14:paraId="3B8967AA" w14:textId="77777777">
      <w:pPr>
        <w:widowControl w:val="0"/>
        <w:tabs>
          <w:tab w:val="left" w:pos="393"/>
        </w:tabs>
        <w:autoSpaceDE w:val="0"/>
        <w:autoSpaceDN w:val="0"/>
        <w:spacing w:after="0" w:line="240" w:lineRule="auto"/>
        <w:jc w:val="both"/>
        <w:rPr>
          <w:rFonts w:ascii="Times New Roman" w:hAnsi="Times New Roman" w:cs="Times New Roman" w:eastAsia="Times New Roman"/>
          <w:szCs w:val="20"/>
        </w:rPr>
      </w:pPr>
    </w:p>
    <w:p w14:paraId="215AA9EB" w14:textId="10F7CC33">
      <w:pPr>
        <w:pStyle w:val="P68B1DB1-P68B1DB1-Normal147"/>
        <w:widowControl w:val="0"/>
        <w:tabs>
          <w:tab w:val="left" w:pos="396"/>
        </w:tabs>
        <w:autoSpaceDE w:val="0"/>
        <w:autoSpaceDN w:val="0"/>
        <w:spacing w:after="0" w:line="240" w:lineRule="auto"/>
        <w:ind w:left="567"/>
        <w:jc w:val="both"/>
        <w:rPr>
          <w:i/>
          <w:iCs/>
          <w:sz w:val="20"/>
          <w:szCs w:val="18"/>
        </w:rPr>
      </w:pPr>
      <w:r>
        <w:t>"30</w:t>
      </w:r>
      <w:bookmarkEnd w:id="19"/>
      <w:r>
        <w:t xml:space="preserve">. [...] una regola deve essere qualificata come regola tecnica ai sensi della direttiva 83/189 se, come ha sostenuto il governo belga all'udienza, impone alle imprese interessate di chiedere la previa approvazione delle loro apparecchiature, anche se le norme amministrative previste non sono state adottate".</w:t>
      </w:r>
    </w:p>
    <w:p w14:paraId="2E3568F3" w14:textId="77777777">
      <w:pPr>
        <w:spacing w:after="0" w:line="240" w:lineRule="auto"/>
      </w:pPr>
    </w:p>
    <w:bookmarkStart w:id="21" w:name="_Hlk193380849"/>
    <w:p w14:paraId="5207FE2E" w14:textId="5E0891EF">
      <w:pPr>
        <w:pStyle w:val="P68B1DB1-P68B1DB1-Normal169"/>
        <w:widowControl w:val="0"/>
        <w:autoSpaceDE w:val="0"/>
        <w:autoSpaceDN w:val="0"/>
        <w:spacing w:after="0" w:line="240" w:lineRule="auto"/>
        <w:jc w:val="both"/>
        <w:outlineLvl w:val="1"/>
        <w:rPr>
          <w:b/>
          <w:bCs/>
          <w:i/>
          <w:iCs/>
          <w:sz w:val="24"/>
          <w:szCs w:val="20"/>
        </w:rPr>
      </w:pPr>
      <w:r>
        <w:fldChar w:fldCharType="begin"/>
      </w:r>
      <w:r>
        <w:rPr>
          <w:b/>
          <w:bCs/>
          <w:i/>
          <w:iCs/>
          <w:sz w:val="24"/>
          <w:szCs w:val="20"/>
        </w:rPr>
        <w:instrText>HYPERLINK "https://curia.europa.eu/juris/showPdf.jsf?text=&amp;docid=43725&amp;pageIndex=0&amp;doclang=EN&amp;mode=lst&amp;dir=&amp;occ=first&amp;part=1&amp;cid=10811412"</w:instrText>
      </w:r>
      <w:r>
        <w:rPr>
          <w:b/>
          <w:bCs/>
          <w:i/>
          <w:iCs/>
          <w:sz w:val="24"/>
          <w:szCs w:val="20"/>
        </w:rPr>
      </w:r>
      <w:r>
        <w:rPr>
          <w:b/>
          <w:bCs/>
          <w:i/>
          <w:iCs/>
          <w:sz w:val="24"/>
          <w:szCs w:val="20"/>
        </w:rPr>
        <w:fldChar w:fldCharType="separate"/>
      </w:r>
      <w:bookmarkStart w:id="22" w:name="_Toc198043790"/>
      <w:r>
        <w:rPr>
          <w:b/>
          <w:bCs/>
          <w:i/>
          <w:iCs/>
          <w:color w:val="0000FF"/>
          <w:sz w:val="24"/>
          <w:szCs w:val="20"/>
          <w:u w:val="single"/>
        </w:rPr>
        <w:t xml:space="preserve">Sentenza della Corte di giustizia del 16 settembre 1996</w:t>
      </w:r>
      <w:r>
        <w:rPr>
          <w:b/>
          <w:bCs/>
          <w:i/>
          <w:iCs/>
          <w:color w:val="0000FF"/>
          <w:sz w:val="24"/>
          <w:szCs w:val="20"/>
          <w:u w:val="single"/>
        </w:rPr>
        <w:fldChar w:fldCharType="end"/>
        <w:t xml:space="preserve">, Commissione/Italia, C-279/94, non ancora pubblicata nella Raccolta, punto 34.</w:t>
      </w:r>
      <w:bookmarkEnd w:id="22"/>
    </w:p>
    <w:p w14:paraId="17AF04A1" w14:textId="77777777">
      <w:pPr>
        <w:widowControl w:val="0"/>
        <w:tabs>
          <w:tab w:val="left" w:pos="396"/>
          <w:tab w:val="left" w:pos="461"/>
        </w:tabs>
        <w:autoSpaceDE w:val="0"/>
        <w:autoSpaceDN w:val="0"/>
        <w:spacing w:after="0" w:line="240" w:lineRule="auto"/>
        <w:ind w:hanging="142"/>
        <w:jc w:val="both"/>
        <w:rPr>
          <w:rFonts w:ascii="Times New Roman" w:hAnsi="Times New Roman" w:cs="Times New Roman" w:eastAsia="Times New Roman"/>
          <w:szCs w:val="20"/>
        </w:rPr>
      </w:pPr>
    </w:p>
    <w:p w14:paraId="305146C4" w14:textId="48041DD6">
      <w:pPr>
        <w:pStyle w:val="P68B1DB1-P68B1DB1-Normal135"/>
        <w:widowControl w:val="0"/>
        <w:tabs>
          <w:tab w:val="left" w:pos="396"/>
          <w:tab w:val="left" w:pos="461"/>
        </w:tabs>
        <w:autoSpaceDE w:val="0"/>
        <w:autoSpaceDN w:val="0"/>
        <w:spacing w:after="0" w:line="240" w:lineRule="auto"/>
        <w:jc w:val="both"/>
        <w:rPr>
          <w:b w:val="0"/>
          <w:bCs/>
          <w:i w:val="0"/>
          <w:iCs/>
        </w:rPr>
      </w:pPr>
      <w:r>
        <w:t xml:space="preserve">Una disposizione che fissi limiti alla concentrazione di fibre di amianto respirabili nei luoghi di lavoro non è una "specificazione tecnica" in quanto non definisce le caratteristiche richieste di un prodotto.</w:t>
      </w:r>
    </w:p>
    <w:bookmarkEnd w:id="21"/>
    <w:p w14:paraId="3914A279" w14:textId="77777777">
      <w:pPr>
        <w:widowControl w:val="0"/>
        <w:tabs>
          <w:tab w:val="left" w:pos="396"/>
          <w:tab w:val="left" w:pos="461"/>
        </w:tabs>
        <w:autoSpaceDE w:val="0"/>
        <w:autoSpaceDN w:val="0"/>
        <w:spacing w:after="0" w:line="240" w:lineRule="auto"/>
        <w:jc w:val="both"/>
        <w:rPr>
          <w:rFonts w:ascii="Times New Roman" w:hAnsi="Times New Roman" w:cs="Times New Roman" w:eastAsia="Times New Roman"/>
          <w:i/>
          <w:iCs/>
          <w:sz w:val="20"/>
          <w:szCs w:val="16"/>
        </w:rPr>
      </w:pPr>
    </w:p>
    <w:p w14:paraId="67A9CA8E" w14:textId="0D618384">
      <w:pPr>
        <w:pStyle w:val="P68B1DB1-P68B1DB1-Normal147"/>
        <w:widowControl w:val="0"/>
        <w:tabs>
          <w:tab w:val="left" w:pos="396"/>
          <w:tab w:val="left" w:pos="461"/>
        </w:tabs>
        <w:autoSpaceDE w:val="0"/>
        <w:autoSpaceDN w:val="0"/>
        <w:spacing w:after="0" w:line="240" w:lineRule="auto"/>
        <w:ind w:left="567"/>
        <w:jc w:val="both"/>
        <w:rPr>
          <w:i/>
          <w:iCs/>
          <w:sz w:val="20"/>
          <w:szCs w:val="18"/>
        </w:rPr>
      </w:pPr>
      <w:r>
        <w:t xml:space="preserve">"34. Tuttavia, ai sensi dell'articolo 1, punto 5, della direttiva, per "regola tecnica" si intende "una specificazione tecnica, comprese le disposizioni che ad esse si applicano, la cui osservanza è obbligatoria, de jure o de facto, per la commercializzazione o l'utilizzazione in uno Stato membro". Ai sensi dell'articolo 1, punto 1, della direttiva, per "specificazione tecnica" si intende una specificazione contenuta in un documento che definisce le caratteristiche richieste di un prodotto, quali i livelli di qualità, di prestazione e di sicurezza. L'articolo 3, paragrafo 1, della legge n. 257/92 stabilisce limiti per la concentrazione di fibre di amianto inalabili nei luoghi di lavoro. Poiché tale disposizione non definisce una caratteristica richiesta per un prodotto, essa non rientra, in linea di principio, nella definizione di specificazione tecnica e, di conseguenza, non può essere considerata una regola tecnica che deve essere notificata alla Commissione ai sensi dell'articolo 8, paragrafo 1, primo comma, della direttiva. Sebbene il rispetto dei valori limite di concentrazione di fibre di amianto inalabili di cui all'articolo 3 della legge n. 257/92 possa avere conseguenze per quanto riguarda le caratteristiche del prodotto in questione, come previsto dall'articolo 1, punto 1, della direttiva, la Commissione non ha dimostrato in che modo ciò possa verificarsi."</w:t>
      </w:r>
    </w:p>
    <w:p w14:paraId="77CC982D" w14:textId="77777777">
      <w:pPr>
        <w:spacing w:after="0" w:line="240" w:lineRule="auto"/>
      </w:pPr>
    </w:p>
    <w:p w14:paraId="7EF6FA71" w14:textId="696433A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17" w:history="1">
        <w:r>
          <w:rPr>
            <w:color w:val="0000FF"/>
            <w:u w:val="single"/>
          </w:rPr>
          <w:t xml:space="preserve">Sentenza della Corte di giustizia del 17 settembre 1996</w:t>
        </w:r>
      </w:hyperlink>
      <w:r>
        <w:t xml:space="preserve">, Commissione/Italia, C-289/94, non ancora pubblicata nella Raccolta, punto 32.</w:t>
      </w:r>
      <w:bookmarkEnd w:id="23"/>
    </w:p>
    <w:p w14:paraId="63F2CA3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4459CD7" w14:textId="60F96DFC">
      <w:pPr>
        <w:pStyle w:val="P68B1DB1-P68B1DB1-Normal135"/>
        <w:widowControl w:val="0"/>
        <w:tabs>
          <w:tab w:val="left" w:pos="393"/>
          <w:tab w:val="left" w:pos="396"/>
        </w:tabs>
        <w:autoSpaceDE w:val="0"/>
        <w:autoSpaceDN w:val="0"/>
        <w:spacing w:after="0" w:line="240" w:lineRule="auto"/>
        <w:jc w:val="both"/>
        <w:rPr>
          <w:b w:val="0"/>
          <w:bCs/>
          <w:i w:val="0"/>
          <w:iCs/>
        </w:rPr>
      </w:pPr>
      <w:r>
        <w:t xml:space="preserve">Un decreto che disciplina la qualità delle acque destinate alla coltivazione dei molluschi costituisce una "regola tecnica" soggetta a notifica a causa del suo impatto diretto sulla commercializzazione dei prodotti interessati. </w:t>
      </w:r>
    </w:p>
    <w:p w14:paraId="2D9EC8A9" w14:textId="77777777">
      <w:pPr>
        <w:widowControl w:val="0"/>
        <w:tabs>
          <w:tab w:val="left" w:pos="393"/>
          <w:tab w:val="left" w:pos="396"/>
        </w:tabs>
        <w:autoSpaceDE w:val="0"/>
        <w:autoSpaceDN w:val="0"/>
        <w:spacing w:after="0" w:line="240" w:lineRule="auto"/>
        <w:jc w:val="both"/>
        <w:rPr>
          <w:rFonts w:ascii="Times New Roman" w:hAnsi="Times New Roman" w:cs="Times New Roman" w:eastAsia="Times New Roman"/>
          <w:szCs w:val="20"/>
        </w:rPr>
      </w:pPr>
    </w:p>
    <w:p w14:paraId="3F84CC3E" w14:textId="06ABFE08">
      <w:pPr>
        <w:pStyle w:val="P68B1DB1-P68B1DB1-Normal147"/>
        <w:widowControl w:val="0"/>
        <w:tabs>
          <w:tab w:val="left" w:pos="393"/>
          <w:tab w:val="left" w:pos="396"/>
        </w:tabs>
        <w:autoSpaceDE w:val="0"/>
        <w:autoSpaceDN w:val="0"/>
        <w:spacing w:after="0" w:line="240" w:lineRule="auto"/>
        <w:ind w:left="567"/>
        <w:jc w:val="both"/>
        <w:rPr>
          <w:i/>
          <w:iCs/>
          <w:sz w:val="20"/>
          <w:szCs w:val="18"/>
        </w:rPr>
      </w:pPr>
      <w:r>
        <w:t xml:space="preserve">"32.  Il decreto n. 256, anche se verte su taluni aspetti della qualità delle acque destinate ad accogliere popolazioni di molluschi eduli lamellibranchi, pone cionondimeno in essere, come giustamente sottolineato dalla Commissione, un nesso molto stretto tra la qualità delle acque di coltura e la commercializzazione dei molluschi lamellibranchi destinati al consumo umano. Infatti, soltanto i molluschi coltivati in acque che rispondono alle specificazioni tecniche istituite dal decreto n. 256 potranno essere commercializzati. Il rispetto di tali specifiche, che sono vincolanti, ha quindi un impatto diretto sulla commercializzazione dei molluschi, cosicché il decreto n. 256 deve essere considerato una regola tecnica soggetta all'obbligo di notifica di cui all'articolo 8 della direttiva 83/189."</w:t>
      </w:r>
    </w:p>
    <w:p w14:paraId="649C3FFC" w14:textId="77777777">
      <w:pPr>
        <w:spacing w:after="0" w:line="240" w:lineRule="auto"/>
      </w:pPr>
    </w:p>
    <w:p w14:paraId="594FA21A" w14:textId="5BFD552E">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18" w:history="1">
        <w:r>
          <w:rPr>
            <w:color w:val="0000FF"/>
            <w:u w:val="single"/>
          </w:rPr>
          <w:t xml:space="preserve">Sentenza dell'11 maggio 1999</w:t>
        </w:r>
      </w:hyperlink>
      <w:r>
        <w:t xml:space="preserve">, Albers e a., da C-425/97 a 427/97, ibidem, punti 16 e 17.</w:t>
      </w:r>
      <w:bookmarkEnd w:id="24"/>
    </w:p>
    <w:p w14:paraId="5F0AAD7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7AC9467" w14:textId="6F183D52">
      <w:pPr>
        <w:pStyle w:val="P68B1DB1-P68B1DB1-Normal135"/>
        <w:widowControl w:val="0"/>
        <w:tabs>
          <w:tab w:val="left" w:pos="403"/>
        </w:tabs>
        <w:autoSpaceDE w:val="0"/>
        <w:autoSpaceDN w:val="0"/>
        <w:spacing w:after="0" w:line="240" w:lineRule="auto"/>
        <w:jc w:val="both"/>
        <w:rPr>
          <w:b w:val="0"/>
          <w:bCs/>
          <w:i w:val="0"/>
          <w:iCs/>
        </w:rPr>
      </w:pPr>
      <w:r>
        <w:t xml:space="preserve">Le norme che vietano la somministrazione di taluni medicinali ai bovini costituiscono "specificazioni tecniche" in quanto definiscono i metodi di produzione dei prodotti agricoli.</w:t>
      </w:r>
    </w:p>
    <w:p w14:paraId="72C610C7"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337E8892" w14:textId="77777777">
      <w:pPr>
        <w:pStyle w:val="P68B1DB1-P68B1DB1-Normal147"/>
        <w:widowControl w:val="0"/>
        <w:tabs>
          <w:tab w:val="left" w:pos="403"/>
        </w:tabs>
        <w:autoSpaceDE w:val="0"/>
        <w:autoSpaceDN w:val="0"/>
        <w:spacing w:after="0"/>
        <w:ind w:left="567"/>
        <w:jc w:val="both"/>
        <w:rPr>
          <w:i/>
          <w:iCs/>
          <w:sz w:val="20"/>
          <w:szCs w:val="18"/>
        </w:rPr>
      </w:pPr>
      <w:r>
        <w:t xml:space="preserve">"16. una normativa che, come nel caso di specie, mira ad impedire la somministrazione di sostanze simpatico-imetiche ai bovini da ingrasso di età superiore a 14 settimane costituisce una specificazione tecnica ai sensi dell'articolo 1, paragrafo 1, della direttiva 83/189.</w:t>
      </w:r>
    </w:p>
    <w:p w14:paraId="184A20A2" w14:textId="77777777">
      <w:pPr>
        <w:pStyle w:val="P68B1DB1-Normal14"/>
        <w:widowControl w:val="0"/>
        <w:tabs>
          <w:tab w:val="left" w:pos="403"/>
        </w:tabs>
        <w:autoSpaceDE w:val="0"/>
        <w:autoSpaceDN w:val="0"/>
        <w:spacing w:after="0"/>
        <w:ind w:left="567"/>
        <w:jc w:val="both"/>
        <w:rPr>
          <w:i/>
          <w:iCs/>
          <w:sz w:val="20"/>
          <w:szCs w:val="18"/>
        </w:rPr>
      </w:pPr>
    </w:p>
    <w:p w14:paraId="6ED2A74A" w14:textId="77777777">
      <w:pPr>
        <w:pStyle w:val="P68B1DB1-P68B1DB1-Normal147"/>
        <w:widowControl w:val="0"/>
        <w:tabs>
          <w:tab w:val="left" w:pos="403"/>
        </w:tabs>
        <w:autoSpaceDE w:val="0"/>
        <w:autoSpaceDN w:val="0"/>
        <w:spacing w:after="0"/>
        <w:ind w:left="567"/>
        <w:jc w:val="both"/>
        <w:rPr>
          <w:i/>
          <w:iCs/>
          <w:sz w:val="20"/>
          <w:szCs w:val="18"/>
        </w:rPr>
      </w:pPr>
      <w:r>
        <w:t xml:space="preserve">17. Tali norme definiscono i metodi e le procedure di produzione dei prodotti agricoli quali definiti all'articolo 38, paragrafo 1, del trattato CE (divenuto, in seguito a modifica, articolo 32, paragrafo 1, CE) destinati all'alimentazione umana".</w:t>
      </w:r>
    </w:p>
    <w:p w14:paraId="2268A3D1" w14:textId="77777777">
      <w:pPr>
        <w:pStyle w:val="P68B1DB1-Normal14"/>
        <w:widowControl w:val="0"/>
        <w:tabs>
          <w:tab w:val="left" w:pos="403"/>
        </w:tabs>
        <w:autoSpaceDE w:val="0"/>
        <w:autoSpaceDN w:val="0"/>
        <w:spacing w:after="0" w:line="240" w:lineRule="auto"/>
        <w:ind w:left="567"/>
        <w:jc w:val="both"/>
      </w:pPr>
    </w:p>
    <w:p w14:paraId="23614BFD" w14:textId="3A1567C1">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19" w:history="1">
        <w:r>
          <w:rPr>
            <w:color w:val="0000FF"/>
            <w:u w:val="single"/>
          </w:rPr>
          <w:t xml:space="preserve">Sentenza della Corte di giustizia del 22 gennaio 2000</w:t>
        </w:r>
      </w:hyperlink>
      <w:r>
        <w:t xml:space="preserve">, Canal Satélite Digital, C-390/99, punti da 45 a 47.</w:t>
      </w:r>
      <w:bookmarkEnd w:id="25"/>
    </w:p>
    <w:p w14:paraId="66ACF23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3D40E02" w14:textId="3EBC10F3">
      <w:pPr>
        <w:pStyle w:val="P68B1DB1-P68B1DB1-Normal135"/>
        <w:widowControl w:val="0"/>
        <w:tabs>
          <w:tab w:val="left" w:pos="396"/>
          <w:tab w:val="left" w:pos="405"/>
        </w:tabs>
        <w:autoSpaceDE w:val="0"/>
        <w:autoSpaceDN w:val="0"/>
        <w:spacing w:after="0" w:line="240" w:lineRule="auto"/>
        <w:jc w:val="both"/>
        <w:rPr>
          <w:b w:val="0"/>
          <w:bCs/>
          <w:i w:val="0"/>
          <w:iCs/>
        </w:rPr>
      </w:pPr>
      <w:r>
        <w:t xml:space="preserve">Una norma nazionale che impone la previa registrazione e certificazione delle apparecchiature per la trasmissione e la ricezione in formato digitale di segnali televisivi via satellite prima della sua commercializzazione costituisce una "regola tecnica" in quanto definisce le caratteristiche dei prodotti interessati. </w:t>
      </w:r>
    </w:p>
    <w:p w14:paraId="492A0BC9"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6D130C89" w14:textId="373E8FE6">
      <w:pPr>
        <w:pStyle w:val="P68B1DB1-P68B1DB1-Normal147"/>
        <w:widowControl w:val="0"/>
        <w:tabs>
          <w:tab w:val="left" w:pos="396"/>
          <w:tab w:val="left" w:pos="405"/>
        </w:tabs>
        <w:autoSpaceDE w:val="0"/>
        <w:autoSpaceDN w:val="0"/>
        <w:spacing w:after="0" w:line="240" w:lineRule="auto"/>
        <w:ind w:left="425"/>
        <w:jc w:val="both"/>
        <w:rPr>
          <w:i/>
          <w:iCs/>
          <w:sz w:val="20"/>
          <w:szCs w:val="18"/>
        </w:rPr>
      </w:pPr>
      <w:r>
        <w:t xml:space="preserve">"45. [...] la Corte ha già dichiarato che non costituiscono regole tecniche ai sensi dell'articolo 1, punto 9, della direttiva 83/189 disposizioni nazionali che si limitano a stabilire condizioni per lo stabilimento di imprese, quali le disposizioni che subordinano l'esercizio di un'attività ad un'autorizzazione preventiva. Le regole tecniche ai sensi di tale disposizione sono le specificazioni che definiscono le caratteristiche dei prodotti e non quelle relative agli operatori economici (causa C-194/94 CIA Security, Racc. 1996, pag. I-2201, punto 25; Causa C-278/99, Van der Burg (Raccolta 2001, pag. I-2015, punto 20).</w:t>
      </w:r>
    </w:p>
    <w:p w14:paraId="0ED4E0E7" w14:textId="77777777">
      <w:pPr>
        <w:pStyle w:val="P68B1DB1-Normal14"/>
        <w:widowControl w:val="0"/>
        <w:tabs>
          <w:tab w:val="left" w:pos="396"/>
          <w:tab w:val="left" w:pos="405"/>
        </w:tabs>
        <w:autoSpaceDE w:val="0"/>
        <w:autoSpaceDN w:val="0"/>
        <w:spacing w:after="0" w:line="240" w:lineRule="auto"/>
        <w:ind w:left="567" w:hanging="142"/>
        <w:jc w:val="both"/>
        <w:rPr>
          <w:i/>
          <w:iCs/>
          <w:sz w:val="20"/>
          <w:szCs w:val="18"/>
        </w:rPr>
      </w:pPr>
    </w:p>
    <w:p w14:paraId="17C4BE95" w14:textId="77777777">
      <w:pPr>
        <w:pStyle w:val="P68B1DB1-P68B1DB1-Normal147"/>
        <w:widowControl w:val="0"/>
        <w:tabs>
          <w:tab w:val="left" w:pos="396"/>
          <w:tab w:val="left" w:pos="405"/>
        </w:tabs>
        <w:autoSpaceDE w:val="0"/>
        <w:autoSpaceDN w:val="0"/>
        <w:spacing w:after="0" w:line="240" w:lineRule="auto"/>
        <w:ind w:left="425"/>
        <w:jc w:val="both"/>
        <w:rPr>
          <w:i/>
          <w:iCs/>
          <w:sz w:val="20"/>
          <w:szCs w:val="18"/>
        </w:rPr>
      </w:pPr>
      <w:r>
        <w:t xml:space="preserve">46. Tuttavia, una disposizione nazionale deve essere qualificata come regola tecnica ai sensi dell'articolo 1, punto 9, della direttiva 83/189 se impone alle imprese interessate di chiedere la previa approvazione delle loro attrezzature (sentenza CIA Security, cit., punto 30).</w:t>
      </w:r>
    </w:p>
    <w:p w14:paraId="71D02A99" w14:textId="77777777">
      <w:pPr>
        <w:pStyle w:val="P68B1DB1-Normal14"/>
        <w:widowControl w:val="0"/>
        <w:tabs>
          <w:tab w:val="left" w:pos="396"/>
          <w:tab w:val="left" w:pos="405"/>
        </w:tabs>
        <w:autoSpaceDE w:val="0"/>
        <w:autoSpaceDN w:val="0"/>
        <w:spacing w:after="0" w:line="240" w:lineRule="auto"/>
        <w:ind w:left="567" w:hanging="142"/>
        <w:jc w:val="both"/>
        <w:rPr>
          <w:i/>
          <w:iCs/>
          <w:sz w:val="20"/>
          <w:szCs w:val="18"/>
        </w:rPr>
      </w:pPr>
    </w:p>
    <w:p w14:paraId="59FF32EE" w14:textId="77777777">
      <w:pPr>
        <w:pStyle w:val="P68B1DB1-P68B1DB1-Normal147"/>
        <w:widowControl w:val="0"/>
        <w:tabs>
          <w:tab w:val="left" w:pos="396"/>
          <w:tab w:val="left" w:pos="405"/>
        </w:tabs>
        <w:autoSpaceDE w:val="0"/>
        <w:autoSpaceDN w:val="0"/>
        <w:spacing w:after="0" w:line="240" w:lineRule="auto"/>
        <w:ind w:left="425"/>
        <w:jc w:val="both"/>
        <w:rPr>
          <w:i/>
          <w:iCs/>
          <w:sz w:val="20"/>
          <w:szCs w:val="18"/>
        </w:rPr>
      </w:pPr>
      <w:r>
        <w:t xml:space="preserve">47. Ne consegue che costituisce una "regola tecnica" ai sensi dell'articolo 1, punto 9, della direttiva 83/189 una normativa nazionale che impone agli operatori di servizi di accesso condizionato di iscrivere gli apparecchi, i decodificatori o i sistemi di trasmissione e ricezione digitale di segnali televisivi via satellite che essi intendono commercializzare in un registro e di ottenere una previa certificazione per tali prodotti prima di poterli commercializzare."</w:t>
      </w:r>
    </w:p>
    <w:p w14:paraId="2E51BE56" w14:textId="77777777">
      <w:pPr>
        <w:spacing w:after="0" w:line="240" w:lineRule="auto"/>
      </w:pPr>
    </w:p>
    <w:p w14:paraId="10FFB5F9" w14:textId="668B4B22">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0" w:history="1">
        <w:r>
          <w:rPr>
            <w:color w:val="0000FF"/>
            <w:u w:val="single"/>
          </w:rPr>
          <w:t xml:space="preserve">Sentenza della Corte di giustizia del 26 settembre 2000</w:t>
        </w:r>
      </w:hyperlink>
      <w:r>
        <w:t xml:space="preserve">, Unilever Italia, C-443/98, punti 25 e 26.</w:t>
      </w:r>
      <w:bookmarkEnd w:id="26"/>
    </w:p>
    <w:p w14:paraId="3CF4C4EF"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533D680" w14:textId="360C593C">
      <w:pPr>
        <w:pStyle w:val="P68B1DB1-P68B1DB1-Normal135"/>
        <w:widowControl w:val="0"/>
        <w:autoSpaceDE w:val="0"/>
        <w:autoSpaceDN w:val="0"/>
        <w:spacing w:after="0" w:line="240" w:lineRule="auto"/>
        <w:jc w:val="both"/>
        <w:rPr>
          <w:b w:val="0"/>
          <w:bCs/>
          <w:i w:val="0"/>
          <w:iCs/>
        </w:rPr>
      </w:pPr>
      <w:r>
        <w:t xml:space="preserve">Una disposizione sull'etichettatura dell'origine dell'olio d'oliva è una "specificazione tecnica" in quanto si tratta di un requisito che disciplina l'etichettatura di un prodotto.</w:t>
      </w:r>
    </w:p>
    <w:p w14:paraId="00B89F88" w14:textId="77777777">
      <w:pPr>
        <w:widowControl w:val="0"/>
        <w:autoSpaceDE w:val="0"/>
        <w:autoSpaceDN w:val="0"/>
        <w:spacing w:after="0" w:line="240" w:lineRule="auto"/>
        <w:jc w:val="both"/>
        <w:rPr>
          <w:rFonts w:ascii="Times New Roman" w:hAnsi="Times New Roman" w:cs="Times New Roman" w:eastAsia="Times New Roman"/>
          <w:szCs w:val="20"/>
        </w:rPr>
      </w:pPr>
    </w:p>
    <w:p w14:paraId="45CCCC45" w14:textId="77777777">
      <w:pPr>
        <w:pStyle w:val="P68B1DB1-P68B1DB1-Normal147"/>
        <w:widowControl w:val="0"/>
        <w:autoSpaceDE w:val="0"/>
        <w:autoSpaceDN w:val="0"/>
        <w:spacing w:after="0"/>
        <w:ind w:left="567"/>
        <w:jc w:val="both"/>
        <w:rPr>
          <w:i/>
          <w:iCs/>
          <w:sz w:val="20"/>
          <w:szCs w:val="18"/>
        </w:rPr>
      </w:pPr>
      <w:r>
        <w:t xml:space="preserve">"25. A tal riguardo, è sufficiente rilevare che, ai sensi del suo articolo 1, paragrafo 1, la direttiva 83/189 considera come "prodotti" tanto i prodotti industriali quanto i prodotti agricoli e che, ai sensi del paragrafo 2 del medesimo articolo, la direttiva 83/189 considera "specificazione tecnica" qualsiasi specificazione contenuta in un documento che stabilisce le caratteristiche richieste di un prodotto, comprese le prescrizioni applicabili al prodotto in materia di etichettatura. Una normativa nazionale contenente siffatte specificazioni costituisce una specificazione tecnica ai sensi della direttiva 83/189, indipendentemente dal motivo per cui è stata adottata (v., in tal senso, sentenza 1997 settembre 1753, causa C-13/96, Bic Benelux/Stato belga, non ancora pubblicata nella Raccolta, punto 19).</w:t>
      </w:r>
    </w:p>
    <w:p w14:paraId="5CC53ED2" w14:textId="77777777">
      <w:pPr>
        <w:pStyle w:val="P68B1DB1-Normal14"/>
        <w:widowControl w:val="0"/>
        <w:autoSpaceDE w:val="0"/>
        <w:autoSpaceDN w:val="0"/>
        <w:spacing w:after="0"/>
        <w:ind w:left="567"/>
        <w:jc w:val="both"/>
        <w:rPr>
          <w:i/>
          <w:iCs/>
          <w:sz w:val="20"/>
          <w:szCs w:val="18"/>
        </w:rPr>
      </w:pPr>
    </w:p>
    <w:p w14:paraId="1607D5BC" w14:textId="596CB8C6">
      <w:pPr>
        <w:pStyle w:val="P68B1DB1-P68B1DB1-Normal147"/>
        <w:widowControl w:val="0"/>
        <w:autoSpaceDE w:val="0"/>
        <w:autoSpaceDN w:val="0"/>
        <w:spacing w:after="0"/>
        <w:ind w:left="567"/>
        <w:jc w:val="both"/>
        <w:rPr>
          <w:i/>
          <w:iCs/>
          <w:sz w:val="20"/>
          <w:szCs w:val="18"/>
        </w:rPr>
      </w:pPr>
      <w:r>
        <w:t xml:space="preserve">26. Così, la legge impugnata, che disciplina l'etichettatura indicante l'origine dell'olio d'oliva, contiene norme che devono essere qualificate come "specificazioni tecniche" ai sensi della direttiva 83/189".</w:t>
      </w:r>
    </w:p>
    <w:p w14:paraId="459F3FCC" w14:textId="77777777">
      <w:pPr>
        <w:spacing w:after="0" w:line="240" w:lineRule="auto"/>
      </w:pPr>
    </w:p>
    <w:p w14:paraId="095F5F49" w14:textId="2E38BFC4">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1" w:history="1">
        <w:r>
          <w:rPr>
            <w:color w:val="0000FF"/>
            <w:u w:val="single"/>
          </w:rPr>
          <w:t xml:space="preserve">Sentenza della Corte di giustizia del 12 ottobre 2000</w:t>
        </w:r>
      </w:hyperlink>
      <w:r>
        <w:t xml:space="preserve">, Snellers, C-314/98, punti da 37 a 39.</w:t>
      </w:r>
      <w:bookmarkEnd w:id="27"/>
    </w:p>
    <w:p w14:paraId="2AD735C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FFCEA8D" w14:textId="2B0D93B0">
      <w:pPr>
        <w:widowControl w:val="0"/>
        <w:tabs>
          <w:tab w:val="left" w:pos="403"/>
        </w:tabs>
        <w:autoSpaceDE w:val="0"/>
        <w:autoSpaceDN w:val="0"/>
        <w:spacing w:after="0" w:line="240" w:lineRule="auto"/>
        <w:jc w:val="both"/>
        <w:rPr>
          <w:rFonts w:ascii="Times New Roman" w:hAnsi="Times New Roman" w:cs="Times New Roman" w:eastAsia="Times New Roman"/>
          <w:bCs/>
          <w:iCs/>
          <w:szCs w:val="20"/>
        </w:rPr>
        <w:pStyle w:val="P68B1DB1-Normal14"/>
      </w:pPr>
      <w:r>
        <w:t xml:space="preserve">Una "specificazione tecnica" deve riferirsi al prodotto in quanto tale. Un regolamento che stabilisce i criteri per determinare la data in cui un veicolo si considera autorizzato per la prima volta a circolare su strade pubbliche, ai fini del rilascio di una carta di circolazione, non definisce alcuna caratteristica richiesta per il prodotto stesso e non può pertanto essere qualificato come "regola tecnica".</w:t>
      </w:r>
    </w:p>
    <w:p w14:paraId="4B51E0FD"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64BEEE86" w14:textId="77777777">
      <w:pPr>
        <w:pStyle w:val="P68B1DB1-P68B1DB1-Normal147"/>
        <w:widowControl w:val="0"/>
        <w:tabs>
          <w:tab w:val="left" w:pos="403"/>
        </w:tabs>
        <w:autoSpaceDE w:val="0"/>
        <w:autoSpaceDN w:val="0"/>
        <w:spacing w:after="0"/>
        <w:ind w:left="567"/>
        <w:jc w:val="both"/>
        <w:rPr>
          <w:i/>
          <w:iCs/>
          <w:sz w:val="20"/>
          <w:szCs w:val="18"/>
        </w:rPr>
      </w:pPr>
      <w:r>
        <w:t xml:space="preserve">"37. [...] una normativa che, come quella di cui trattasi nel procedimento principale, mira a determinare la data in cui un veicolo è autorizzato per la prima volta a circolare sulla pubblica via non costituisce una specificazione tecnica ai sensi della direttiva 83/189 e non può pertanto essere qualificata come regola tecnica rientrante nell'ambito di applicazione di tale direttiva.</w:t>
      </w:r>
    </w:p>
    <w:p w14:paraId="0BD17994" w14:textId="77777777">
      <w:pPr>
        <w:pStyle w:val="P68B1DB1-Normal14"/>
        <w:widowControl w:val="0"/>
        <w:tabs>
          <w:tab w:val="left" w:pos="403"/>
        </w:tabs>
        <w:autoSpaceDE w:val="0"/>
        <w:autoSpaceDN w:val="0"/>
        <w:spacing w:after="0"/>
        <w:ind w:left="567"/>
        <w:jc w:val="both"/>
        <w:rPr>
          <w:i/>
          <w:iCs/>
          <w:sz w:val="20"/>
          <w:szCs w:val="18"/>
        </w:rPr>
      </w:pPr>
    </w:p>
    <w:p w14:paraId="7E31CFA5" w14:textId="094AFB8A">
      <w:pPr>
        <w:pStyle w:val="P68B1DB1-P68B1DB1-Normal147"/>
        <w:widowControl w:val="0"/>
        <w:tabs>
          <w:tab w:val="left" w:pos="403"/>
        </w:tabs>
        <w:autoSpaceDE w:val="0"/>
        <w:autoSpaceDN w:val="0"/>
        <w:spacing w:after="0"/>
        <w:ind w:left="567"/>
        <w:jc w:val="both"/>
        <w:rPr>
          <w:i/>
          <w:iCs/>
          <w:sz w:val="20"/>
          <w:szCs w:val="18"/>
        </w:rPr>
      </w:pPr>
      <w:r>
        <w:t xml:space="preserve">38. L'articolo 1, paragrafo 1, della direttiva 83/189 prevede che, per quanto riguarda prodotti come quelli di cui trattasi nel procedimento principale, una specificazione tecnica ai sensi di tale direttiva è "una specificazione contenuta in un documento che definisce le caratteristiche richieste di un prodotto. Le specificazioni tecniche ai sensi della direttiva 83/189 devono quindi riferirsi al prodotto in quanto tale; ciò è peraltro confermato dall'elenco non esaustivo delle specifiche di cui trattasi, fornito a titolo esemplificativo all'articolo 1, paragrafo 1, di tale direttiva.</w:t>
      </w:r>
    </w:p>
    <w:p w14:paraId="231677E0" w14:textId="77777777">
      <w:pPr>
        <w:pStyle w:val="P68B1DB1-Normal14"/>
        <w:widowControl w:val="0"/>
        <w:tabs>
          <w:tab w:val="left" w:pos="403"/>
        </w:tabs>
        <w:autoSpaceDE w:val="0"/>
        <w:autoSpaceDN w:val="0"/>
        <w:spacing w:after="0"/>
        <w:ind w:left="567"/>
        <w:jc w:val="both"/>
        <w:rPr>
          <w:i/>
          <w:iCs/>
          <w:sz w:val="20"/>
          <w:szCs w:val="18"/>
        </w:rPr>
      </w:pPr>
    </w:p>
    <w:p w14:paraId="57F7E593" w14:textId="77777777">
      <w:pPr>
        <w:pStyle w:val="P68B1DB1-P68B1DB1-Normal147"/>
        <w:widowControl w:val="0"/>
        <w:tabs>
          <w:tab w:val="left" w:pos="403"/>
        </w:tabs>
        <w:autoSpaceDE w:val="0"/>
        <w:autoSpaceDN w:val="0"/>
        <w:spacing w:after="0"/>
        <w:ind w:left="567"/>
        <w:jc w:val="both"/>
        <w:rPr>
          <w:i/>
          <w:iCs/>
          <w:sz w:val="20"/>
          <w:szCs w:val="18"/>
        </w:rPr>
      </w:pPr>
      <w:r>
        <w:t xml:space="preserve">39. Il regolamento stabilisce una serie di criteri per stabilire la data in cui un veicolo, ai fini della Wegenverkeerswet, si considera autorizzato per la prima volta ad utilizzare la pubblica via, ai fini della compilazione di un certificato di immatricolazione. Il regolamento non definisce pertanto alcuna caratteristica richiesta per il prodotto in quanto tale."</w:t>
      </w:r>
    </w:p>
    <w:p w14:paraId="5C2F2353" w14:textId="77777777">
      <w:pPr>
        <w:spacing w:after="0" w:line="240" w:lineRule="auto"/>
      </w:pPr>
    </w:p>
    <w:p w14:paraId="176B08B6" w14:textId="7FC0C140">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22" w:history="1">
        <w:r>
          <w:rPr>
            <w:rStyle w:val="Hyperlink"/>
            <w:rFonts w:ascii="Times New Roman" w:hAnsi="Times New Roman" w:cs="Times New Roman" w:eastAsia="Times New Roman"/>
            <w:b/>
            <w:i/>
            <w:color w:val="0000FF"/>
            <w:szCs w:val="20"/>
          </w:rPr>
          <w:t xml:space="preserve">Sentenza della Corte di giustizia del 16 novembre 2000</w:t>
        </w:r>
      </w:hyperlink>
      <w:r>
        <w:rPr>
          <w:rFonts w:ascii="Times New Roman" w:hAnsi="Times New Roman" w:cs="Times New Roman" w:eastAsia="Times New Roman"/>
          <w:b/>
          <w:i/>
          <w:szCs w:val="20"/>
        </w:rPr>
        <w:t xml:space="preserve">, Donkersteeg, C-37/99, punti 30 e 31.</w:t>
      </w:r>
      <w:bookmarkEnd w:id="28"/>
    </w:p>
    <w:p w14:paraId="0039F4A1" w14:textId="77777777">
      <w:pPr>
        <w:widowControl w:val="0"/>
        <w:autoSpaceDE w:val="0"/>
        <w:autoSpaceDN w:val="0"/>
        <w:spacing w:after="0" w:line="240" w:lineRule="auto"/>
        <w:jc w:val="both"/>
        <w:rPr>
          <w:rFonts w:ascii="Times New Roman" w:hAnsi="Times New Roman" w:cs="Times New Roman" w:eastAsia="Times New Roman"/>
          <w:szCs w:val="20"/>
        </w:rPr>
      </w:pPr>
    </w:p>
    <w:p w14:paraId="4A6A750B" w14:textId="411010F6">
      <w:pPr>
        <w:pStyle w:val="P68B1DB1-P68B1DB1-Normal135"/>
        <w:widowControl w:val="0"/>
        <w:autoSpaceDE w:val="0"/>
        <w:autoSpaceDN w:val="0"/>
        <w:spacing w:after="0" w:line="240" w:lineRule="auto"/>
        <w:jc w:val="both"/>
        <w:rPr>
          <w:b w:val="0"/>
          <w:bCs/>
          <w:i w:val="0"/>
          <w:iCs/>
        </w:rPr>
      </w:pPr>
      <w:r>
        <w:t xml:space="preserve">Per i prodotti agricoli, una "specificazione tecnica" è un testo che definisce le caratteristiche o i metodi di produzione richiesti. Una norma che stabilisce le condizioni per la vaccinazione del bestiame è una regola di produzione e quindi una "specifica tecnica". </w:t>
      </w:r>
    </w:p>
    <w:p w14:paraId="7118F572" w14:textId="77777777">
      <w:pPr>
        <w:widowControl w:val="0"/>
        <w:autoSpaceDE w:val="0"/>
        <w:autoSpaceDN w:val="0"/>
        <w:spacing w:after="0" w:line="240" w:lineRule="auto"/>
        <w:jc w:val="both"/>
        <w:rPr>
          <w:rFonts w:ascii="Times New Roman" w:hAnsi="Times New Roman" w:cs="Times New Roman" w:eastAsia="Times New Roman"/>
          <w:szCs w:val="20"/>
        </w:rPr>
      </w:pPr>
    </w:p>
    <w:p w14:paraId="658D0575" w14:textId="77777777">
      <w:pPr>
        <w:pStyle w:val="P68B1DB1-P68B1DB1-Normal147"/>
        <w:widowControl w:val="0"/>
        <w:autoSpaceDE w:val="0"/>
        <w:autoSpaceDN w:val="0"/>
        <w:spacing w:after="0" w:line="240" w:lineRule="auto"/>
        <w:ind w:left="567"/>
        <w:jc w:val="both"/>
        <w:rPr>
          <w:i/>
          <w:iCs/>
          <w:sz w:val="20"/>
          <w:szCs w:val="18"/>
        </w:rPr>
      </w:pPr>
      <w:r>
        <w:t xml:space="preserve">"30. Come ricordato al punto 20 della presente sentenza, conformemente all'articolo 1, paragrafo 1, di tale direttiva, per quanto riguarda i prodotti agricoli, una "specificazione tecnica" è quella contenuta in un documento che stabilisce le caratteristiche richieste di un prodotto o i suoi metodi e procedure di produzione.</w:t>
      </w:r>
    </w:p>
    <w:p w14:paraId="6E173AD5" w14:textId="77777777">
      <w:pPr>
        <w:pStyle w:val="P68B1DB1-Normal14"/>
        <w:widowControl w:val="0"/>
        <w:autoSpaceDE w:val="0"/>
        <w:autoSpaceDN w:val="0"/>
        <w:spacing w:after="0" w:line="240" w:lineRule="auto"/>
        <w:ind w:left="567"/>
        <w:jc w:val="both"/>
        <w:rPr>
          <w:i/>
          <w:iCs/>
          <w:sz w:val="20"/>
          <w:szCs w:val="18"/>
        </w:rPr>
      </w:pPr>
    </w:p>
    <w:p w14:paraId="0C38FBB6" w14:textId="77777777">
      <w:pPr>
        <w:pStyle w:val="P68B1DB1-P68B1DB1-Normal147"/>
        <w:widowControl w:val="0"/>
        <w:autoSpaceDE w:val="0"/>
        <w:autoSpaceDN w:val="0"/>
        <w:spacing w:after="0" w:line="240" w:lineRule="auto"/>
        <w:ind w:left="567"/>
        <w:jc w:val="both"/>
        <w:rPr>
          <w:i/>
          <w:iCs/>
          <w:sz w:val="20"/>
          <w:szCs w:val="18"/>
        </w:rPr>
      </w:pPr>
      <w:r>
        <w:t xml:space="preserve">31. Una norma come quella di cui all'articolo 2, paragrafo 1, del VBZA è una specificazione tecnica ai sensi dell'articolo 1, paragrafo 1, della direttiva. Come sostiene giustamente la Commissione, poiché le norme precise e dettagliate relative alla vaccinazione contro la malattia di Aujeszky sono connesse alla produzione propriamente detta del prodotto agricolo interessato e devono essere rispettate durante tutto il ciclo di produzione, tale regola definisce quindi una "procedura" nella produzione di tale prodotto."</w:t>
      </w:r>
    </w:p>
    <w:p w14:paraId="011D3230" w14:textId="77777777">
      <w:pPr>
        <w:spacing w:after="0" w:line="240" w:lineRule="auto"/>
      </w:pPr>
    </w:p>
    <w:p w14:paraId="581B1056" w14:textId="6342E1F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3" w:history="1">
        <w:r>
          <w:rPr>
            <w:color w:val="0000FF"/>
            <w:u w:val="single"/>
          </w:rPr>
          <w:t xml:space="preserve">Sentenza della Corte di giustizia dell'8 marzo 2001</w:t>
        </w:r>
      </w:hyperlink>
      <w:r>
        <w:t xml:space="preserve">, Van der Burg, C-278/99, non ancora pubblicata nella Raccolta, punto 20.</w:t>
      </w:r>
      <w:bookmarkEnd w:id="29"/>
    </w:p>
    <w:p w14:paraId="214E963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EE5EBFC" w14:textId="4A41B3F9">
      <w:pPr>
        <w:pStyle w:val="P68B1DB1-P68B1DB1-Normal135"/>
        <w:widowControl w:val="0"/>
        <w:tabs>
          <w:tab w:val="left" w:pos="461"/>
        </w:tabs>
        <w:autoSpaceDE w:val="0"/>
        <w:autoSpaceDN w:val="0"/>
        <w:spacing w:after="0" w:line="240" w:lineRule="auto"/>
        <w:jc w:val="both"/>
        <w:rPr>
          <w:b w:val="0"/>
          <w:bCs/>
          <w:i w:val="0"/>
          <w:iCs/>
        </w:rPr>
      </w:pPr>
      <w:r>
        <w:t xml:space="preserve">Un regolamento che si limiti a vietare la pubblicità commerciale, ma che non stabilisca le caratteristiche richieste di un prodotto, non costituisce una "specificazione tecnica" e non può quindi essere considerato una "regola tecnica".</w:t>
      </w:r>
    </w:p>
    <w:p w14:paraId="359B163D" w14:textId="77777777">
      <w:pPr>
        <w:widowControl w:val="0"/>
        <w:tabs>
          <w:tab w:val="left" w:pos="461"/>
        </w:tabs>
        <w:autoSpaceDE w:val="0"/>
        <w:autoSpaceDN w:val="0"/>
        <w:spacing w:after="0" w:line="240" w:lineRule="auto"/>
        <w:jc w:val="both"/>
        <w:rPr>
          <w:rFonts w:ascii="Times New Roman" w:hAnsi="Times New Roman" w:cs="Times New Roman" w:eastAsia="Times New Roman"/>
          <w:szCs w:val="20"/>
        </w:rPr>
      </w:pPr>
    </w:p>
    <w:p w14:paraId="19B0E706" w14:textId="76232F90">
      <w:pPr>
        <w:pStyle w:val="P68B1DB1-P68B1DB1-Normal1710"/>
        <w:widowControl w:val="0"/>
        <w:tabs>
          <w:tab w:val="left" w:pos="461"/>
        </w:tabs>
        <w:autoSpaceDE w:val="0"/>
        <w:autoSpaceDN w:val="0"/>
        <w:spacing w:after="0" w:line="240" w:lineRule="auto"/>
        <w:ind w:left="567"/>
        <w:jc w:val="both"/>
        <w:rPr>
          <w:i/>
          <w:iCs/>
          <w:sz w:val="20"/>
          <w:szCs w:val="18"/>
        </w:rPr>
      </w:pPr>
      <w:r>
        <w:t xml:space="preserve">"20. [...] Ai sensi dell'articolo 1, paragrafo 1, della direttiva 83/189, ai fini di quest'ultima per "specificazione tecnica" si intende "una specificazione che figura in un documento che definisce le caratteristiche richieste di un prodotto". Le specificazioni tecniche ai sensi della direttiva 83/189 devono quindi riferirsi al prodotto in quanto tale (v. sentenza 2000 luglio 0000, causa C-314/98, Snellers Auto, non ancora pubblicata nella Raccolta, punto 38). Tuttavia, una normativa come l'art. C.11.1 (1) del decreto, che si limita a vietare un metodo di commercializzazione, non stabilisce le caratteristiche richieste di un prodotto".</w:t>
      </w:r>
    </w:p>
    <w:p w14:paraId="329B81E2" w14:textId="77777777">
      <w:pPr>
        <w:spacing w:after="0" w:line="240" w:lineRule="auto"/>
      </w:pPr>
    </w:p>
    <w:p w14:paraId="12D2977E" w14:textId="6E302773">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4" w:history="1">
        <w:r>
          <w:rPr>
            <w:color w:val="0000FF"/>
            <w:u w:val="single"/>
          </w:rPr>
          <w:t xml:space="preserve">Sentenza della Corte di giustizia del 6 giugno 2002</w:t>
        </w:r>
      </w:hyperlink>
      <w:r>
        <w:t xml:space="preserve">, Sapod Audic, C-159/00, punti da 30 a 33.</w:t>
      </w:r>
      <w:bookmarkEnd w:id="30"/>
    </w:p>
    <w:p w14:paraId="340A6ED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F4A7B62" w14:textId="77777777">
      <w:pPr>
        <w:pStyle w:val="P68B1DB1-P68B1DB1-Normal135"/>
        <w:widowControl w:val="0"/>
        <w:tabs>
          <w:tab w:val="left" w:pos="443"/>
        </w:tabs>
        <w:autoSpaceDE w:val="0"/>
        <w:autoSpaceDN w:val="0"/>
        <w:spacing w:after="0" w:line="240" w:lineRule="auto"/>
        <w:jc w:val="both"/>
        <w:rPr>
          <w:b w:val="0"/>
          <w:bCs/>
          <w:i w:val="0"/>
          <w:iCs/>
        </w:rPr>
      </w:pPr>
      <w:r>
        <w:t xml:space="preserve">Una disposizione di diritto nazionale che prevede l'obbligo di identificare un imballaggio costituisce una "regola tecnica" da notificare nella misura in cui comporta l'obbligo di contrassegnare o etichettare tale imballaggio.</w:t>
      </w:r>
    </w:p>
    <w:p w14:paraId="376C1334" w14:textId="77777777">
      <w:pPr>
        <w:widowControl w:val="0"/>
        <w:tabs>
          <w:tab w:val="left" w:pos="443"/>
        </w:tabs>
        <w:autoSpaceDE w:val="0"/>
        <w:autoSpaceDN w:val="0"/>
        <w:spacing w:after="0" w:line="240" w:lineRule="auto"/>
        <w:jc w:val="both"/>
        <w:rPr>
          <w:rFonts w:ascii="Times New Roman" w:hAnsi="Times New Roman" w:cs="Times New Roman" w:eastAsia="Times New Roman"/>
          <w:szCs w:val="20"/>
        </w:rPr>
      </w:pPr>
    </w:p>
    <w:p w14:paraId="482978FF" w14:textId="77777777">
      <w:pPr>
        <w:pStyle w:val="P68B1DB1-P68B1DB1-Normal147"/>
        <w:widowControl w:val="0"/>
        <w:tabs>
          <w:tab w:val="left" w:pos="443"/>
        </w:tabs>
        <w:autoSpaceDE w:val="0"/>
        <w:autoSpaceDN w:val="0"/>
        <w:spacing w:after="0"/>
        <w:ind w:left="567"/>
        <w:jc w:val="both"/>
        <w:rPr>
          <w:i/>
          <w:iCs/>
          <w:sz w:val="20"/>
          <w:szCs w:val="18"/>
        </w:rPr>
      </w:pPr>
      <w:r>
        <w:t xml:space="preserve">"30. Pertanto, poiché l'obbligo di identificare gli imballaggi prescritti dall'articolo 4, secondo comma, del decreto n. 92-377 non sembra implicare un obbligo di contrassegnare o etichettare tale imballaggio, tale obbligo non sembra necessariamente riferirsi al prodotto o al suo imballaggio in quanto tale. Così interpretata, non si può ritenere che tale disposizione stabilisca le caratteristiche richieste di un prodotto ai sensi dell'articolo 1, paragrafo 1, della direttiva 83/189 e, pertanto, non possa essere considerata una specificazione tecnica (v., in particolare, sentenza 2001 marzo 2015, causa C-278/99, Van der Burg, non ancora pubblicata nella Raccolta, punto 20).</w:t>
      </w:r>
    </w:p>
    <w:p w14:paraId="7A13B6EF" w14:textId="77777777">
      <w:pPr>
        <w:pStyle w:val="P68B1DB1-Normal14"/>
        <w:widowControl w:val="0"/>
        <w:tabs>
          <w:tab w:val="left" w:pos="443"/>
        </w:tabs>
        <w:autoSpaceDE w:val="0"/>
        <w:autoSpaceDN w:val="0"/>
        <w:spacing w:after="0"/>
        <w:ind w:left="567"/>
        <w:jc w:val="both"/>
        <w:rPr>
          <w:i/>
          <w:iCs/>
          <w:sz w:val="20"/>
          <w:szCs w:val="18"/>
        </w:rPr>
      </w:pPr>
    </w:p>
    <w:p w14:paraId="615DE908" w14:textId="77777777">
      <w:pPr>
        <w:pStyle w:val="P68B1DB1-P68B1DB1-Normal147"/>
        <w:widowControl w:val="0"/>
        <w:tabs>
          <w:tab w:val="left" w:pos="443"/>
        </w:tabs>
        <w:autoSpaceDE w:val="0"/>
        <w:autoSpaceDN w:val="0"/>
        <w:spacing w:after="0"/>
        <w:ind w:left="567"/>
        <w:jc w:val="both"/>
        <w:rPr>
          <w:i/>
          <w:iCs/>
          <w:sz w:val="20"/>
          <w:szCs w:val="18"/>
        </w:rPr>
      </w:pPr>
      <w:r>
        <w:t xml:space="preserve">31.Tuttavia, occorre rilevare che, nell'ambito della ripartizione delle competenze prevista dall'articolo 234 CE, spetta al giudice nazionale interpretare il diritto nazionale, nella fattispecie l'articolo 4, secondo comma, del decreto n. 92-377.</w:t>
      </w:r>
    </w:p>
    <w:p w14:paraId="6AC1BBA2" w14:textId="77777777">
      <w:pPr>
        <w:pStyle w:val="P68B1DB1-Normal14"/>
        <w:widowControl w:val="0"/>
        <w:tabs>
          <w:tab w:val="left" w:pos="443"/>
        </w:tabs>
        <w:autoSpaceDE w:val="0"/>
        <w:autoSpaceDN w:val="0"/>
        <w:spacing w:after="0"/>
        <w:ind w:left="567"/>
        <w:jc w:val="both"/>
        <w:rPr>
          <w:i/>
          <w:iCs/>
          <w:sz w:val="20"/>
          <w:szCs w:val="18"/>
        </w:rPr>
      </w:pPr>
    </w:p>
    <w:p w14:paraId="25482CFD" w14:textId="77777777">
      <w:pPr>
        <w:pStyle w:val="P68B1DB1-P68B1DB1-Normal147"/>
        <w:widowControl w:val="0"/>
        <w:tabs>
          <w:tab w:val="left" w:pos="443"/>
        </w:tabs>
        <w:autoSpaceDE w:val="0"/>
        <w:autoSpaceDN w:val="0"/>
        <w:spacing w:after="0"/>
        <w:ind w:left="567"/>
        <w:jc w:val="both"/>
        <w:rPr>
          <w:i/>
          <w:iCs/>
          <w:sz w:val="20"/>
          <w:szCs w:val="18"/>
        </w:rPr>
      </w:pPr>
      <w:r>
        <w:t xml:space="preserve">32. Di conseguenza, la Corte deve altresì esaminare la possibilità che, alla luce di tutti gli elementi di fatto e di diritto di cui dispone il giudice nazionale, quest'ultimo giunga alla conclusione che l'articolo 4, secondo comma, del decreto n. 92-377 debba essere interpretato nel senso che impone ai produttori l'obbligo di contrassegnare o etichettare l'imballaggio, senza tuttavia specificare quale segno debba essere apposto.</w:t>
      </w:r>
    </w:p>
    <w:p w14:paraId="5CF2B868" w14:textId="77777777">
      <w:pPr>
        <w:pStyle w:val="P68B1DB1-Normal14"/>
        <w:widowControl w:val="0"/>
        <w:tabs>
          <w:tab w:val="left" w:pos="443"/>
        </w:tabs>
        <w:autoSpaceDE w:val="0"/>
        <w:autoSpaceDN w:val="0"/>
        <w:spacing w:after="0"/>
        <w:ind w:left="567"/>
        <w:jc w:val="both"/>
        <w:rPr>
          <w:i/>
          <w:iCs/>
          <w:sz w:val="20"/>
          <w:szCs w:val="18"/>
        </w:rPr>
      </w:pPr>
    </w:p>
    <w:p w14:paraId="66994718" w14:textId="77777777">
      <w:pPr>
        <w:pStyle w:val="P68B1DB1-P68B1DB1-Normal147"/>
        <w:widowControl w:val="0"/>
        <w:tabs>
          <w:tab w:val="left" w:pos="443"/>
        </w:tabs>
        <w:autoSpaceDE w:val="0"/>
        <w:autoSpaceDN w:val="0"/>
        <w:spacing w:after="0"/>
        <w:ind w:left="567"/>
        <w:jc w:val="both"/>
        <w:rPr>
          <w:i/>
          <w:iCs/>
          <w:sz w:val="20"/>
          <w:szCs w:val="18"/>
        </w:rPr>
      </w:pPr>
      <w:r>
        <w:t xml:space="preserve">33. In un caso del genere, si dovrebbe ritenere che tale disposizione costituisca effettivamente una specificazione tecnica ai sensi della direttiva 83/189 e, di conseguenza, che, poiché l'obbligo è imposto con decreto in caso di commercializzazione di prodotti imballati su tutto il territorio nazionale, tale disposizione costituisce una regola tecnica".</w:t>
      </w:r>
    </w:p>
    <w:p w14:paraId="21495157" w14:textId="77777777">
      <w:pPr>
        <w:spacing w:after="0" w:line="240" w:lineRule="auto"/>
      </w:pPr>
    </w:p>
    <w:p w14:paraId="14C2467B" w14:textId="611D9359">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5" w:history="1">
        <w:r>
          <w:rPr>
            <w:color w:val="0000FF"/>
            <w:u w:val="single"/>
          </w:rPr>
          <w:t xml:space="preserve">Sentenza della Corte di giustizia dell'8 settembre 2005</w:t>
        </w:r>
      </w:hyperlink>
      <w:r>
        <w:t xml:space="preserve">, Commissione/Portogallo, C-500/03, punto 30.</w:t>
      </w:r>
      <w:bookmarkEnd w:id="31"/>
    </w:p>
    <w:p w14:paraId="7C16A848"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90F33F6" w14:textId="06F84E73">
      <w:pPr>
        <w:spacing w:after="0" w:line="240" w:lineRule="auto"/>
        <w:jc w:val="both"/>
        <w:rPr>
          <w:rFonts w:ascii="Times New Roman" w:hAnsi="Times New Roman" w:cs="Times New Roman" w:eastAsia="Times New Roman"/>
          <w:szCs w:val="20"/>
        </w:rPr>
        <w:pStyle w:val="P68B1DB1-Normal14"/>
      </w:pPr>
      <w:r>
        <w:t xml:space="preserve">Una norma che stabilisce una lunghezza e un'altezza massime delle imbarcazioni da diporto e ne limita la potenza di propulsione è una "specifica tecnica".</w:t>
      </w:r>
    </w:p>
    <w:p w14:paraId="37494660" w14:textId="77777777">
      <w:pPr>
        <w:spacing w:after="0" w:line="240" w:lineRule="auto"/>
        <w:jc w:val="both"/>
        <w:rPr>
          <w:rFonts w:ascii="Times New Roman" w:hAnsi="Times New Roman" w:cs="Times New Roman" w:eastAsia="Times New Roman"/>
          <w:szCs w:val="20"/>
        </w:rPr>
      </w:pPr>
    </w:p>
    <w:p w14:paraId="75D4A043" w14:textId="5A44D1CA">
      <w:pPr>
        <w:widowControl w:val="0"/>
        <w:tabs>
          <w:tab w:val="left" w:pos="467"/>
        </w:tabs>
        <w:autoSpaceDE w:val="0"/>
        <w:autoSpaceDN w:val="0"/>
        <w:spacing w:after="0" w:line="240" w:lineRule="auto"/>
        <w:ind w:left="567"/>
        <w:jc w:val="both"/>
        <w:rPr>
          <w:rFonts w:ascii="Times New Roman" w:hAnsi="Times New Roman" w:cs="Times New Roman" w:eastAsia="Times New Roman"/>
          <w:sz w:val="20"/>
          <w:szCs w:val="18"/>
        </w:rPr>
        <w:pStyle w:val="P68B1DB1-Normal11"/>
      </w:pPr>
      <w:r>
        <w:t xml:space="preserve">(Poiché la sentenza è disponibile solo in francese e portoghese, il testo seguente è una traduzione).</w:t>
      </w:r>
    </w:p>
    <w:p w14:paraId="3C41A5EA" w14:textId="77777777">
      <w:pPr>
        <w:spacing w:after="0" w:line="240" w:lineRule="auto"/>
        <w:jc w:val="both"/>
        <w:rPr>
          <w:rFonts w:ascii="Times New Roman" w:hAnsi="Times New Roman" w:cs="Times New Roman" w:eastAsia="Times New Roman"/>
          <w:sz w:val="20"/>
          <w:szCs w:val="18"/>
        </w:rPr>
      </w:pPr>
    </w:p>
    <w:p w14:paraId="4AAF6423" w14:textId="3EE48C51">
      <w:pPr>
        <w:spacing w:after="0" w:line="240" w:lineRule="auto"/>
        <w:ind w:left="567"/>
        <w:jc w:val="both"/>
        <w:rPr>
          <w:i/>
          <w:iCs/>
          <w:sz w:val="20"/>
          <w:szCs w:val="20"/>
        </w:rPr>
        <w:pStyle w:val="P68B1DB1-Normal19"/>
      </w:pPr>
      <w:r>
        <w:t xml:space="preserve">"30. Dalla formulazione dell'articolo 2, paragrafo 1, di tale regolamento risulta che quest'ultimo contiene specificazioni tecniche, ai sensi dell'articolo 1, punto 3, della direttiva 98/34, che costituiscono regole tecniche ai sensi di tale direttiva. I requisiti contenuti in tale regolamento riguardano la lunghezza e l'altezza massime nonché la limitazione della potenza di propulsione delle imbarcazioni da diporto utilizzate a fini di navigazione. Tali limitazioni tecniche si applicano a tutte le lagune idriche pubbliche del servizio pubblico in Portogallo, ad eccezione di quelle del fiume Douro."</w:t>
      </w:r>
    </w:p>
    <w:p w14:paraId="45A16E94" w14:textId="77777777">
      <w:pPr>
        <w:spacing w:after="0" w:line="240" w:lineRule="auto"/>
      </w:pPr>
    </w:p>
    <w:p w14:paraId="5D1BF1C4" w14:textId="698AC048">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6" w:history="1">
        <w:r>
          <w:rPr>
            <w:color w:val="0000FF"/>
            <w:u w:val="single"/>
          </w:rPr>
          <w:t xml:space="preserve">Sentenza della Corte di giustizia dell'8 novembre 2007</w:t>
        </w:r>
      </w:hyperlink>
      <w:r>
        <w:t xml:space="preserve">, Schwibbert, C-20/05, punti da 35 a 37.</w:t>
      </w:r>
      <w:bookmarkEnd w:id="32"/>
    </w:p>
    <w:p w14:paraId="1416C96B"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939BFD9" w14:textId="4D52F64B">
      <w:pPr>
        <w:pStyle w:val="P68B1DB1-P68B1DB1-Normal135"/>
        <w:widowControl w:val="0"/>
        <w:tabs>
          <w:tab w:val="left" w:pos="429"/>
        </w:tabs>
        <w:autoSpaceDE w:val="0"/>
        <w:autoSpaceDN w:val="0"/>
        <w:spacing w:after="0" w:line="240" w:lineRule="auto"/>
        <w:jc w:val="both"/>
        <w:rPr>
          <w:b w:val="0"/>
          <w:bCs/>
          <w:i w:val="0"/>
          <w:iCs/>
        </w:rPr>
      </w:pPr>
      <w:r>
        <w:t xml:space="preserve">Le disposizioni nazionali che introducono l'obbligo di apporre un segno distintivo sui prodotti ai fini della loro commercializzazione in uno Stato membro costituiscono una "specificazione tecnica" in quanto si tratta di requisiti relativi alla marcatura e all'etichettatura dei prodotti.</w:t>
      </w:r>
    </w:p>
    <w:p w14:paraId="4781C797" w14:textId="77777777">
      <w:pPr>
        <w:widowControl w:val="0"/>
        <w:tabs>
          <w:tab w:val="left" w:pos="429"/>
        </w:tabs>
        <w:autoSpaceDE w:val="0"/>
        <w:autoSpaceDN w:val="0"/>
        <w:spacing w:after="0" w:line="240" w:lineRule="auto"/>
        <w:jc w:val="both"/>
        <w:rPr>
          <w:rFonts w:ascii="Times New Roman" w:hAnsi="Times New Roman" w:cs="Times New Roman" w:eastAsia="Times New Roman"/>
          <w:szCs w:val="20"/>
        </w:rPr>
      </w:pPr>
    </w:p>
    <w:p w14:paraId="58D2CAF0" w14:textId="38AC6134">
      <w:pPr>
        <w:pStyle w:val="P68B1DB1-Normal15"/>
        <w:widowControl w:val="0"/>
        <w:tabs>
          <w:tab w:val="left" w:pos="429"/>
        </w:tabs>
        <w:autoSpaceDE w:val="0"/>
        <w:autoSpaceDN w:val="0"/>
        <w:spacing w:after="0" w:line="240" w:lineRule="auto"/>
        <w:ind w:left="567"/>
        <w:jc w:val="both"/>
        <w:rPr>
          <w:i w:val="0"/>
          <w:iCs/>
        </w:rPr>
      </w:pPr>
      <w:r>
        <w:t xml:space="preserve">"35. Come la Corte ha dichiarato, la nozione di specificazione tecnica presuppone che la misura nazionale si riferisca al prodotto o al suo imballaggio in quanto tale e stabilisca quindi una delle caratteristiche richieste di un prodotto (v., in tal senso, sentenze 2001 ottobre 2015, causa C-278/99, van der Burg, non ancora pubblicata nella Raccolta, punto 20; Causa C-390/99, Canal Satélite Digital, Racc. 2002, pag. I-607, punto 45; nonché Sapod Audic, punto 30, e Lindberg, punto 57).</w:t>
      </w:r>
    </w:p>
    <w:p w14:paraId="29C04649" w14:textId="77777777">
      <w:pPr>
        <w:pStyle w:val="P68B1DB1-Normal15"/>
        <w:widowControl w:val="0"/>
        <w:tabs>
          <w:tab w:val="left" w:pos="429"/>
        </w:tabs>
        <w:autoSpaceDE w:val="0"/>
        <w:autoSpaceDN w:val="0"/>
        <w:spacing w:after="0" w:line="240" w:lineRule="auto"/>
        <w:ind w:left="567"/>
        <w:jc w:val="both"/>
        <w:rPr>
          <w:i w:val="0"/>
          <w:iCs/>
        </w:rPr>
      </w:pPr>
    </w:p>
    <w:p w14:paraId="505523FA" w14:textId="38C71B2C">
      <w:pPr>
        <w:pStyle w:val="P68B1DB1-Normal15"/>
        <w:widowControl w:val="0"/>
        <w:tabs>
          <w:tab w:val="left" w:pos="429"/>
        </w:tabs>
        <w:autoSpaceDE w:val="0"/>
        <w:autoSpaceDN w:val="0"/>
        <w:spacing w:after="0" w:line="240" w:lineRule="auto"/>
        <w:ind w:left="567"/>
        <w:jc w:val="both"/>
        <w:rPr>
          <w:i w:val="0"/>
          <w:iCs/>
        </w:rPr>
      </w:pPr>
      <w:r>
        <w:t xml:space="preserve">36. Nel caso di specie, è giocoforza constatare, come osservato dall'avvocato generale ai paragrafi 46 e 48 delle sue conclusioni, che l'apposizione del contrassegno "SIAE", diretta ad informare i consumatori e le autorità nazionali che le copie sono legali, si effettua sul supporto stesso che contiene l'opera dell'ingegno, quindi sul prodotto stesso. Non è pertanto esatto sostenere, come asserito dalla Società Italiana degli Autori ed Editori e dal governo italiano, che tale contrassegno riguarderebbe solamente l'opera dell'ingegno.</w:t>
      </w:r>
    </w:p>
    <w:p w14:paraId="6D521645" w14:textId="77777777">
      <w:pPr>
        <w:pStyle w:val="P68B1DB1-Normal15"/>
        <w:widowControl w:val="0"/>
        <w:tabs>
          <w:tab w:val="left" w:pos="429"/>
        </w:tabs>
        <w:autoSpaceDE w:val="0"/>
        <w:autoSpaceDN w:val="0"/>
        <w:spacing w:after="0" w:line="240" w:lineRule="auto"/>
        <w:ind w:left="567"/>
        <w:jc w:val="both"/>
        <w:rPr>
          <w:i w:val="0"/>
          <w:iCs/>
        </w:rPr>
      </w:pPr>
    </w:p>
    <w:p w14:paraId="012D36DA" w14:textId="1659A5D5">
      <w:pPr>
        <w:pStyle w:val="P68B1DB1-Normal15"/>
        <w:widowControl w:val="0"/>
        <w:tabs>
          <w:tab w:val="left" w:pos="429"/>
        </w:tabs>
        <w:autoSpaceDE w:val="0"/>
        <w:autoSpaceDN w:val="0"/>
        <w:spacing w:after="0" w:line="240" w:lineRule="auto"/>
        <w:ind w:left="567"/>
        <w:jc w:val="both"/>
      </w:pPr>
      <w:r>
        <w:t xml:space="preserve">37. Un siffatto segno distintivo costituisce una "specificazione tecnica" ai sensi dell'articolo 1, paragrafo 3, della direttiva 98/34, in quanto rientra nei requisiti applicabili ai prodotti interessati per quanto riguarda la marcatura o l'etichettatura. Pertanto, poiché il rispetto di tale specificazione è obbligatorio de jure per la commercializzazione di tali prodotti, la specificazione costituisce una "regola tecnica" ai sensi dell'articolo 1, paragrafo 11, di tale direttiva (v., in tal senso, sentenza 1997 marzo 1753, causa C-13/96, Bic Benelux, non ancora pubblicata nella Raccolta, punto 23)."</w:t>
      </w:r>
    </w:p>
    <w:p w14:paraId="3E9DFE52" w14:textId="77777777">
      <w:pPr>
        <w:pStyle w:val="P68B1DB1-Normal15"/>
        <w:widowControl w:val="0"/>
        <w:tabs>
          <w:tab w:val="left" w:pos="429"/>
        </w:tabs>
        <w:autoSpaceDE w:val="0"/>
        <w:autoSpaceDN w:val="0"/>
        <w:spacing w:after="0" w:line="240" w:lineRule="auto"/>
        <w:ind w:left="567"/>
        <w:jc w:val="both"/>
      </w:pPr>
    </w:p>
    <w:p w14:paraId="4E326150" w14:textId="1B9A65A2">
      <w:pPr>
        <w:widowControl w:val="0"/>
        <w:autoSpaceDE w:val="0"/>
        <w:autoSpaceDN w:val="0"/>
        <w:spacing w:after="0" w:line="240" w:lineRule="auto"/>
        <w:jc w:val="both"/>
        <w:rPr>
          <w:rFonts w:ascii="Times New Roman" w:hAnsi="Times New Roman" w:cs="Times New Roman" w:eastAsia="Times New Roman"/>
          <w:b/>
          <w:i/>
          <w:szCs w:val="20"/>
        </w:rPr>
        <w:pStyle w:val="P68B1DB1-Normal13"/>
      </w:pPr>
      <w:hyperlink r:id="rId27" w:history="1">
        <w:r>
          <w:rPr>
            <w:color w:val="0000FF"/>
            <w:u w:val="single"/>
          </w:rPr>
          <w:t xml:space="preserve">Sentenza del 14 aprile 2011</w:t>
        </w:r>
      </w:hyperlink>
      <w:r>
        <w:t xml:space="preserve">, Vlaamse Dierenartsenvereniging e Janssens, C-42/10, C-45/10 e C-57/10, punti da 68 a 70.</w:t>
      </w:r>
    </w:p>
    <w:p w14:paraId="7DCC10FA"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18B43BA3" w14:textId="6DE800EE">
      <w:pPr>
        <w:pStyle w:val="P68B1DB1-P68B1DB1-Normal135"/>
        <w:widowControl w:val="0"/>
        <w:tabs>
          <w:tab w:val="left" w:pos="431"/>
        </w:tabs>
        <w:autoSpaceDE w:val="0"/>
        <w:autoSpaceDN w:val="0"/>
        <w:spacing w:after="0" w:line="240" w:lineRule="auto"/>
        <w:jc w:val="both"/>
        <w:rPr>
          <w:b w:val="0"/>
          <w:bCs/>
          <w:i w:val="0"/>
          <w:iCs/>
        </w:rPr>
      </w:pPr>
      <w:r>
        <w:t xml:space="preserve">La direttiva non si applica ai passaporti per animali da compagnia che non possono essere classificati come "prodotti" in quanto non possono essere oggetto di transazioni commerciali. Le disposizioni nazionali sui passaporti per animali da compagnia non costituiscono pertanto "specifiche tecniche" che devono essere comunicate alla Commissione.</w:t>
      </w:r>
    </w:p>
    <w:p w14:paraId="55609695"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757DBF12" w14:textId="28188743">
      <w:pPr>
        <w:pStyle w:val="P68B1DB1-P68B1DB1-Normal147"/>
        <w:widowControl w:val="0"/>
        <w:tabs>
          <w:tab w:val="left" w:pos="403"/>
        </w:tabs>
        <w:autoSpaceDE w:val="0"/>
        <w:autoSpaceDN w:val="0"/>
        <w:spacing w:after="0" w:line="240" w:lineRule="auto"/>
        <w:ind w:left="567"/>
        <w:jc w:val="both"/>
        <w:rPr>
          <w:i/>
          <w:sz w:val="20"/>
          <w:szCs w:val="18"/>
        </w:rPr>
      </w:pPr>
      <w:r>
        <w:t xml:space="preserve">"68. [...] la Corte ha avuto occasione di precisare che rientrano nella libera circolazione delle merci solo i prodotti che possono essere valutati in denaro e che, in quanto tali, possono essere oggetto di transazioni commerciali (v., in tal senso, in particolare, sentenze 1968 ottobre 617, causa 7/68, Commissione/Italia, Racc. pag. 626, 2006, e causa C-65/05, Commissione/Grecia, Racc. 10341, pag. I-23, punti 25-).</w:t>
      </w:r>
    </w:p>
    <w:p w14:paraId="741819C9" w14:textId="77777777">
      <w:pPr>
        <w:pStyle w:val="P68B1DB1-Normal14"/>
        <w:widowControl w:val="0"/>
        <w:tabs>
          <w:tab w:val="left" w:pos="403"/>
        </w:tabs>
        <w:autoSpaceDE w:val="0"/>
        <w:autoSpaceDN w:val="0"/>
        <w:spacing w:after="0" w:line="240" w:lineRule="auto"/>
        <w:ind w:left="567"/>
        <w:jc w:val="both"/>
        <w:rPr>
          <w:i/>
          <w:sz w:val="20"/>
          <w:szCs w:val="18"/>
        </w:rPr>
      </w:pPr>
    </w:p>
    <w:p w14:paraId="5BA224C9" w14:textId="68AC5503">
      <w:pPr>
        <w:pStyle w:val="P68B1DB1-P68B1DB1-Normal147"/>
        <w:widowControl w:val="0"/>
        <w:tabs>
          <w:tab w:val="left" w:pos="403"/>
        </w:tabs>
        <w:autoSpaceDE w:val="0"/>
        <w:autoSpaceDN w:val="0"/>
        <w:spacing w:after="0" w:line="240" w:lineRule="auto"/>
        <w:ind w:left="567"/>
        <w:jc w:val="both"/>
        <w:rPr>
          <w:i/>
          <w:sz w:val="20"/>
          <w:szCs w:val="18"/>
        </w:rPr>
      </w:pPr>
      <w:r>
        <w:t xml:space="preserve">69. Orbene, è pacifico che i passaporti per animali da compagnia, essendo dotati di un numero unico e identificando un animale specifico, non possono, come tali, costituire oggetto di operazioni commerciali.</w:t>
      </w:r>
    </w:p>
    <w:p w14:paraId="766A1B18" w14:textId="77777777">
      <w:pPr>
        <w:pStyle w:val="P68B1DB1-Normal14"/>
        <w:widowControl w:val="0"/>
        <w:tabs>
          <w:tab w:val="left" w:pos="403"/>
        </w:tabs>
        <w:autoSpaceDE w:val="0"/>
        <w:autoSpaceDN w:val="0"/>
        <w:spacing w:after="0" w:line="240" w:lineRule="auto"/>
        <w:ind w:left="567"/>
        <w:jc w:val="both"/>
        <w:rPr>
          <w:i/>
          <w:sz w:val="20"/>
          <w:szCs w:val="18"/>
        </w:rPr>
      </w:pPr>
    </w:p>
    <w:p w14:paraId="5F9E4D05" w14:textId="4BF6B0DF">
      <w:pPr>
        <w:pStyle w:val="P68B1DB1-P68B1DB1-Normal147"/>
        <w:widowControl w:val="0"/>
        <w:tabs>
          <w:tab w:val="left" w:pos="403"/>
        </w:tabs>
        <w:autoSpaceDE w:val="0"/>
        <w:autoSpaceDN w:val="0"/>
        <w:spacing w:after="0" w:line="240" w:lineRule="auto"/>
        <w:ind w:left="567"/>
        <w:jc w:val="both"/>
        <w:rPr>
          <w:i/>
          <w:sz w:val="20"/>
          <w:szCs w:val="18"/>
        </w:rPr>
      </w:pPr>
      <w:r>
        <w:t xml:space="preserve">70. Tali passaporti non possono quindi essere qualificati come "prodotti" ai sensi della giurisprudenza della Corte; la direttiva 98/34 non può neppure trovare applicazione nei loro confronti. Di conseguenza, specificazioni come quelle contenute nella normativa belga di cui trattasi nel procedimento principale non possono essere qualificate come specificazioni tecniche che, conformemente all'articolo 8 di tale direttiva, devono essere preventivamente comunicate alla Commissione e, in mancanza, non devono essere applicate dal giudice nazionale (v., in tal senso, sentenza 2007 settembre 9447, causa C-20/05, Schwibbert, non ancora pubblicata nella Raccolta, punti 33 e 44 e giurisprudenza ivi citata)."</w:t>
      </w:r>
    </w:p>
    <w:p w14:paraId="56FDA8D5" w14:textId="77777777">
      <w:pPr>
        <w:spacing w:after="0" w:line="240" w:lineRule="auto"/>
      </w:pPr>
    </w:p>
    <w:p w14:paraId="5C42E26C" w14:textId="7797D2A3">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8" w:history="1">
        <w:r>
          <w:rPr>
            <w:color w:val="0000FF"/>
            <w:u w:val="single"/>
          </w:rPr>
          <w:t xml:space="preserve">Sentenza della Corte di giustizia del 9 giugno 2011</w:t>
        </w:r>
      </w:hyperlink>
      <w:r>
        <w:t xml:space="preserve">, Intercommunale Intermosane e Fédération de l'industrie et du gaz, C-361/10, punti da 14 a 18.</w:t>
      </w:r>
      <w:bookmarkEnd w:id="33"/>
    </w:p>
    <w:p w14:paraId="0CF52A6B"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346914E7" w14:textId="1F11C7F6">
      <w:pPr>
        <w:pStyle w:val="P68B1DB1-P68B1DB1-Normal135"/>
        <w:widowControl w:val="0"/>
        <w:autoSpaceDE w:val="0"/>
        <w:autoSpaceDN w:val="0"/>
        <w:spacing w:after="0" w:line="240" w:lineRule="auto"/>
        <w:jc w:val="both"/>
        <w:rPr>
          <w:b w:val="0"/>
          <w:bCs/>
          <w:i w:val="0"/>
          <w:iCs/>
        </w:rPr>
      </w:pPr>
      <w:r>
        <w:t xml:space="preserve">Le disposizioni nazionali che stabiliscono i requisiti minimi per la costruzione degli impianti elettrici e la sicurezza dei lavoratori non costituiscono "specifiche tecniche" in quanto fissano obiettivi generali di sicurezza e protezione senza riferirsi direttamente a un prodotto o al suo imballaggio e senza definirne le caratteristiche. </w:t>
      </w:r>
    </w:p>
    <w:p w14:paraId="3E53A714"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2A3D76D8" w14:textId="3110737E">
      <w:pPr>
        <w:pStyle w:val="P68B1DB1-P68B1DB1-Normal147"/>
        <w:widowControl w:val="0"/>
        <w:autoSpaceDE w:val="0"/>
        <w:autoSpaceDN w:val="0"/>
        <w:spacing w:after="0" w:line="240" w:lineRule="auto"/>
        <w:ind w:left="567"/>
        <w:jc w:val="both"/>
        <w:rPr>
          <w:i/>
          <w:iCs/>
          <w:sz w:val="20"/>
          <w:szCs w:val="18"/>
        </w:rPr>
      </w:pPr>
      <w:r>
        <w:t xml:space="preserve">"14. [...] occorre stabilire se le disposizioni nazionali di cui trattasi nel procedimento principale rientrino nella prima categoria di regole tecniche di cui all'articolo 1, paragrafo 11, della direttiva 98/34, vale a dire nella nozione di "specificazione tecnica".</w:t>
      </w:r>
    </w:p>
    <w:p w14:paraId="13050860" w14:textId="77777777">
      <w:pPr>
        <w:pStyle w:val="P68B1DB1-Normal14"/>
        <w:widowControl w:val="0"/>
        <w:autoSpaceDE w:val="0"/>
        <w:autoSpaceDN w:val="0"/>
        <w:spacing w:after="0" w:line="240" w:lineRule="auto"/>
        <w:ind w:left="567"/>
        <w:jc w:val="both"/>
        <w:rPr>
          <w:i/>
          <w:iCs/>
          <w:sz w:val="20"/>
          <w:szCs w:val="18"/>
        </w:rPr>
      </w:pPr>
    </w:p>
    <w:p w14:paraId="431EFE6D" w14:textId="5A6B8906">
      <w:pPr>
        <w:pStyle w:val="P68B1DB1-P68B1DB1-Normal147"/>
        <w:widowControl w:val="0"/>
        <w:autoSpaceDE w:val="0"/>
        <w:autoSpaceDN w:val="0"/>
        <w:spacing w:after="0" w:line="240" w:lineRule="auto"/>
        <w:ind w:left="567"/>
        <w:jc w:val="both"/>
        <w:rPr>
          <w:i/>
          <w:iCs/>
          <w:sz w:val="20"/>
          <w:szCs w:val="18"/>
        </w:rPr>
      </w:pPr>
      <w:r>
        <w:t xml:space="preserve">15. Dalla giurisprudenza risulta che tale nozione, definita all'articolo 1, paragrafo 3, di tale direttiva, presuppone che la misura nazionale si riferisca necessariamente al prodotto o al suo imballaggio in quanto tale e stabilisca quindi una delle caratteristiche richieste di un prodotto (v. sentenza Schwibbert, cit., punto 35 e giurisprudenza ivi citata).</w:t>
      </w:r>
    </w:p>
    <w:p w14:paraId="1713743E" w14:textId="77777777">
      <w:pPr>
        <w:pStyle w:val="P68B1DB1-Normal14"/>
        <w:widowControl w:val="0"/>
        <w:autoSpaceDE w:val="0"/>
        <w:autoSpaceDN w:val="0"/>
        <w:spacing w:after="0" w:line="240" w:lineRule="auto"/>
        <w:ind w:left="567"/>
        <w:jc w:val="both"/>
        <w:rPr>
          <w:i/>
          <w:iCs/>
          <w:sz w:val="20"/>
          <w:szCs w:val="18"/>
        </w:rPr>
      </w:pPr>
    </w:p>
    <w:p w14:paraId="605F1D6D" w14:textId="72688735">
      <w:pPr>
        <w:pStyle w:val="P68B1DB1-P68B1DB1-Normal147"/>
        <w:widowControl w:val="0"/>
        <w:autoSpaceDE w:val="0"/>
        <w:autoSpaceDN w:val="0"/>
        <w:spacing w:after="0" w:line="240" w:lineRule="auto"/>
        <w:ind w:left="567"/>
        <w:jc w:val="both"/>
        <w:rPr>
          <w:i/>
          <w:iCs/>
          <w:sz w:val="20"/>
          <w:szCs w:val="18"/>
        </w:rPr>
      </w:pPr>
      <w:r>
        <w:t xml:space="preserve">16. Per quanto riguarda le norme nazionali controverse nella causa principale, va rilevato che le prescrizioni minime relative alla realizzazione di taluni impianti elettrici previsti da tali disposizioni mirano a garantire la sicurezza di tali impianti allo scopo di proteggere i lavoratori che li utilizzano.</w:t>
      </w:r>
    </w:p>
    <w:p w14:paraId="3BF8D390" w14:textId="77777777">
      <w:pPr>
        <w:pStyle w:val="P68B1DB1-Normal14"/>
        <w:widowControl w:val="0"/>
        <w:autoSpaceDE w:val="0"/>
        <w:autoSpaceDN w:val="0"/>
        <w:spacing w:after="0" w:line="240" w:lineRule="auto"/>
        <w:ind w:left="567"/>
        <w:jc w:val="both"/>
        <w:rPr>
          <w:i/>
          <w:iCs/>
          <w:sz w:val="20"/>
          <w:szCs w:val="18"/>
        </w:rPr>
      </w:pPr>
    </w:p>
    <w:p w14:paraId="53D9038B" w14:textId="44B3180B">
      <w:pPr>
        <w:pStyle w:val="P68B1DB1-P68B1DB1-Normal147"/>
        <w:widowControl w:val="0"/>
        <w:autoSpaceDE w:val="0"/>
        <w:autoSpaceDN w:val="0"/>
        <w:spacing w:after="0" w:line="240" w:lineRule="auto"/>
        <w:ind w:left="567"/>
        <w:jc w:val="both"/>
        <w:rPr>
          <w:i/>
          <w:iCs/>
          <w:sz w:val="20"/>
          <w:szCs w:val="18"/>
        </w:rPr>
      </w:pPr>
      <w:r>
        <w:t xml:space="preserve">17. Ora, si deve necessariamente constatare che tali prescrizioni minime impongono requisiti e obiettivi generali in materia di sicurezza e di protezione, senza necessariamente riferirsi al prodotto in questione o al suo imballaggio in quanto tali e, quindi, senza definire le caratteristiche di tale prodotto.</w:t>
      </w:r>
    </w:p>
    <w:p w14:paraId="4769C93B" w14:textId="77777777">
      <w:pPr>
        <w:pStyle w:val="P68B1DB1-Normal14"/>
        <w:widowControl w:val="0"/>
        <w:autoSpaceDE w:val="0"/>
        <w:autoSpaceDN w:val="0"/>
        <w:spacing w:after="0" w:line="240" w:lineRule="auto"/>
        <w:ind w:left="567"/>
        <w:jc w:val="both"/>
        <w:rPr>
          <w:i/>
          <w:iCs/>
          <w:sz w:val="20"/>
          <w:szCs w:val="18"/>
        </w:rPr>
      </w:pPr>
    </w:p>
    <w:p w14:paraId="4059BF30" w14:textId="7521DC11">
      <w:pPr>
        <w:pStyle w:val="P68B1DB1-P68B1DB1-Normal147"/>
        <w:widowControl w:val="0"/>
        <w:autoSpaceDE w:val="0"/>
        <w:autoSpaceDN w:val="0"/>
        <w:spacing w:after="0" w:line="240" w:lineRule="auto"/>
        <w:ind w:left="567"/>
        <w:jc w:val="both"/>
        <w:rPr>
          <w:bCs/>
          <w:i/>
          <w:iCs/>
          <w:sz w:val="20"/>
          <w:szCs w:val="18"/>
        </w:rPr>
      </w:pPr>
      <w:r>
        <w:t xml:space="preserve">18. Di conseguenza, le disposizioni nazionali di cui trattasi nella causa principale non contengono specificazioni tecniche ai sensi della direttiva 98/34".</w:t>
      </w:r>
    </w:p>
    <w:p w14:paraId="4E087DB6" w14:textId="77777777">
      <w:pPr>
        <w:widowControl w:val="0"/>
        <w:autoSpaceDE w:val="0"/>
        <w:autoSpaceDN w:val="0"/>
        <w:spacing w:after="0" w:line="240" w:lineRule="auto"/>
        <w:jc w:val="both"/>
        <w:rPr>
          <w:rFonts w:ascii="Times New Roman" w:hAnsi="Times New Roman" w:cs="Times New Roman" w:eastAsia="Times New Roman"/>
          <w:bCs/>
          <w:i/>
          <w:sz w:val="20"/>
          <w:szCs w:val="16"/>
        </w:rPr>
      </w:pPr>
    </w:p>
    <w:p w14:paraId="36CB90D3" w14:textId="0830F120">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9" w:history="1">
        <w:r>
          <w:rPr>
            <w:color w:val="0000FF"/>
            <w:u w:val="single"/>
          </w:rPr>
          <w:t xml:space="preserve">Sentenza del 19 luglio 2012</w:t>
        </w:r>
      </w:hyperlink>
      <w:r>
        <w:t xml:space="preserve">, Fortuna e altri, C-213/11, C-214/11 e C-217/11, punti da 28 a 30.</w:t>
      </w:r>
      <w:bookmarkEnd w:id="34"/>
    </w:p>
    <w:p w14:paraId="3A7FC319"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26C64C2" w14:textId="77777777">
      <w:pPr>
        <w:pStyle w:val="P68B1DB1-P68B1DB1-Normal135"/>
        <w:widowControl w:val="0"/>
        <w:tabs>
          <w:tab w:val="left" w:pos="451"/>
        </w:tabs>
        <w:autoSpaceDE w:val="0"/>
        <w:autoSpaceDN w:val="0"/>
        <w:spacing w:after="0" w:line="240" w:lineRule="auto"/>
        <w:jc w:val="both"/>
        <w:rPr>
          <w:b w:val="0"/>
          <w:bCs/>
          <w:i w:val="0"/>
          <w:iCs/>
        </w:rPr>
      </w:pPr>
      <w:r>
        <w:t xml:space="preserve">Le disposizioni nazionali che limitano il funzionamento delle macchine da gioco a basso costo al di fuori dei casinò non costituiscono "regole tecniche" in quanto non fanno riferimento alle caratteristiche delle macchine da gioco o del loro imballaggio.</w:t>
      </w:r>
    </w:p>
    <w:p w14:paraId="236235AE" w14:textId="77777777">
      <w:pPr>
        <w:widowControl w:val="0"/>
        <w:tabs>
          <w:tab w:val="left" w:pos="451"/>
        </w:tabs>
        <w:autoSpaceDE w:val="0"/>
        <w:autoSpaceDN w:val="0"/>
        <w:spacing w:after="0" w:line="240" w:lineRule="auto"/>
        <w:jc w:val="both"/>
        <w:rPr>
          <w:rFonts w:ascii="Times New Roman" w:hAnsi="Times New Roman" w:cs="Times New Roman" w:eastAsia="Times New Roman"/>
          <w:i/>
          <w:iCs/>
          <w:sz w:val="18"/>
          <w:szCs w:val="14"/>
        </w:rPr>
      </w:pPr>
    </w:p>
    <w:p w14:paraId="09B20777" w14:textId="6018D3B7">
      <w:pPr>
        <w:pStyle w:val="P68B1DB1-P68B1DB1-Normal147"/>
        <w:widowControl w:val="0"/>
        <w:autoSpaceDE w:val="0"/>
        <w:autoSpaceDN w:val="0"/>
        <w:spacing w:after="0" w:line="240" w:lineRule="auto"/>
        <w:ind w:left="567"/>
        <w:jc w:val="both"/>
        <w:rPr>
          <w:i/>
          <w:iCs/>
          <w:sz w:val="20"/>
          <w:szCs w:val="18"/>
        </w:rPr>
      </w:pPr>
      <w:r>
        <w:t xml:space="preserve">"28. affinché una misura nazionale rientri nella prima categoria di regole tecniche di cui all'articolo 1, paragrafo 11, della direttiva 98/34, vale a dire nella nozione di "specificazione tecnica", tale misura deve necessariamente riferirsi al prodotto o al suo imballaggio in quanto tale e stabilire quindi una delle caratteristiche richieste di un prodotto (v. sentenza Intercommunale Intermosane e Fédération de l'industrie et du gaz, cit., punto 15).</w:t>
      </w:r>
    </w:p>
    <w:p w14:paraId="0DD51D00" w14:textId="77777777">
      <w:pPr>
        <w:pStyle w:val="P68B1DB1-Normal14"/>
        <w:widowControl w:val="0"/>
        <w:autoSpaceDE w:val="0"/>
        <w:autoSpaceDN w:val="0"/>
        <w:spacing w:after="0" w:line="240" w:lineRule="auto"/>
        <w:ind w:left="567"/>
        <w:jc w:val="both"/>
        <w:rPr>
          <w:i/>
          <w:iCs/>
          <w:sz w:val="20"/>
          <w:szCs w:val="18"/>
        </w:rPr>
      </w:pPr>
    </w:p>
    <w:p w14:paraId="43C64864" w14:textId="4E72B44D">
      <w:pPr>
        <w:pStyle w:val="P68B1DB1-P68B1DB1-Normal147"/>
        <w:widowControl w:val="0"/>
        <w:autoSpaceDE w:val="0"/>
        <w:autoSpaceDN w:val="0"/>
        <w:spacing w:after="0" w:line="240" w:lineRule="auto"/>
        <w:ind w:left="567"/>
        <w:jc w:val="both"/>
        <w:rPr>
          <w:i/>
          <w:iCs/>
          <w:sz w:val="20"/>
          <w:szCs w:val="18"/>
        </w:rPr>
      </w:pPr>
      <w:r>
        <w:t xml:space="preserve">29. Orbene, è sufficiente constatare che le disposizioni transitorie della legge sui giochi d'azzardo riguardano le autorizzazioni ad esercitare l'attività di giochi automatici a bassa vincita. Esse non si riferiscono agli apparecchi da gioco a bassa vincita o al loro imballaggio in quanto tali, e non definiscono pertanto le caratteristiche di questi ultimi.</w:t>
      </w:r>
    </w:p>
    <w:p w14:paraId="28D3F16E" w14:textId="77777777">
      <w:pPr>
        <w:pStyle w:val="P68B1DB1-Normal14"/>
        <w:widowControl w:val="0"/>
        <w:autoSpaceDE w:val="0"/>
        <w:autoSpaceDN w:val="0"/>
        <w:spacing w:after="0" w:line="240" w:lineRule="auto"/>
        <w:ind w:left="567"/>
        <w:jc w:val="both"/>
        <w:rPr>
          <w:i/>
          <w:iCs/>
          <w:sz w:val="20"/>
          <w:szCs w:val="18"/>
        </w:rPr>
      </w:pPr>
    </w:p>
    <w:p w14:paraId="65E1DF47" w14:textId="1076F250">
      <w:pPr>
        <w:pStyle w:val="P68B1DB1-P68B1DB1-Normal147"/>
        <w:widowControl w:val="0"/>
        <w:autoSpaceDE w:val="0"/>
        <w:autoSpaceDN w:val="0"/>
        <w:spacing w:after="0" w:line="240" w:lineRule="auto"/>
        <w:ind w:left="567"/>
        <w:jc w:val="both"/>
        <w:rPr>
          <w:bCs/>
          <w:i/>
          <w:iCs/>
          <w:sz w:val="20"/>
          <w:szCs w:val="18"/>
        </w:rPr>
      </w:pPr>
      <w:r>
        <w:t xml:space="preserve">30. Di conseguenza, le disposizioni nazionali di cui trattasi nella causa principale non contengono specificazioni tecniche ai sensi della direttiva 98/34".</w:t>
      </w:r>
    </w:p>
    <w:p w14:paraId="253F8A3A" w14:textId="77777777">
      <w:pPr>
        <w:widowControl w:val="0"/>
        <w:autoSpaceDE w:val="0"/>
        <w:autoSpaceDN w:val="0"/>
        <w:spacing w:after="0" w:line="240" w:lineRule="auto"/>
        <w:jc w:val="both"/>
        <w:rPr>
          <w:rFonts w:ascii="Times New Roman" w:hAnsi="Times New Roman" w:cs="Times New Roman" w:eastAsia="Times New Roman"/>
          <w:bCs/>
          <w:i/>
          <w:sz w:val="20"/>
          <w:szCs w:val="16"/>
        </w:rPr>
      </w:pPr>
    </w:p>
    <w:p w14:paraId="11A687F9" w14:textId="7673430B">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4"/>
      </w:pPr>
      <w:hyperlink r:id="rId30" w:history="1">
        <w:r>
          <w:rPr>
            <w:b/>
            <w:i/>
            <w:color w:val="0000FF"/>
            <w:u w:val="single"/>
          </w:rPr>
          <w:t xml:space="preserve">Sentenza della Corte di giustizia del 10 luglio 2014</w:t>
        </w:r>
      </w:hyperlink>
      <w:r>
        <w:rPr>
          <w:b/>
          <w:i/>
        </w:rPr>
        <w:t xml:space="preserve">, Ivansson e altri</w:t>
      </w:r>
      <w:r>
        <w:rPr>
          <w:b/>
          <w:i/>
        </w:rPr>
        <w:t xml:space="preserve">, C-307/13, punti da 19 a 23</w:t>
      </w:r>
      <w:r>
        <w:rPr>
          <w:sz w:val="25"/>
        </w:rPr>
        <w:t>.</w:t>
      </w:r>
      <w:bookmarkEnd w:id="35"/>
    </w:p>
    <w:p w14:paraId="3CBB181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09768B7" w14:textId="77777777">
      <w:pPr>
        <w:pStyle w:val="P68B1DB1-P68B1DB1-Normal135"/>
        <w:widowControl w:val="0"/>
        <w:tabs>
          <w:tab w:val="left" w:pos="396"/>
          <w:tab w:val="left" w:pos="407"/>
        </w:tabs>
        <w:autoSpaceDE w:val="0"/>
        <w:autoSpaceDN w:val="0"/>
        <w:spacing w:after="0" w:line="240" w:lineRule="auto"/>
        <w:jc w:val="both"/>
        <w:rPr>
          <w:b w:val="0"/>
          <w:bCs/>
          <w:i w:val="0"/>
          <w:iCs/>
        </w:rPr>
      </w:pPr>
      <w:r>
        <w:t xml:space="preserve">Una norma che stabilisce un obiettivo generale di comfort del pollame e di qualità degli impianti di allevamento non è una "specificazione tecnica" in quanto non stabilisce le caratteristiche del prodotto e non è sufficientemente precisa per definire un metodo di produzione. </w:t>
      </w:r>
    </w:p>
    <w:p w14:paraId="7B99302F" w14:textId="77777777">
      <w:pPr>
        <w:widowControl w:val="0"/>
        <w:autoSpaceDE w:val="0"/>
        <w:autoSpaceDN w:val="0"/>
        <w:spacing w:after="0" w:line="240" w:lineRule="auto"/>
        <w:ind w:left="567"/>
        <w:jc w:val="both"/>
        <w:rPr>
          <w:rFonts w:ascii="Times New Roman" w:hAnsi="Times New Roman" w:cs="Times New Roman" w:eastAsia="Times New Roman"/>
          <w:bCs/>
          <w:i/>
          <w:sz w:val="20"/>
          <w:szCs w:val="16"/>
        </w:rPr>
      </w:pPr>
    </w:p>
    <w:p w14:paraId="3EDA7715" w14:textId="0C493BF1">
      <w:pPr>
        <w:pStyle w:val="P68B1DB1-P68B1DB1-Normal147"/>
        <w:widowControl w:val="0"/>
        <w:autoSpaceDE w:val="0"/>
        <w:autoSpaceDN w:val="0"/>
        <w:spacing w:after="0" w:line="240" w:lineRule="auto"/>
        <w:ind w:left="567"/>
        <w:jc w:val="both"/>
        <w:rPr>
          <w:i/>
          <w:iCs/>
          <w:sz w:val="20"/>
          <w:szCs w:val="18"/>
        </w:rPr>
      </w:pPr>
      <w:r>
        <w:t xml:space="preserve">"19. Occorre precisare che, conformemente alla giurisprudenza, tale nozione [di specificazione tecnica] presuppone che la misura nazionale si riferisca necessariamente al prodotto o al suo imballaggio in quanto tale e stabilisca quindi una delle caratteristiche richieste di un prodotto (v., in tal senso, sentenza Fortuna e a., cit., punto 28).</w:t>
      </w:r>
    </w:p>
    <w:p w14:paraId="5E172BC8" w14:textId="77777777">
      <w:pPr>
        <w:pStyle w:val="P68B1DB1-Normal14"/>
        <w:widowControl w:val="0"/>
        <w:autoSpaceDE w:val="0"/>
        <w:autoSpaceDN w:val="0"/>
        <w:spacing w:after="0" w:line="240" w:lineRule="auto"/>
        <w:ind w:left="567"/>
        <w:jc w:val="both"/>
        <w:rPr>
          <w:i/>
          <w:iCs/>
          <w:sz w:val="20"/>
          <w:szCs w:val="18"/>
        </w:rPr>
      </w:pPr>
    </w:p>
    <w:p w14:paraId="39F7789D" w14:textId="31D50226">
      <w:pPr>
        <w:pStyle w:val="P68B1DB1-P68B1DB1-Normal147"/>
        <w:widowControl w:val="0"/>
        <w:autoSpaceDE w:val="0"/>
        <w:autoSpaceDN w:val="0"/>
        <w:spacing w:after="0" w:line="240" w:lineRule="auto"/>
        <w:ind w:left="567"/>
        <w:jc w:val="both"/>
        <w:rPr>
          <w:i/>
          <w:iCs/>
          <w:sz w:val="20"/>
          <w:szCs w:val="18"/>
        </w:rPr>
      </w:pPr>
      <w:r>
        <w:t xml:space="preserve">20. Inoltre, per quanto riguarda i prodotti agricoli, la Corte ha precisato che una specificazione tecnica è quella contenuta in un documento che stabilisce le caratteristiche richieste di un prodotto o i suoi metodi e procedimenti di produzione (v., in tal senso, sentenza Donkersteeg, C-37/99, non ancora pubblicata nella Raccolta, punto 30).</w:t>
      </w:r>
    </w:p>
    <w:p w14:paraId="65DAFA85" w14:textId="77777777">
      <w:pPr>
        <w:pStyle w:val="P68B1DB1-Normal14"/>
        <w:widowControl w:val="0"/>
        <w:autoSpaceDE w:val="0"/>
        <w:autoSpaceDN w:val="0"/>
        <w:spacing w:after="0" w:line="240" w:lineRule="auto"/>
        <w:ind w:left="567"/>
        <w:jc w:val="both"/>
        <w:rPr>
          <w:i/>
          <w:iCs/>
          <w:sz w:val="20"/>
          <w:szCs w:val="18"/>
        </w:rPr>
      </w:pPr>
    </w:p>
    <w:p w14:paraId="1CC9B834" w14:textId="7551980C">
      <w:pPr>
        <w:pStyle w:val="P68B1DB1-P68B1DB1-Normal147"/>
        <w:widowControl w:val="0"/>
        <w:autoSpaceDE w:val="0"/>
        <w:autoSpaceDN w:val="0"/>
        <w:spacing w:after="0" w:line="240" w:lineRule="auto"/>
        <w:ind w:left="567"/>
        <w:jc w:val="both"/>
        <w:rPr>
          <w:i/>
          <w:iCs/>
          <w:sz w:val="20"/>
          <w:szCs w:val="18"/>
        </w:rPr>
      </w:pPr>
      <w:r>
        <w:t xml:space="preserve">21. Occorre rilevare, in primo luogo, che, sebbene l'articolo 9 del DSF riguardi il comfort e la qualità degli impianti di allevamento delle galline destinate alla produzione di uova, vale a dire gabbie modificate, tale disposizione non definisce tuttavia, come rilevato dal governo polacco, le caratteristiche che i prodotti di cui trattasi nel procedimento principale devono possedere.</w:t>
      </w:r>
    </w:p>
    <w:p w14:paraId="01AC6E59" w14:textId="77777777">
      <w:pPr>
        <w:pStyle w:val="P68B1DB1-Normal14"/>
        <w:widowControl w:val="0"/>
        <w:autoSpaceDE w:val="0"/>
        <w:autoSpaceDN w:val="0"/>
        <w:spacing w:after="0" w:line="240" w:lineRule="auto"/>
        <w:ind w:left="567"/>
        <w:jc w:val="both"/>
        <w:rPr>
          <w:i/>
          <w:iCs/>
          <w:sz w:val="20"/>
          <w:szCs w:val="18"/>
        </w:rPr>
      </w:pPr>
    </w:p>
    <w:p w14:paraId="4F11FC6F" w14:textId="24A20F05">
      <w:pPr>
        <w:pStyle w:val="P68B1DB1-P68B1DB1-Normal147"/>
        <w:widowControl w:val="0"/>
        <w:autoSpaceDE w:val="0"/>
        <w:autoSpaceDN w:val="0"/>
        <w:spacing w:after="0" w:line="240" w:lineRule="auto"/>
        <w:ind w:left="567"/>
        <w:jc w:val="both"/>
        <w:rPr>
          <w:i/>
          <w:iCs/>
          <w:sz w:val="20"/>
          <w:szCs w:val="18"/>
        </w:rPr>
      </w:pPr>
      <w:r>
        <w:t xml:space="preserve">22. In secondo luogo, anche supponendo che si possa ritenere che tale disposizione si riferisca ad un metodo di produzione in quanto si riferisce, come rilevato al punto precedente, alla detenzione di galline destinate alla produzione di uova in gabbie modificate, si deve tuttavia rilevare che tale disposizione si limita a menzionare in modo generico l'esistenza di nidi, posatoi e sabbie all'interno di tali impianti, senza tuttavia precisare i diversi aspetti di tale sistema di stabulazione. L'articolo 9 del DSF non contiene alcuna indicazione relativa, ad esempio, alle dimensioni, al numero, alla temperatura, alla manutenzione o al funzionamento di tali impianti per quanto riguarda l'esposizione delle galline destinate alla produzione di uova alla luce o anche all'alimentazione e all'abbeveraggio. In mancanza di qualsiasi precisazione all'art. 9 del DSF, non si può ritenere che essa fissi i metodi e le procedure di produzione.</w:t>
      </w:r>
    </w:p>
    <w:p w14:paraId="000E1FB3" w14:textId="77777777">
      <w:pPr>
        <w:pStyle w:val="P68B1DB1-Normal14"/>
        <w:widowControl w:val="0"/>
        <w:autoSpaceDE w:val="0"/>
        <w:autoSpaceDN w:val="0"/>
        <w:spacing w:after="0" w:line="240" w:lineRule="auto"/>
        <w:ind w:left="567"/>
        <w:jc w:val="both"/>
        <w:rPr>
          <w:i/>
          <w:iCs/>
          <w:sz w:val="20"/>
          <w:szCs w:val="18"/>
        </w:rPr>
      </w:pPr>
    </w:p>
    <w:p w14:paraId="38E2B353" w14:textId="549AB11B">
      <w:pPr>
        <w:pStyle w:val="P68B1DB1-P68B1DB1-Normal147"/>
        <w:widowControl w:val="0"/>
        <w:autoSpaceDE w:val="0"/>
        <w:autoSpaceDN w:val="0"/>
        <w:spacing w:after="0" w:line="240" w:lineRule="auto"/>
        <w:ind w:left="567"/>
        <w:jc w:val="both"/>
        <w:rPr>
          <w:i/>
          <w:iCs/>
          <w:sz w:val="20"/>
          <w:szCs w:val="18"/>
        </w:rPr>
      </w:pPr>
      <w:r>
        <w:t xml:space="preserve">23. Inoltre, occorre rilevare che, precisando che "il sistema di stabulazione deve essere tale che il tasso di mortalità e i disturbi comportamentali delle galline siano mantenuti a un livello basso" senza alcun'altra indicazione, l'articolo 9, primo comma, del DSF si limita a enunciare obiettivi generali relativi al benessere delle galline destinate alla produzione di uova, senza fare necessariamente riferimento al prodotto di cui trattasi e, quindi, senza stabilire le caratteristiche di tale prodotto (v., per analogia, sentenza Intercommunale Intermosane e Fédération de l'Industrie et du gaz, C-361/10, non ancora pubblicata, punto 17)".</w:t>
      </w:r>
    </w:p>
    <w:p w14:paraId="6C0651D1" w14:textId="77777777">
      <w:pPr>
        <w:pStyle w:val="P68B1DB1-Normal14"/>
        <w:widowControl w:val="0"/>
        <w:autoSpaceDE w:val="0"/>
        <w:autoSpaceDN w:val="0"/>
        <w:spacing w:after="0" w:line="240" w:lineRule="auto"/>
        <w:ind w:left="567"/>
        <w:jc w:val="both"/>
      </w:pPr>
    </w:p>
    <w:p w14:paraId="497D9E29" w14:textId="02A14E4D">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1" w:history="1">
        <w:r>
          <w:rPr>
            <w:color w:val="0000FF"/>
            <w:u w:val="single"/>
          </w:rPr>
          <w:t xml:space="preserve">Sentenza della Corte di giustizia del 27 ottobre 2016</w:t>
        </w:r>
      </w:hyperlink>
      <w:r>
        <w:t xml:space="preserve">, James Elliott Construction, C-613/14, punto 67.</w:t>
      </w:r>
      <w:bookmarkEnd w:id="36"/>
    </w:p>
    <w:p w14:paraId="73295FA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546DAC4" w14:textId="10617266">
      <w:pPr>
        <w:pStyle w:val="P68B1DB1-P68B1DB1-Normal135"/>
        <w:widowControl w:val="0"/>
        <w:tabs>
          <w:tab w:val="left" w:pos="430"/>
        </w:tabs>
        <w:autoSpaceDE w:val="0"/>
        <w:autoSpaceDN w:val="0"/>
        <w:spacing w:after="0" w:line="240" w:lineRule="auto"/>
        <w:jc w:val="both"/>
        <w:rPr>
          <w:b w:val="0"/>
          <w:bCs/>
          <w:i w:val="0"/>
          <w:iCs/>
        </w:rPr>
      </w:pPr>
      <w:r>
        <w:t xml:space="preserve">Le disposizioni nazionali che stabiliscono condizioni contrattuali implicite relative alla qualità dei prodotti venduti non costituiscono "specificazioni tecniche" in quanto non definiscono le caratteristiche del prodotto in esame.</w:t>
      </w:r>
    </w:p>
    <w:p w14:paraId="6818C835" w14:textId="77777777">
      <w:pPr>
        <w:pStyle w:val="P68B1DB1-Normal14"/>
        <w:widowControl w:val="0"/>
        <w:tabs>
          <w:tab w:val="left" w:pos="430"/>
        </w:tabs>
        <w:autoSpaceDE w:val="0"/>
        <w:autoSpaceDN w:val="0"/>
        <w:spacing w:after="0" w:line="240" w:lineRule="auto"/>
        <w:jc w:val="both"/>
        <w:rPr>
          <w:i/>
          <w:iCs/>
          <w:sz w:val="20"/>
          <w:szCs w:val="18"/>
        </w:rPr>
      </w:pPr>
    </w:p>
    <w:p w14:paraId="63638539" w14:textId="7DA96F1E">
      <w:pPr>
        <w:pStyle w:val="P68B1DB1-P68B1DB1-Normal147"/>
        <w:widowControl w:val="0"/>
        <w:tabs>
          <w:tab w:val="left" w:pos="430"/>
        </w:tabs>
        <w:autoSpaceDE w:val="0"/>
        <w:autoSpaceDN w:val="0"/>
        <w:spacing w:after="0" w:line="240" w:lineRule="auto"/>
        <w:ind w:left="567"/>
        <w:jc w:val="both"/>
        <w:rPr>
          <w:i/>
          <w:iCs/>
          <w:sz w:val="20"/>
          <w:szCs w:val="18"/>
        </w:rPr>
      </w:pPr>
      <w:r>
        <w:t>"</w:t>
      </w:r>
      <w:bookmarkStart w:id="37" w:name="point67"/>
      <w:r>
        <w:t>67</w:t>
      </w:r>
      <w:bookmarkEnd w:id="37"/>
      <w:r>
        <w:t xml:space="preserve">. Nel caso di specie, risulta, da un lato, che disposizioni come quelle di cui trattasi nel procedimento principale, né di per sé, né come interpretate dai giudici irlandesi, non rientrano nella nozione di "specificazione tecnica", ai sensi dell'articolo 1, paragrafo 3, della direttiva 98/34. Tale nozione comprende solo le misure nazionali che si riferiscono a un prodotto o al suo imballaggio in quanto tale e che stabiliscono quindi una delle caratteristiche richieste di un prodotto (sentenza del 10 luglio 2014, Ivansson e a.</w:t>
        <w:noBreakHyphen/>
        <w:t xml:space="preserve">, C 307/13, punto 19 e giurisprudenza ivi citata). È evidente che ciò non si verifica nel caso di un requisito che si applica, salvo diverso accordo tra le parti, in generale alla vendita di tutti i prodotti."</w:t>
      </w:r>
    </w:p>
    <w:p w14:paraId="7BFACEDE" w14:textId="77777777">
      <w:pPr>
        <w:spacing w:after="0" w:line="240" w:lineRule="auto"/>
      </w:pPr>
    </w:p>
    <w:p w14:paraId="5FDF21D1" w14:textId="0085E992">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2" w:history="1">
        <w:r>
          <w:rPr>
            <w:color w:val="0000FF"/>
            <w:u w:val="single"/>
          </w:rPr>
          <w:t xml:space="preserve">Sentenza della Corte di giustizia del 1º febbraio 2017</w:t>
        </w:r>
      </w:hyperlink>
      <w:r>
        <w:t xml:space="preserve">, Município de Palmela, C-144/16, punto 30.</w:t>
      </w:r>
      <w:bookmarkEnd w:id="38"/>
    </w:p>
    <w:p w14:paraId="0E2142D8" w14:textId="77777777">
      <w:pPr>
        <w:widowControl w:val="0"/>
        <w:tabs>
          <w:tab w:val="left" w:pos="396"/>
          <w:tab w:val="left" w:pos="435"/>
        </w:tabs>
        <w:autoSpaceDE w:val="0"/>
        <w:autoSpaceDN w:val="0"/>
        <w:spacing w:after="0" w:line="240" w:lineRule="auto"/>
        <w:jc w:val="both"/>
        <w:rPr>
          <w:rFonts w:ascii="Times New Roman" w:hAnsi="Times New Roman" w:cs="Times New Roman" w:eastAsia="Times New Roman"/>
          <w:szCs w:val="20"/>
        </w:rPr>
      </w:pPr>
    </w:p>
    <w:p w14:paraId="2D0E0BDF" w14:textId="77777777">
      <w:pPr>
        <w:pStyle w:val="P68B1DB1-P68B1DB1-Normal135"/>
        <w:widowControl w:val="0"/>
        <w:tabs>
          <w:tab w:val="left" w:pos="396"/>
          <w:tab w:val="left" w:pos="399"/>
        </w:tabs>
        <w:autoSpaceDE w:val="0"/>
        <w:autoSpaceDN w:val="0"/>
        <w:spacing w:after="0" w:line="240" w:lineRule="auto"/>
        <w:jc w:val="both"/>
        <w:rPr>
          <w:b w:val="0"/>
          <w:bCs/>
          <w:i w:val="0"/>
          <w:iCs/>
        </w:rPr>
      </w:pPr>
      <w:r>
        <w:t xml:space="preserve">Un regolamento che imponga l'esposizione, in un'area ricreativa, di informazioni sulla capacità massima di tale zona non costituisce una "specificazione tecnica", in quanto non definisce le caratteristiche di un prodotto.</w:t>
      </w:r>
    </w:p>
    <w:p w14:paraId="0EEA34B8"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i/>
          <w:iCs/>
          <w:sz w:val="20"/>
          <w:szCs w:val="16"/>
        </w:rPr>
      </w:pPr>
    </w:p>
    <w:p w14:paraId="49F52DFE" w14:textId="22C34708">
      <w:pPr>
        <w:pStyle w:val="P68B1DB1-P68B1DB1-Normal147"/>
        <w:widowControl w:val="0"/>
        <w:autoSpaceDE w:val="0"/>
        <w:autoSpaceDN w:val="0"/>
        <w:spacing w:after="0" w:line="240" w:lineRule="auto"/>
        <w:ind w:left="567"/>
        <w:jc w:val="both"/>
        <w:rPr>
          <w:i/>
          <w:iCs/>
          <w:sz w:val="20"/>
          <w:szCs w:val="18"/>
        </w:rPr>
      </w:pPr>
      <w:r>
        <w:t xml:space="preserve">"30. [...] una siffatta disposizione non rientra nella categoria delle specificazioni tecniche ai sensi dell'articolo 1, paragrafo 3, della direttiva 98/34, in quanto è pacifico che le disposizioni che stabiliscono i requisiti e gli obiettivi generali in materia di sicurezza e di protezione, senza fare necessariamente riferimento al prodotto interessato o al suo imballaggio in quanto tale e quindi senza stabilire le caratteristiche di tale prodotto, non costituiscono specificazioni tecniche (v., in tal senso, sentenza del 9 giugno 2011, Intercommunale Intermosane e Fédération de l'industrie et du gaz, C-361/10, punti 17 e 18)."</w:t>
      </w:r>
    </w:p>
    <w:p w14:paraId="5DF2371F" w14:textId="77777777">
      <w:pPr>
        <w:spacing w:after="0" w:line="240" w:lineRule="auto"/>
      </w:pPr>
    </w:p>
    <w:p w14:paraId="303995E7" w14:textId="23CEFD0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r>
        <w:t xml:space="preserve">Sentenza </w:t>
      </w:r>
      <w:hyperlink r:id="rId33" w:history="1">
        <w:r>
          <w:rPr>
            <w:color w:val="0000FF"/>
            <w:u w:val="single"/>
          </w:rPr>
          <w:t xml:space="preserve">della Corte di giustizia del 26 settembre 2018</w:t>
        </w:r>
      </w:hyperlink>
      <w:r>
        <w:t xml:space="preserve">, Van Gennip e a., C-137/17, non ancora pubblicata nella Raccolta, punto 38.</w:t>
      </w:r>
      <w:bookmarkEnd w:id="39"/>
    </w:p>
    <w:p w14:paraId="2C38792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D8C12BA" w14:textId="71921C3D">
      <w:pPr>
        <w:widowControl w:val="0"/>
        <w:tabs>
          <w:tab w:val="left" w:pos="404"/>
        </w:tabs>
        <w:autoSpaceDE w:val="0"/>
        <w:autoSpaceDN w:val="0"/>
        <w:spacing w:after="0" w:line="240" w:lineRule="auto"/>
        <w:jc w:val="both"/>
        <w:rPr>
          <w:rFonts w:ascii="Times New Roman" w:hAnsi="Times New Roman" w:cs="Times New Roman" w:eastAsia="Times New Roman"/>
          <w:szCs w:val="20"/>
        </w:rPr>
        <w:pStyle w:val="P68B1DB1-Normal14"/>
      </w:pPr>
      <w:r>
        <w:t xml:space="preserve">Le disposizioni nazionali che subordinano la commercializzazione dei prodotti al possesso di un'autorizzazione da parte dell'acquirente non rientrano nella nozione di "specificazione tecnica", in quanto non definiscono le caratteristiche del prodotto stesso o del suo imballaggio.</w:t>
      </w:r>
    </w:p>
    <w:p w14:paraId="51B72955" w14:textId="77777777">
      <w:pPr>
        <w:widowControl w:val="0"/>
        <w:tabs>
          <w:tab w:val="left" w:pos="404"/>
        </w:tabs>
        <w:autoSpaceDE w:val="0"/>
        <w:autoSpaceDN w:val="0"/>
        <w:spacing w:after="0" w:line="240" w:lineRule="auto"/>
        <w:jc w:val="both"/>
        <w:rPr>
          <w:rFonts w:ascii="Times New Roman" w:hAnsi="Times New Roman" w:cs="Times New Roman" w:eastAsia="Times New Roman"/>
          <w:sz w:val="20"/>
          <w:szCs w:val="18"/>
        </w:rPr>
      </w:pPr>
    </w:p>
    <w:p w14:paraId="7AB991D2" w14:textId="4B88FB97">
      <w:pPr>
        <w:pStyle w:val="P68B1DB1-P68B1DB1-Normal147"/>
        <w:widowControl w:val="0"/>
        <w:tabs>
          <w:tab w:val="left" w:pos="404"/>
        </w:tabs>
        <w:autoSpaceDE w:val="0"/>
        <w:autoSpaceDN w:val="0"/>
        <w:spacing w:after="0" w:line="240" w:lineRule="auto"/>
        <w:ind w:left="567"/>
        <w:jc w:val="both"/>
        <w:rPr>
          <w:i/>
          <w:iCs/>
          <w:sz w:val="20"/>
          <w:szCs w:val="18"/>
        </w:rPr>
      </w:pPr>
      <w:r>
        <w:t>"</w:t>
      </w:r>
      <w:bookmarkStart w:id="40" w:name="point38"/>
      <w:r>
        <w:t>38</w:t>
      </w:r>
      <w:bookmarkEnd w:id="40"/>
      <w:r>
        <w:t xml:space="preserve">. Per quanto riguarda, in primo luogo, la nozione di "specificazione tecnica", occorre ricordare che tale nozione presuppone che la misura nazionale si riferisca necessariamente al prodotto o al suo imballaggio in quanto tale e stabilisca quindi una delle caratteristiche richieste di un prodotto, quali le dimensioni, la denominazione di vendita, l'etichettatura o la marcatura (sentenza del 10 luglio 2014, Ivansson e a.</w:t>
        <w:noBreakHyphen/>
        <w:t xml:space="preserve">, C 307/13, punto 19 e giurisprudenza ivi citata). Orbene, come ha rilevato l'avvocato generale al paragrafo 74 delle sue conclusioni, la normativa belga non fa riferimento agli articoli pirotecnici e al loro imballaggio in quanto tale, sicché tale normativa non definisce una delle caratteristiche richieste di tali prodotti. Pertanto, detta Pertanto, tale normativa non costituisce una "specificazione tecnica", ai sensi dell'articolo 1, punto 3, della direttiva 98/34."</w:t>
      </w:r>
    </w:p>
    <w:p w14:paraId="3C1C0D5D" w14:textId="77777777">
      <w:pPr>
        <w:spacing w:after="0" w:line="240" w:lineRule="auto"/>
      </w:pPr>
    </w:p>
    <w:p w14:paraId="1B398E2A" w14:textId="0E921DB9">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4" w:anchor="ctx1" w:history="1">
        <w:r>
          <w:rPr>
            <w:color w:val="0000FF"/>
            <w:u w:val="single"/>
          </w:rPr>
          <w:t xml:space="preserve">Sentenza della Corte di giustizia del 28 maggio 2020</w:t>
        </w:r>
      </w:hyperlink>
      <w:r>
        <w:t xml:space="preserve">, ECO-WIND Construction, C-727/17, punti 36 e 37.</w:t>
      </w:r>
      <w:bookmarkEnd w:id="41"/>
    </w:p>
    <w:p w14:paraId="0A0FB1E2" w14:textId="77777777">
      <w:pPr>
        <w:widowControl w:val="0"/>
        <w:autoSpaceDE w:val="0"/>
        <w:autoSpaceDN w:val="0"/>
        <w:spacing w:after="0" w:line="240" w:lineRule="auto"/>
        <w:jc w:val="both"/>
        <w:rPr>
          <w:rFonts w:ascii="Times New Roman" w:hAnsi="Times New Roman" w:cs="Times New Roman" w:eastAsia="Times New Roman"/>
          <w:szCs w:val="20"/>
        </w:rPr>
      </w:pPr>
    </w:p>
    <w:p w14:paraId="1727EFAA" w14:textId="2501EFD3">
      <w:pPr>
        <w:pStyle w:val="P68B1DB1-P68B1DB1-Normal135"/>
        <w:widowControl w:val="0"/>
        <w:autoSpaceDE w:val="0"/>
        <w:autoSpaceDN w:val="0"/>
        <w:spacing w:after="0" w:line="240" w:lineRule="auto"/>
        <w:jc w:val="both"/>
        <w:rPr>
          <w:b w:val="0"/>
          <w:bCs/>
          <w:i w:val="0"/>
          <w:iCs/>
        </w:rPr>
      </w:pPr>
      <w:r>
        <w:t xml:space="preserve">Un regolamento che impone una distanza minima per l'installazione di turbine eoliche non costituisce una "specifica tecnica", in quanto non stabilisce le caratteristiche del prodotto. </w:t>
      </w:r>
    </w:p>
    <w:p w14:paraId="722207F3" w14:textId="77777777">
      <w:pPr>
        <w:widowControl w:val="0"/>
        <w:autoSpaceDE w:val="0"/>
        <w:autoSpaceDN w:val="0"/>
        <w:spacing w:after="0" w:line="240" w:lineRule="auto"/>
        <w:jc w:val="both"/>
        <w:rPr>
          <w:rFonts w:ascii="Times New Roman" w:hAnsi="Times New Roman" w:cs="Times New Roman" w:eastAsia="Times New Roman"/>
          <w:szCs w:val="20"/>
        </w:rPr>
      </w:pPr>
    </w:p>
    <w:p w14:paraId="1E97E227" w14:textId="71BD8F6B">
      <w:pPr>
        <w:pStyle w:val="P68B1DB1-P68B1DB1-Normal1820"/>
        <w:widowControl w:val="0"/>
        <w:autoSpaceDE w:val="0"/>
        <w:autoSpaceDN w:val="0"/>
        <w:spacing w:after="0" w:line="240" w:lineRule="auto"/>
        <w:ind w:left="567"/>
        <w:jc w:val="both"/>
        <w:rPr>
          <w:sz w:val="18"/>
          <w:szCs w:val="18"/>
        </w:rPr>
      </w:pPr>
      <w:r>
        <w:t xml:space="preserve">"36. [...] per quanto riguarda l'eventuale qualificazione dello stesso requisito come regola tecnica per il fatto che essa rientra nella categoria delle "specificazioni tecniche", occorre rilevare che una specificazione tecnica presuppone che la misura nazionale che lo prescrive si riferisca al prodotto o al suo imballaggio in quanto tale e stabilisca pertanto una delle caratteristiche richieste di tale prodotto (sentenze del 21 aprile 2005, Lindberg, C-267/03, drite, punto 57, e del 19 luglio 2012, Fortuna e a., C-213/11, C-214/11 e C-217/11, punto 28).</w:t>
      </w:r>
    </w:p>
    <w:p w14:paraId="43CBA2CC" w14:textId="77777777">
      <w:pPr>
        <w:pStyle w:val="P68B1DB1-Normal18"/>
        <w:widowControl w:val="0"/>
        <w:autoSpaceDE w:val="0"/>
        <w:autoSpaceDN w:val="0"/>
        <w:spacing w:after="0" w:line="240" w:lineRule="auto"/>
        <w:ind w:left="567"/>
        <w:jc w:val="both"/>
        <w:rPr>
          <w:sz w:val="18"/>
          <w:szCs w:val="18"/>
        </w:rPr>
      </w:pPr>
    </w:p>
    <w:p w14:paraId="76314186" w14:textId="0AD1E5B8">
      <w:pPr>
        <w:pStyle w:val="P68B1DB1-P68B1DB1-Normal1820"/>
        <w:widowControl w:val="0"/>
        <w:autoSpaceDE w:val="0"/>
        <w:autoSpaceDN w:val="0"/>
        <w:spacing w:after="0" w:line="240" w:lineRule="auto"/>
        <w:ind w:left="567"/>
        <w:jc w:val="both"/>
        <w:rPr>
          <w:iCs/>
          <w:sz w:val="18"/>
          <w:szCs w:val="18"/>
        </w:rPr>
      </w:pPr>
      <w:r>
        <w:t xml:space="preserve">37. Orbene, nel caso di specie, la normativa di cui al procedimento principale si limita a disciplinare l'installazione delle centrali eoliche fissando un vincolo di distanza minimo da rispettare per il loro luogo di ubicazione. Di conseguenza, tale normativa non riguarda un prodotto in quanto tale, nel caso di specie il generatore di vento, e, pertanto, non prevede una delle caratteristiche richieste per tale prodotto ai sensi dell'articolo 1, paragrafo 1, lettera f), della direttiva 2015/1535, letto alla luce dell'articolo 1, paragrafo 1, lettera c), di tale direttiva".</w:t>
      </w:r>
    </w:p>
    <w:p w14:paraId="5AABB494" w14:textId="77777777">
      <w:pPr>
        <w:spacing w:after="0" w:line="240" w:lineRule="auto"/>
      </w:pPr>
    </w:p>
    <w:p w14:paraId="083B7832" w14:textId="56CC78C4">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5" w:history="1">
        <w:r>
          <w:rPr>
            <w:color w:val="0000FF"/>
            <w:u w:val="single"/>
          </w:rPr>
          <w:t xml:space="preserve">Sentenza della Corte di giustizia del 22 ottobre 2020</w:t>
        </w:r>
      </w:hyperlink>
      <w:r>
        <w:t xml:space="preserve">, Sportingbet e Internet Opportunity Entertainment, C-275/19, punti 42 e 43.</w:t>
      </w:r>
      <w:bookmarkEnd w:id="42"/>
    </w:p>
    <w:p w14:paraId="6C7ED54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8C7F634" w14:textId="48937F16">
      <w:pPr>
        <w:widowControl w:val="0"/>
        <w:autoSpaceDE w:val="0"/>
        <w:autoSpaceDN w:val="0"/>
        <w:spacing w:after="0" w:line="240" w:lineRule="auto"/>
        <w:jc w:val="both"/>
        <w:outlineLvl w:val="1"/>
        <w:rPr>
          <w:rFonts w:ascii="Times New Roman" w:hAnsi="Times New Roman" w:cs="Times New Roman" w:eastAsia="Times New Roman"/>
          <w:szCs w:val="20"/>
        </w:rPr>
        <w:pStyle w:val="P68B1DB1-Normal14"/>
      </w:pPr>
      <w:bookmarkStart w:id="43" w:name="_Toc198043809"/>
      <w:r>
        <w:t xml:space="preserve">Una normativa nazionale che riserva la gestione dei giochi d'azzardo allo Stato e impone la concessione di licenze solo alle società pubbliche non costituisce una "specificazione tecnica", in quanto non definisce le caratteristiche richieste di un prodotto.</w:t>
      </w:r>
      <w:bookmarkEnd w:id="43"/>
    </w:p>
    <w:p w14:paraId="0A3D0FC5" w14:textId="77777777">
      <w:pPr>
        <w:widowControl w:val="0"/>
        <w:autoSpaceDE w:val="0"/>
        <w:autoSpaceDN w:val="0"/>
        <w:spacing w:after="0" w:line="240" w:lineRule="auto"/>
        <w:jc w:val="both"/>
        <w:outlineLvl w:val="1"/>
        <w:rPr>
          <w:rFonts w:ascii="Times New Roman" w:hAnsi="Times New Roman" w:cs="Times New Roman" w:eastAsia="Times New Roman"/>
          <w:szCs w:val="20"/>
        </w:rPr>
      </w:pPr>
    </w:p>
    <w:p w14:paraId="6392BB1A" w14:textId="67B2E488">
      <w:pPr>
        <w:pStyle w:val="P68B1DB1-P68B1DB1-Normal147"/>
        <w:widowControl w:val="0"/>
        <w:autoSpaceDE w:val="0"/>
        <w:autoSpaceDN w:val="0"/>
        <w:spacing w:after="0" w:line="240" w:lineRule="auto"/>
        <w:ind w:left="567"/>
        <w:jc w:val="both"/>
        <w:outlineLvl w:val="1"/>
        <w:rPr>
          <w:i/>
          <w:iCs/>
          <w:sz w:val="20"/>
          <w:szCs w:val="18"/>
        </w:rPr>
      </w:pPr>
      <w:bookmarkStart w:id="44" w:name="_Toc198043810"/>
      <w:r>
        <w:t xml:space="preserve">"42. Ai sensi dell'articolo 1, paragrafo 1, della direttiva 83/189, una "specificazione tecnica", ai sensi di tale direttiva, è la specificazione che figura in un documento che definisce le caratteristiche richieste di un prodotto, quali i livelli di qualità o di utilizzazione, la sicurezza, le dimensioni, comprese le prescrizioni applicabili al prodotto per quanto riguarda la terminologia, i simboli, le prove e i metodi di prova, l'imballaggio, la marcatura o l'etichettatura (v., in tal senso, sentenza dell'8 marzo 2001, van der Burg, C-278/99, punto 20).</w:t>
      </w:r>
      <w:bookmarkEnd w:id="44"/>
    </w:p>
    <w:p w14:paraId="0F20B9AD" w14:textId="77777777">
      <w:pPr>
        <w:pStyle w:val="P68B1DB1-Normal14"/>
        <w:widowControl w:val="0"/>
        <w:autoSpaceDE w:val="0"/>
        <w:autoSpaceDN w:val="0"/>
        <w:spacing w:after="0" w:line="240" w:lineRule="auto"/>
        <w:ind w:left="567"/>
        <w:jc w:val="both"/>
        <w:outlineLvl w:val="1"/>
        <w:rPr>
          <w:i/>
          <w:iCs/>
          <w:sz w:val="20"/>
          <w:szCs w:val="18"/>
        </w:rPr>
      </w:pPr>
    </w:p>
    <w:p w14:paraId="757FE488" w14:textId="2F0812B7">
      <w:pPr>
        <w:pStyle w:val="P68B1DB1-P68B1DB1-Normal147"/>
        <w:widowControl w:val="0"/>
        <w:autoSpaceDE w:val="0"/>
        <w:autoSpaceDN w:val="0"/>
        <w:spacing w:after="0" w:line="240" w:lineRule="auto"/>
        <w:ind w:left="567"/>
        <w:jc w:val="both"/>
        <w:outlineLvl w:val="1"/>
        <w:rPr>
          <w:i/>
          <w:iCs/>
          <w:sz w:val="20"/>
          <w:szCs w:val="18"/>
        </w:rPr>
      </w:pPr>
      <w:bookmarkStart w:id="45" w:name="_Toc198043811"/>
      <w:r>
        <w:t xml:space="preserve">43. Poiché gli articoli 3 e 9 del decreto legge n. 422/89 stabiliscono norme di concessione per la gestione dei giochi di sorte o d'azzardo nonché le condizioni e le zone per l'esercizio di tale attività, non risulta che tali disposizioni riguardino le caratteristiche richieste per un prodotto, ai sensi dell'articolo 1, paragrafo 1, della direttiva 83/189, cosicché esse non possono essere qualificate come "regole tecniche", ai sensi dell'articolo 1, paragrafo 5, di tale direttiva."</w:t>
      </w:r>
      <w:bookmarkEnd w:id="45"/>
    </w:p>
    <w:p w14:paraId="317449EC" w14:textId="20C2AD43">
      <w:pPr>
        <w:spacing w:after="0" w:line="240" w:lineRule="auto"/>
      </w:pPr>
      <w:r>
        <w:br w:type="page"/>
      </w:r>
    </w:p>
    <w:p w14:paraId="5544B741" w14:textId="1E79FEAA">
      <w:pPr>
        <w:pStyle w:val="P68B1DB1-Heading24"/>
        <w:numPr>
          <w:ilvl w:val="0"/>
          <w:numId w:val="35"/>
        </w:numPr>
        <w:spacing w:before="0" w:after="0"/>
        <w:jc w:val="center"/>
        <w:rPr>
          <w:bCs/>
          <w:color w:val="auto"/>
        </w:rPr>
      </w:pPr>
      <w:bookmarkStart w:id="46" w:name="_Ref194484250"/>
      <w:bookmarkStart w:id="47" w:name="_Toc203035668"/>
      <w:r>
        <w:t xml:space="preserve">Altri requisiti</w:t>
      </w:r>
      <w:bookmarkEnd w:id="46"/>
      <w:bookmarkEnd w:id="47"/>
    </w:p>
    <w:p w14:paraId="48370E42" w14:textId="77777777">
      <w:pPr>
        <w:pStyle w:val="BodyText"/>
      </w:pPr>
    </w:p>
    <w:p w14:paraId="032AC50F" w14:textId="77777777">
      <w:pPr>
        <w:pStyle w:val="P68B1DB1-BodyText11"/>
        <w:ind w:left="567"/>
        <w:rPr>
          <w:i/>
        </w:rPr>
      </w:pPr>
      <w:r>
        <w:t xml:space="preserve">"" altri requisiti ": un requisito, diverso da una specificazione tecnica, imposto ad un prodotto al fine di proteggere, in particolare, i consumatori o l'ambiente, e che incide sul suo ciclo di vita dopo la sua immissione sul mercato, quali le condizioni di utilizzazione, riciclaggio, riutilizzo o smaltimento, qualora tali condizioni possano influenzare in modo significativo la composizione o la natura del prodotto o la sua commercializzazione;"</w:t>
      </w:r>
    </w:p>
    <w:p w14:paraId="1AD68414" w14:textId="77777777">
      <w:pPr>
        <w:pStyle w:val="BodyText"/>
        <w:ind w:left="567"/>
        <w:rPr>
          <w:i/>
          <w:iCs/>
        </w:rPr>
      </w:pPr>
    </w:p>
    <w:p w14:paraId="3295AC84" w14:textId="258D2B2D">
      <w:pPr>
        <w:pStyle w:val="BodyText"/>
        <w:ind w:left="1440"/>
        <w:jc w:val="right"/>
      </w:pPr>
      <w:r>
        <w:t xml:space="preserve">(Articolo 1, paragrafo 1, lettera d), della direttiva (UE) 2015/1535)</w:t>
      </w:r>
    </w:p>
    <w:p w14:paraId="330805BE" w14:textId="77777777">
      <w:pPr>
        <w:spacing w:after="0" w:line="240" w:lineRule="auto"/>
      </w:pPr>
    </w:p>
    <w:p w14:paraId="55D10FEE" w14:textId="55169F6A">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6" w:history="1">
        <w:r>
          <w:rPr>
            <w:color w:val="0000FF"/>
            <w:u w:val="single"/>
          </w:rPr>
          <w:t xml:space="preserve">Sentenza della Corte di giustizia del 21 aprile 2005</w:t>
        </w:r>
      </w:hyperlink>
      <w:r>
        <w:t xml:space="preserve">, Lindberg, C-267/03, punti da 68 a 78.</w:t>
      </w:r>
      <w:bookmarkEnd w:id="48"/>
    </w:p>
    <w:p w14:paraId="505D095B"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C3CD77B" w14:textId="14D45A80">
      <w:pPr>
        <w:pStyle w:val="P68B1DB1-P68B1DB1-Normal135"/>
        <w:widowControl w:val="0"/>
        <w:tabs>
          <w:tab w:val="left" w:pos="396"/>
          <w:tab w:val="left" w:pos="425"/>
        </w:tabs>
        <w:autoSpaceDE w:val="0"/>
        <w:autoSpaceDN w:val="0"/>
        <w:spacing w:after="0" w:line="240" w:lineRule="auto"/>
        <w:jc w:val="both"/>
        <w:rPr>
          <w:b w:val="0"/>
          <w:bCs/>
          <w:i w:val="0"/>
          <w:iCs/>
        </w:rPr>
      </w:pPr>
      <w:r>
        <w:t xml:space="preserve">Un divieto nazionale di taluni giochi d'azzardo può essere qualificato come "altro requisito" se è tale da influenzare la composizione, la natura o la commercializzazione del prodotto. Tuttavia, se il divieto non lascia spazio all'uso del prodotto, esso sarà descritto come una disposizione di divieto (cfr. parte I, capitolo e. "Disposizioni di divieto" del presente documento).</w:t>
      </w:r>
    </w:p>
    <w:p w14:paraId="652340FB"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1480B8F9" w14:textId="6F01164B">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"68. [...] si deve constatare che una misura nazionale come il divieto di cui trattasi nel procedimento principale sembra rientrare specificamente nella nozione di "altri requisiti" inserita dalla direttiva 94/10 nella direttiva 83/189 al fine di ampliarne l'ambito di applicazione e che, pertanto, essa non rientra nella categoria delle specificazioni tecniche.</w:t>
      </w:r>
    </w:p>
    <w:p w14:paraId="2944EF7E"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54A46FBE" w14:textId="533DD288">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69. Si tratta infatti di un requisito imposto con riferimento a taluni prodotti, cioè gli apparecchi da gioco automatici, per motivi che sono essenzialmente di tutela dei consumatori, ossia, nella fattispecie, i giocatori interessati.</w:t>
      </w:r>
    </w:p>
    <w:p w14:paraId="435FA3FD"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47230431" w14:textId="24C978CF">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70. Pertanto, un divieto come quello previsto dalle disposizioni pertinenti della legge sulle lotterie modificata riguarda l'uso di un prodotto ai sensi dell'articolo 1, paragrafo 9, della direttiva 83/189.</w:t>
      </w:r>
    </w:p>
    <w:p w14:paraId="25649921"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1F534BDA" w14:textId="11B53D06">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71. Inoltre, il requisito di cui trattasi nel procedimento principale non è imposto alle macchine da gioco ai fini della loro immissione in commercio, ma riguarda il loro ciclo di vita dopo la loro immissione in commercio ai sensi della definizione di "altri requisiti" di cui all'articolo 1, paragrafo 3, della direttiva 83/189.</w:t>
      </w:r>
    </w:p>
    <w:p w14:paraId="59919AE6"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41F045F1" w14:textId="2B5F0180">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72. Per rientrare in "altri requisiti" ai sensi dell'articolo 1, paragrafo 3, della direttiva 83/189, un requisito come il divieto di utilizzare gli apparecchi automatici da gioco di cui trattasi nel procedimento principale deve costituire, nel caso di specie, una "condizione" di utilizzazione, che può influenzare in modo significativo la composizione o la natura del prodotto o la sua commercializzazione.</w:t>
      </w:r>
    </w:p>
    <w:p w14:paraId="39B806F8"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63F01875" w14:textId="05AA70B3">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73. Si pone tuttavia la questione se tale divieto debba essere considerato una "condizione" di utilizzazione del prodotto di cui trattasi o se si tratti piuttosto di una misura nazionale rientrante nella terza categoria di regole tecniche di cui all'articolo 1, paragrafo 9, della direttiva 83/189, anch'essa inserita dalla direttiva 94/10, vale a dire quella delle "legislazioni (...) degli Stati membri (...) che vietano la fabbricazione, l'importazione, la commercializzazione o l'uso di un prodotto".</w:t>
      </w:r>
    </w:p>
    <w:p w14:paraId="0CE71B78"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191591B4" w14:textId="6B2734B5">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74. La possibilità di ricondurre una misura nazionale, quale quella di cui trattasi nella causa principale, all'una o all'altra di queste due categorie di regole tecniche dipende dalla portata del divieto introdotto dalla misura stessa.</w:t>
      </w:r>
    </w:p>
    <w:p w14:paraId="6B836853"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2B46325D" w14:textId="0B469170">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75. A tal riguardo, è significativo che, a differenza della seconda categoria costituita da altri requisiti ai sensi di tale articolo 1, paragrafo 3, tale terza categoria di regola tecnica definita all'articolo 1, paragrafo 9, della direttiva 83/189 non includa la condizione secondo cui il divieto di cui trattasi deve essere tale da influenzare in modo significativo la composizione o la natura del prodotto o la sua commercializzazione.</w:t>
      </w:r>
    </w:p>
    <w:p w14:paraId="3F06D727"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0478C3F2" w14:textId="527C7CD0">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76. Poiché questa terza categoria di regole tecniche fa riferimento, segnatamente, ad un divieto di utilizzazione, deve trattarsi di misure che abbiano una portata evidentemente più ampia di una limitazione a taluni usi possibili del prodotto in questione, e che non si limitino pertanto ad una semplice restrizione dell'utilizzo di quest'ultimo.</w:t>
      </w:r>
    </w:p>
    <w:p w14:paraId="2801C70C"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673DF0AC" w14:textId="160B2A71">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77. Come rilevato dall'avvocato generale al punto 70 delle sue conclusioni, tale categoria di regole tecniche fa riferimento, in particolare, a misure nazionali che consentono solamente un utilizzo puramente marginale del prodotto in questione rispetto ai vari utilizzi ragionevolmente ipotizzabili dello stesso. Spetta al giudice del rinvio verificare se questo è il caso del divieto introdotto dalla disposizione nazionale di cui alla causa principale.</w:t>
      </w:r>
    </w:p>
    <w:p w14:paraId="4E46E41B"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10A9AFAF" w14:textId="62EB4C43">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78. Qualora dovesse dimostrare, a seguito di un siffatto esame da parte del giudice del rinvio, che ciò non si verifica nel procedimento principale, tale disposizione nazionale potrebbe essere considerata un "altro requisito", poiché è pacifico che il rispetto di tale requisito è obbligatorio de jure per l'uso del prodotto nello Stato membro interessato, ai sensi dell'articolo 1, paragrafo 9, della direttiva 83/189. Tuttavia, in tal caso, spetta anche al giudice del rinvio verificare che il divieto di cui trattasi possa influenzare in modo significativo la composizione o la natura del prodotto o la sua commercializzazione ai sensi dell'articolo 1, paragrafo 3".</w:t>
      </w:r>
    </w:p>
    <w:p w14:paraId="58C5982D" w14:textId="77777777">
      <w:pPr>
        <w:widowControl w:val="0"/>
        <w:autoSpaceDE w:val="0"/>
        <w:autoSpaceDN w:val="0"/>
        <w:spacing w:after="0" w:line="240" w:lineRule="auto"/>
        <w:jc w:val="both"/>
        <w:outlineLvl w:val="1"/>
      </w:pPr>
    </w:p>
    <w:p w14:paraId="2F6BDAC1" w14:textId="2FA8E91B">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7" w:history="1">
        <w:r>
          <w:rPr>
            <w:color w:val="0000FF"/>
            <w:u w:val="single"/>
          </w:rPr>
          <w:t xml:space="preserve">Sentenza della Corte di giustizia del 9 giugno 2011</w:t>
        </w:r>
      </w:hyperlink>
      <w:r>
        <w:t xml:space="preserve">, Intercommunale Intermosane e Fédération de l'industrie et du gaz, C-361/10, punti 20 e 21.</w:t>
      </w:r>
      <w:bookmarkEnd w:id="49"/>
    </w:p>
    <w:p w14:paraId="57B3E0E0"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2AC6C525" w14:textId="4FA3F43D">
      <w:pPr>
        <w:pStyle w:val="P68B1DB1-P68B1DB1-Normal135"/>
        <w:widowControl w:val="0"/>
        <w:autoSpaceDE w:val="0"/>
        <w:autoSpaceDN w:val="0"/>
        <w:spacing w:after="0" w:line="240" w:lineRule="auto"/>
        <w:jc w:val="both"/>
        <w:rPr>
          <w:b w:val="0"/>
          <w:bCs/>
          <w:i w:val="0"/>
          <w:iCs/>
        </w:rPr>
      </w:pPr>
      <w:r>
        <w:t xml:space="preserve">Le disposizioni nazionali che stabiliscono requisiti minimi per la costruzione di impianti elettrici e la sicurezza dei lavoratori non possono essere qualificate come "altri requisiti", in quanto il loro carattere generale non consente di influenzare in modo significativo la composizione, la natura o la commercializzazione dei prodotti di cui trattasi.</w:t>
      </w:r>
    </w:p>
    <w:p w14:paraId="2685F921" w14:textId="77777777">
      <w:pPr>
        <w:pStyle w:val="P68B1DB1-Normal14"/>
        <w:widowControl w:val="0"/>
        <w:autoSpaceDE w:val="0"/>
        <w:autoSpaceDN w:val="0"/>
        <w:spacing w:after="0" w:line="240" w:lineRule="auto"/>
        <w:ind w:left="567"/>
        <w:jc w:val="both"/>
      </w:pPr>
    </w:p>
    <w:p w14:paraId="7CB334E9" w14:textId="5A4E49E5">
      <w:pPr>
        <w:pStyle w:val="P68B1DB1-P68B1DB1-Normal147"/>
        <w:widowControl w:val="0"/>
        <w:autoSpaceDE w:val="0"/>
        <w:autoSpaceDN w:val="0"/>
        <w:spacing w:after="0" w:line="240" w:lineRule="auto"/>
        <w:ind w:left="567"/>
        <w:jc w:val="both"/>
        <w:rPr>
          <w:i/>
          <w:iCs/>
          <w:sz w:val="20"/>
          <w:szCs w:val="18"/>
        </w:rPr>
      </w:pPr>
      <w:r>
        <w:t xml:space="preserve">"20. Secondo la giurisprudenza, per essere qualificati come "altri requisiti" ai sensi dell'articolo 1, paragrafo 4, della direttiva 98/34, i requisiti minimi previsti dalle disposizioni di cui trattasi devono costituire "condizioni" che possono influenzare in modo significativo la composizione o la natura del prodotto di cui trattasi o la sua commercializzazione (v., in tal senso, sentenza Lindberg, cit., punto 72).</w:t>
      </w:r>
    </w:p>
    <w:p w14:paraId="0201CB41" w14:textId="77777777">
      <w:pPr>
        <w:pStyle w:val="P68B1DB1-Normal14"/>
        <w:widowControl w:val="0"/>
        <w:autoSpaceDE w:val="0"/>
        <w:autoSpaceDN w:val="0"/>
        <w:spacing w:after="0" w:line="240" w:lineRule="auto"/>
        <w:ind w:left="567"/>
        <w:jc w:val="both"/>
        <w:rPr>
          <w:i/>
          <w:iCs/>
          <w:sz w:val="20"/>
          <w:szCs w:val="18"/>
        </w:rPr>
      </w:pPr>
    </w:p>
    <w:p w14:paraId="19DF32CA" w14:textId="1B626E8C">
      <w:pPr>
        <w:pStyle w:val="P68B1DB1-P68B1DB1-Normal147"/>
        <w:widowControl w:val="0"/>
        <w:autoSpaceDE w:val="0"/>
        <w:autoSpaceDN w:val="0"/>
        <w:spacing w:after="0" w:line="240" w:lineRule="auto"/>
        <w:ind w:left="567"/>
        <w:jc w:val="both"/>
        <w:rPr>
          <w:bCs/>
          <w:i/>
          <w:iCs/>
          <w:sz w:val="20"/>
          <w:szCs w:val="18"/>
        </w:rPr>
      </w:pPr>
      <w:r>
        <w:t xml:space="preserve">21. Tenuto conto del carattere generale di tali requisiti, essi non possono costituire tali condizioni né, di conseguenza, essere qualificati come "altri requisiti", ai sensi dell'articolo 1, paragrafo 4, della direttiva."</w:t>
      </w:r>
    </w:p>
    <w:p w14:paraId="22AC2F60" w14:textId="77777777">
      <w:pPr>
        <w:spacing w:after="0" w:line="240" w:lineRule="auto"/>
      </w:pPr>
    </w:p>
    <w:p w14:paraId="42A24500" w14:textId="38331ADD">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8" w:history="1">
        <w:r>
          <w:rPr>
            <w:color w:val="0000FF"/>
            <w:u w:val="single"/>
          </w:rPr>
          <w:t xml:space="preserve">Sentenza della Corte di giustizia del 19 luglio 2012</w:t>
        </w:r>
      </w:hyperlink>
      <w:r>
        <w:t xml:space="preserve">, Fortuna e altri, C-213/11, C-214/11 e C-217/11, punti 35, 36 e 40.</w:t>
      </w:r>
      <w:bookmarkEnd w:id="50"/>
    </w:p>
    <w:p w14:paraId="663DE3A5"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F531831" w14:textId="1178CA17">
      <w:pPr>
        <w:pStyle w:val="P68B1DB1-P68B1DB1-Normal135"/>
        <w:widowControl w:val="0"/>
        <w:tabs>
          <w:tab w:val="left" w:pos="451"/>
        </w:tabs>
        <w:autoSpaceDE w:val="0"/>
        <w:autoSpaceDN w:val="0"/>
        <w:spacing w:after="0" w:line="240" w:lineRule="auto"/>
        <w:jc w:val="both"/>
        <w:rPr>
          <w:b w:val="0"/>
          <w:bCs/>
          <w:i w:val="0"/>
          <w:iCs/>
        </w:rPr>
      </w:pPr>
      <w:r>
        <w:t xml:space="preserve">Le disposizioni nazionali che limitano il funzionamento delle macchine da gioco al di fuori dei casinò possono essere qualificate come "altri requisiti" e quindi come "regole tecniche" qualora incidano in modo significativo sulla natura o sulla commercializzazione dei prodotti di cui trattasi. </w:t>
      </w:r>
    </w:p>
    <w:p w14:paraId="61D3F52D" w14:textId="77777777">
      <w:pPr>
        <w:widowControl w:val="0"/>
        <w:tabs>
          <w:tab w:val="left" w:pos="451"/>
        </w:tabs>
        <w:autoSpaceDE w:val="0"/>
        <w:autoSpaceDN w:val="0"/>
        <w:spacing w:after="0" w:line="240" w:lineRule="auto"/>
        <w:jc w:val="both"/>
        <w:rPr>
          <w:rFonts w:ascii="Times New Roman" w:hAnsi="Times New Roman" w:cs="Times New Roman" w:eastAsia="Times New Roman"/>
          <w:i/>
          <w:iCs/>
          <w:sz w:val="20"/>
          <w:szCs w:val="16"/>
        </w:rPr>
      </w:pPr>
    </w:p>
    <w:p w14:paraId="1B71B669" w14:textId="30006E3D">
      <w:pPr>
        <w:pStyle w:val="P68B1DB1-P68B1DB1-Normal147"/>
        <w:widowControl w:val="0"/>
        <w:tabs>
          <w:tab w:val="left" w:pos="451"/>
        </w:tabs>
        <w:autoSpaceDE w:val="0"/>
        <w:autoSpaceDN w:val="0"/>
        <w:spacing w:after="0" w:line="240" w:lineRule="auto"/>
        <w:ind w:left="567"/>
        <w:jc w:val="both"/>
        <w:rPr>
          <w:i/>
          <w:sz w:val="20"/>
          <w:szCs w:val="18"/>
        </w:rPr>
      </w:pPr>
      <w:r>
        <w:t xml:space="preserve">"35. [...] la Corte ha dichiarato che, per essere qualificate come "altre esigenze" ai sensi dell'articolo 1, paragrafo 4, della direttiva 98/34, le misure nazionali di cui trattasi devono costituire "condizioni" che possono influire in modo significativo sulla composizione, sulla natura o sulla commercializzazione del prodotto di cui trattasi (v., in tal senso, citate sentenze Lindberg, punto 72, nonché Intercommunale Intermosane e Fédération de l'industrie et du gaz, punto 20).</w:t>
      </w:r>
    </w:p>
    <w:p w14:paraId="746FA5AB" w14:textId="77777777">
      <w:pPr>
        <w:pStyle w:val="P68B1DB1-Normal14"/>
        <w:widowControl w:val="0"/>
        <w:tabs>
          <w:tab w:val="left" w:pos="451"/>
        </w:tabs>
        <w:autoSpaceDE w:val="0"/>
        <w:autoSpaceDN w:val="0"/>
        <w:spacing w:after="0" w:line="240" w:lineRule="auto"/>
        <w:ind w:left="567"/>
        <w:jc w:val="both"/>
        <w:rPr>
          <w:i/>
          <w:sz w:val="20"/>
          <w:szCs w:val="18"/>
        </w:rPr>
      </w:pPr>
    </w:p>
    <w:p w14:paraId="7A3394EB" w14:textId="0B6B76F9">
      <w:pPr>
        <w:pStyle w:val="P68B1DB1-P68B1DB1-Normal147"/>
        <w:widowControl w:val="0"/>
        <w:tabs>
          <w:tab w:val="left" w:pos="451"/>
        </w:tabs>
        <w:autoSpaceDE w:val="0"/>
        <w:autoSpaceDN w:val="0"/>
        <w:spacing w:after="0" w:line="240" w:lineRule="auto"/>
        <w:ind w:left="567"/>
        <w:jc w:val="both"/>
        <w:rPr>
          <w:i/>
          <w:sz w:val="20"/>
          <w:szCs w:val="18"/>
        </w:rPr>
      </w:pPr>
      <w:r>
        <w:t xml:space="preserve">36. A tale riguardo, si deve osservare che le disposizioni transitorie della legge sui giochi d'azzardo impongono condizioni atte a influire sulla commercializzazione degli apparecchi da gioco automatici con vincita limitata. Il divieto di rilasciare, prorogare o modificare le autorizzazioni per le attività relative ai giochi automatici a bassa vincita al di fuori dei casinò è tale da incidere direttamente sul commercio di apparecchi automatici a bassa vincita."</w:t>
      </w:r>
    </w:p>
    <w:p w14:paraId="27E4E8B1" w14:textId="77777777">
      <w:pPr>
        <w:widowControl w:val="0"/>
        <w:tabs>
          <w:tab w:val="left" w:pos="451"/>
        </w:tabs>
        <w:autoSpaceDE w:val="0"/>
        <w:autoSpaceDN w:val="0"/>
        <w:spacing w:after="0" w:line="240" w:lineRule="auto"/>
        <w:ind w:left="567"/>
        <w:jc w:val="both"/>
        <w:rPr>
          <w:rFonts w:ascii="Times New Roman" w:hAnsi="Times New Roman" w:cs="Times New Roman" w:eastAsia="Times New Roman"/>
          <w:i/>
          <w:sz w:val="18"/>
          <w:szCs w:val="14"/>
        </w:rPr>
      </w:pPr>
    </w:p>
    <w:p w14:paraId="13BFA8BE" w14:textId="303CF5F4">
      <w:pPr>
        <w:pStyle w:val="P68B1DB1-P68B1DB1-Normal147"/>
        <w:widowControl w:val="0"/>
        <w:tabs>
          <w:tab w:val="left" w:pos="451"/>
        </w:tabs>
        <w:autoSpaceDE w:val="0"/>
        <w:autoSpaceDN w:val="0"/>
        <w:spacing w:after="0" w:line="240" w:lineRule="auto"/>
        <w:ind w:left="567"/>
        <w:jc w:val="both"/>
        <w:rPr>
          <w:i/>
          <w:sz w:val="20"/>
          <w:szCs w:val="18"/>
        </w:rPr>
      </w:pPr>
      <w:r>
        <w:t xml:space="preserve">"40. [...] occorre rispondere alle questioni sollevate dichiarando che l'articolo 1, paragrafo 11, della direttiva 98/34 deve essere interpretato nel senso che disposizioni nazionali, come quelle della legge sui giochi d'azzardo, che potrebbero avere l'effetto di limitare, o addirittura di rendere gradualmente impossibile, la gestione di giochi automatici con vincita limitata in qualsiasi luogo diverso dai casinò e dalle sale da gioco possono costituire "regole tecniche", ai sensi di tale disposizione, i cui progetti devono essere oggetto di comunicazione ai sensi dell'articolo 8, paragrafo 1, primo comma, della direttiva, nei limiti in cui è dimostrato che tali disposizioni costituiscono condizioni che possono incidere in modo significativo sulla natura o sulla commercializzazione del prodotto di cui trattasi, circostanza che spetta al giudice del rinvio verificare".</w:t>
      </w:r>
    </w:p>
    <w:p w14:paraId="3AB93DB7" w14:textId="77777777">
      <w:pPr>
        <w:spacing w:after="0" w:line="240" w:lineRule="auto"/>
      </w:pPr>
    </w:p>
    <w:p w14:paraId="6F817443" w14:textId="50BA543B">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4"/>
      </w:pPr>
      <w:hyperlink r:id="rId39" w:history="1">
        <w:r>
          <w:rPr>
            <w:b/>
            <w:i/>
            <w:color w:val="0000FF"/>
            <w:u w:val="single"/>
          </w:rPr>
          <w:t xml:space="preserve">Sentenza della Corte di giustizia del 10 luglio 2014</w:t>
        </w:r>
      </w:hyperlink>
      <w:r>
        <w:rPr>
          <w:b/>
          <w:i/>
        </w:rPr>
        <w:t xml:space="preserve">, Ivansson e altri</w:t>
      </w:r>
      <w:r>
        <w:rPr>
          <w:b/>
          <w:i/>
        </w:rPr>
        <w:t xml:space="preserve">, C-307/13, punti da 26 a 28</w:t>
      </w:r>
      <w:r>
        <w:rPr>
          <w:sz w:val="25"/>
        </w:rPr>
        <w:t>.</w:t>
      </w:r>
      <w:bookmarkEnd w:id="51"/>
    </w:p>
    <w:p w14:paraId="545625E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7F9CB0B" w14:textId="6B35A590">
      <w:pPr>
        <w:pStyle w:val="P68B1DB1-P68B1DB1-Normal135"/>
        <w:widowControl w:val="0"/>
        <w:tabs>
          <w:tab w:val="left" w:pos="396"/>
          <w:tab w:val="left" w:pos="407"/>
        </w:tabs>
        <w:autoSpaceDE w:val="0"/>
        <w:autoSpaceDN w:val="0"/>
        <w:spacing w:after="0" w:line="240" w:lineRule="auto"/>
        <w:jc w:val="both"/>
        <w:rPr>
          <w:b w:val="0"/>
          <w:bCs/>
          <w:i w:val="0"/>
          <w:iCs/>
        </w:rPr>
      </w:pPr>
      <w:r>
        <w:t xml:space="preserve">Una norma che stabilisce un obiettivo generale di comfort del pollame e di qualità delle strutture di allevamento non è un "altro requisito", in quanto è improbabile che la sua natura generale incida sulla composizione, sulla natura o sulla commercializzazione del prodotto finale. </w:t>
      </w:r>
    </w:p>
    <w:p w14:paraId="14EF2596" w14:textId="77777777">
      <w:pPr>
        <w:widowControl w:val="0"/>
        <w:autoSpaceDE w:val="0"/>
        <w:autoSpaceDN w:val="0"/>
        <w:spacing w:after="0" w:line="240" w:lineRule="auto"/>
        <w:ind w:left="567"/>
        <w:jc w:val="both"/>
        <w:rPr>
          <w:rFonts w:ascii="Times New Roman" w:hAnsi="Times New Roman" w:cs="Times New Roman" w:eastAsia="Times New Roman"/>
          <w:bCs/>
          <w:i/>
          <w:sz w:val="20"/>
          <w:szCs w:val="16"/>
        </w:rPr>
      </w:pPr>
    </w:p>
    <w:p w14:paraId="3581B4FF" w14:textId="624DB181">
      <w:pPr>
        <w:pStyle w:val="P68B1DB1-P68B1DB1-Normal147"/>
        <w:spacing w:after="0" w:line="240" w:lineRule="auto"/>
        <w:ind w:left="567"/>
        <w:jc w:val="both"/>
        <w:rPr>
          <w:i/>
          <w:iCs/>
          <w:sz w:val="20"/>
          <w:szCs w:val="18"/>
        </w:rPr>
      </w:pPr>
      <w:r>
        <w:t xml:space="preserve">"26. [...] la Corte ha già dichiarato che, per essere qualificate come "altri requisiti" ai sensi dell'articolo 1, paragrafo 4, della direttiva 98/34, le misure nazionali di cui trattasi devono costituire "condizioni" che possono influire in modo significativo sulla composizione o sulla natura del prodotto di cui trattasi o sulla sua commercializzazione (v. sentenza Fortuna e a., cit., punto 35 e giurisprudenza ivi citata).</w:t>
      </w:r>
    </w:p>
    <w:p w14:paraId="4C097BBE" w14:textId="77777777">
      <w:pPr>
        <w:pStyle w:val="P68B1DB1-Normal14"/>
        <w:spacing w:after="0" w:line="240" w:lineRule="auto"/>
        <w:ind w:left="567"/>
        <w:jc w:val="both"/>
        <w:rPr>
          <w:i/>
          <w:iCs/>
          <w:sz w:val="20"/>
          <w:szCs w:val="18"/>
        </w:rPr>
      </w:pPr>
    </w:p>
    <w:p w14:paraId="22DD1173" w14:textId="5E72285F">
      <w:pPr>
        <w:pStyle w:val="P68B1DB1-P68B1DB1-Normal147"/>
        <w:spacing w:after="0" w:line="240" w:lineRule="auto"/>
        <w:ind w:left="567"/>
        <w:jc w:val="both"/>
        <w:rPr>
          <w:i/>
          <w:iCs/>
          <w:sz w:val="20"/>
          <w:szCs w:val="18"/>
        </w:rPr>
      </w:pPr>
      <w:r>
        <w:t xml:space="preserve">27. La Corte ha altresì dichiarato che, quando le disposizioni di una misura nazionale hanno carattere generale, esse non possono costituire tali condizioni né, di conseguenza, essere qualificate come "altri requisiti", ai sensi dell'articolo 1, paragrafo 4, della direttiva (v., in tal senso, sentenza Intercommunale Intermosane e Fédération de l'Industrie et du gaz, cit., punto 21).</w:t>
      </w:r>
    </w:p>
    <w:p w14:paraId="15F3320F" w14:textId="77777777">
      <w:pPr>
        <w:pStyle w:val="P68B1DB1-Normal14"/>
        <w:spacing w:after="0" w:line="240" w:lineRule="auto"/>
        <w:ind w:left="567"/>
        <w:jc w:val="both"/>
        <w:rPr>
          <w:i/>
          <w:iCs/>
          <w:sz w:val="20"/>
          <w:szCs w:val="18"/>
        </w:rPr>
      </w:pPr>
    </w:p>
    <w:p w14:paraId="2DD435A7" w14:textId="30F8D24A">
      <w:pPr>
        <w:pStyle w:val="P68B1DB1-P68B1DB1-Normal147"/>
        <w:spacing w:after="0" w:line="240" w:lineRule="auto"/>
        <w:ind w:left="567"/>
        <w:jc w:val="both"/>
        <w:rPr>
          <w:bCs/>
          <w:i/>
          <w:iCs/>
          <w:sz w:val="20"/>
          <w:szCs w:val="18"/>
        </w:rPr>
      </w:pPr>
      <w:r>
        <w:t xml:space="preserve">28. La formulazione molto generica dell'articolo 9 del DSF, come ricordato ai punti 22 e 23 della presente sentenza, osta quindi a che tale disposizione sia considerata come condizioni che condizionano la composizione o la natura dei prodotti di cui trattasi o la loro commercializzazione".</w:t>
      </w:r>
    </w:p>
    <w:p w14:paraId="411B1718" w14:textId="77777777">
      <w:pPr>
        <w:spacing w:after="0" w:line="240" w:lineRule="auto"/>
        <w:rPr>
          <w:rFonts w:ascii="Times New Roman" w:hAnsi="Times New Roman" w:cs="Times New Roman" w:eastAsia="Times New Roman"/>
          <w:bCs/>
          <w:i/>
          <w:sz w:val="20"/>
          <w:szCs w:val="16"/>
        </w:rPr>
      </w:pPr>
    </w:p>
    <w:p w14:paraId="4751BBE0" w14:textId="22592B08">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0" w:anchor="ctx1" w:history="1">
        <w:r>
          <w:rPr>
            <w:color w:val="0000FF"/>
            <w:u w:val="single"/>
          </w:rPr>
          <w:t xml:space="preserve">Sentenza della Corte di giustizia dell'11 giugno 2015</w:t>
        </w:r>
      </w:hyperlink>
      <w:r>
        <w:t xml:space="preserve">, Berlington Hungary e altri, C-98/14, punti 98 e 99.</w:t>
      </w:r>
      <w:bookmarkEnd w:id="52"/>
    </w:p>
    <w:p w14:paraId="25A15725"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998E6F5" w14:textId="77777777">
      <w:pPr>
        <w:pStyle w:val="P68B1DB1-P68B1DB1-Normal135"/>
        <w:widowControl w:val="0"/>
        <w:tabs>
          <w:tab w:val="left" w:pos="396"/>
          <w:tab w:val="left" w:pos="449"/>
        </w:tabs>
        <w:autoSpaceDE w:val="0"/>
        <w:autoSpaceDN w:val="0"/>
        <w:spacing w:after="0" w:line="240" w:lineRule="auto"/>
        <w:jc w:val="both"/>
        <w:rPr>
          <w:b w:val="0"/>
          <w:bCs/>
          <w:i w:val="0"/>
          <w:iCs/>
        </w:rPr>
      </w:pPr>
      <w:r>
        <w:t xml:space="preserve">Le disposizioni nazionali che vietano la gestione di slot machine al di fuori dei casinò costituiscono "altri requisiti", in quanto possono influenzare in modo significativo la natura o la commercializzazione di tali macchine.</w:t>
      </w:r>
    </w:p>
    <w:p w14:paraId="39E1078A" w14:textId="77777777">
      <w:pPr>
        <w:widowControl w:val="0"/>
        <w:tabs>
          <w:tab w:val="left" w:pos="396"/>
          <w:tab w:val="left" w:pos="449"/>
        </w:tabs>
        <w:autoSpaceDE w:val="0"/>
        <w:autoSpaceDN w:val="0"/>
        <w:spacing w:after="0" w:line="240" w:lineRule="auto"/>
        <w:jc w:val="both"/>
        <w:rPr>
          <w:rFonts w:ascii="Times New Roman" w:hAnsi="Times New Roman" w:cs="Times New Roman" w:eastAsia="Times New Roman"/>
          <w:i/>
          <w:iCs/>
          <w:sz w:val="20"/>
          <w:szCs w:val="16"/>
        </w:rPr>
      </w:pPr>
    </w:p>
    <w:p w14:paraId="08EB1E5D" w14:textId="2E1379BD">
      <w:pPr>
        <w:pStyle w:val="P68B1DB1-P68B1DB1-Normal147"/>
        <w:widowControl w:val="0"/>
        <w:tabs>
          <w:tab w:val="left" w:pos="396"/>
          <w:tab w:val="left" w:pos="449"/>
        </w:tabs>
        <w:autoSpaceDE w:val="0"/>
        <w:autoSpaceDN w:val="0"/>
        <w:spacing w:after="0" w:line="240" w:lineRule="auto"/>
        <w:ind w:left="567"/>
        <w:jc w:val="both"/>
        <w:rPr>
          <w:i/>
          <w:iCs/>
          <w:sz w:val="20"/>
          <w:szCs w:val="18"/>
        </w:rPr>
      </w:pPr>
      <w:bookmarkStart w:id="53" w:name="point98"/>
      <w:r>
        <w:t>"</w:t>
      </w:r>
      <w:bookmarkEnd w:id="53"/>
      <w:r>
        <w:t xml:space="preserve">98. [...] la Corte ha già dichiarato che una misura nazionale che limita l'organizzazione di taluni giochi d'azzardo ai soli casinò costituisce una "regola tecnica", ai sensi dell'articolo 1, paragrafo 11, della direttiva, in quanto può influenzare in modo significativo la natura o la commercializzazione dei prodotti utilizzati in tale contesto (v., in tal senso, sentenze Commissione/Grecia, C-65/05, ecueil, punto 61, e Fortuna e a., cause riunite C-213/11, C-214/11 e C-217/11, iure, punti 24 e 40).</w:t>
      </w:r>
    </w:p>
    <w:p w14:paraId="3EF89879" w14:textId="77777777">
      <w:pPr>
        <w:pStyle w:val="P68B1DB1-Normal14"/>
        <w:widowControl w:val="0"/>
        <w:tabs>
          <w:tab w:val="left" w:pos="396"/>
          <w:tab w:val="left" w:pos="449"/>
        </w:tabs>
        <w:autoSpaceDE w:val="0"/>
        <w:autoSpaceDN w:val="0"/>
        <w:spacing w:after="0" w:line="240" w:lineRule="auto"/>
        <w:ind w:left="567"/>
        <w:jc w:val="both"/>
        <w:rPr>
          <w:i/>
          <w:iCs/>
          <w:sz w:val="20"/>
          <w:szCs w:val="18"/>
        </w:rPr>
      </w:pPr>
    </w:p>
    <w:p w14:paraId="61FE26C2" w14:textId="47FD8C72">
      <w:pPr>
        <w:pStyle w:val="P68B1DB1-P68B1DB1-Normal147"/>
        <w:widowControl w:val="0"/>
        <w:tabs>
          <w:tab w:val="left" w:pos="396"/>
          <w:tab w:val="left" w:pos="449"/>
        </w:tabs>
        <w:autoSpaceDE w:val="0"/>
        <w:autoSpaceDN w:val="0"/>
        <w:spacing w:after="0" w:line="240" w:lineRule="auto"/>
        <w:ind w:left="567"/>
        <w:jc w:val="both"/>
        <w:rPr>
          <w:i/>
          <w:iCs/>
          <w:sz w:val="20"/>
          <w:szCs w:val="18"/>
        </w:rPr>
      </w:pPr>
      <w:r>
        <w:t xml:space="preserve">99. Tuttavia, un divieto di gestire le slot machine al di fuori dei casinò, come quello introdotto dalla legge di modifica del 2012, può influenzare in modo significativo la natura o la commercializzazione di tali macchine, che costituiscono merci che possono rientrare nell'ambito di applicazione dell'articolo 34 TFUE (v. sentenza Läärä e a., C-124/97, punti 20 e 24), riducendo gli sbocchi in cui possono essere utilizzati."</w:t>
      </w:r>
    </w:p>
    <w:p w14:paraId="6E21C148" w14:textId="77777777">
      <w:pPr>
        <w:pStyle w:val="P68B1DB1-Normal14"/>
        <w:widowControl w:val="0"/>
        <w:tabs>
          <w:tab w:val="left" w:pos="396"/>
          <w:tab w:val="left" w:pos="449"/>
        </w:tabs>
        <w:autoSpaceDE w:val="0"/>
        <w:autoSpaceDN w:val="0"/>
        <w:spacing w:after="0" w:line="240" w:lineRule="auto"/>
        <w:ind w:left="567"/>
        <w:jc w:val="both"/>
      </w:pPr>
    </w:p>
    <w:p w14:paraId="2000DB13" w14:textId="27A949A7">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1" w:history="1">
        <w:r>
          <w:rPr>
            <w:color w:val="0000FF"/>
            <w:u w:val="single"/>
          </w:rPr>
          <w:t xml:space="preserve">Sentenza della Corte di giustizia del 13 ottobre 2016</w:t>
        </w:r>
      </w:hyperlink>
      <w:r>
        <w:t xml:space="preserve">, Naczelnik Urzędu Celnego I w., C-303/15, punti da 25 a 30.</w:t>
      </w:r>
      <w:bookmarkEnd w:id="54"/>
    </w:p>
    <w:p w14:paraId="5BE11B60"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Pr>
    </w:p>
    <w:p w14:paraId="65E429E8"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Style w:val="P68B1DB1-Normal14"/>
      </w:pPr>
      <w:r>
        <w:t xml:space="preserve">Una disposizione che subordina l'esercizio di attività di gioco d'azzardo al possesso di una licenza di esercizio di un casinò non costituisce un "altro requisito". Infatti, se è vero che le disposizioni che limitano l'organizzazione dei giochi d'azzardo ai casinò possono incidere in modo significativo sulla commercializzazione dei prodotti connessi riducendo i loro canali di distribuzione, le norme che disciplinano le condizioni di stabilimento delle imprese non sono tali da incidere in modo significativo sulla natura o sulla commercializzazione dei prodotti utilizzati.</w:t>
      </w:r>
    </w:p>
    <w:p w14:paraId="7D28A908"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 w:val="20"/>
          <w:szCs w:val="18"/>
        </w:rPr>
      </w:pPr>
    </w:p>
    <w:p w14:paraId="1BE98C7F" w14:textId="7F54B5A4">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"25. Infine, al fine di determinare se l'articolo 6, paragrafo 1, della legge sui giochi d'azzardo rientri nell'ambito di applicazione dell'articolo 1, paragrafo 4, della direttiva 98/34 o dell'articolo 1, paragrafo 11, di tale direttiva, occorre verificare se una siffatta disposizione possa influenzare in modo significativo la composizione, la natura o la commercializzazione del prodotto di cui trattasi, nel caso di specie le macchine da gioco, in quanto "condizione" relativa all'utilizzo del prodotto di cui trattasi, o se si tratti di una misura nazionale rientrante nella categoria di divieti di cui all'articolo 1, paragrafo 11, di tale direttiva.</w:t>
      </w:r>
    </w:p>
    <w:p w14:paraId="69BFAFE3"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79CB89CD" w14:textId="3DFDE1A5">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26. A tal riguardo, occorre ricordare che è l'articolo 14, paragrafo 1, della legge sui giochi d'azzardo che limita ai casinò l'organizzazione di giochi di roulette, giochi di carte, giochi di dadi e giochi con apparecchi automatici. Tale disposizione è stata notificata alla Commissione come "regola tecnica", tenuto conto del fatto che la Corte ha già dichiarato, da un lato, che una misura nazionale che riserva l'organizzazione di taluni giochi d'azzardo ai soli casinò costituisce una "regola tecnica", ai sensi dell'articolo 1, paragrafo 11, della direttiva 98/34, in quanto può influenzare in modo significativo la natura o la commercializzazione dei prodotti utilizzati in tale contesto e, dall'altro, che un divieto di gestire taluni prodotti al di fuori dei casinò può influenzare in modo significativo lo smercio di tali prodotti, riducendo gli sbocchi in cui essi possono essere utilizzati (v., in tal senso, sentenza dell'11 giugno 2015, Berlington Hungary e a., C-98/14, punti 98 e 99).</w:t>
      </w:r>
    </w:p>
    <w:p w14:paraId="107284B9"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145A5B71" w14:textId="6CEF0E10">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27. Per contro, l'articolo 6, paragrafo 1, di tale legge, che prevede la necessità di una licenza per la gestione di un casinò per l'esercizio delle attività di giochi di roulette, giochi di carte, giochi di dadi e giochi con apparecchi automatici, non è stato notificato.</w:t>
      </w:r>
    </w:p>
    <w:p w14:paraId="6972B44C"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707BB4ED" w14:textId="2BEC0401">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28.L'argomento della Commissione secondo cui lo stretto collegamento tra le due disposizioni del diritto nazionale di cui trattasi implica l'impossibilità di isolare l'articolo 14, paragrafo 1, della legge sui giochi d'azzardo dall'articolo 6, paragrafo 1, di tale legge, non può essere accolto. Infatti, come ha rilevato l'avvocato generale ai paragrafi da 38 a 44 delle sue conclusioni, l'articolo 6, paragrafo 1, della suddetta legge e l'articolo 14, paragrafo 1, della medesima legge hanno funzioni e ambiti di applicazione diversi. L'elemento descrittivo contenuto nell'articolo 6, paragrafo 1, di tale legge, che serve a designare l'autorizzazione di cui trattasi come licenza "per la gestione di casinò", non muta tale conclusione.</w:t>
      </w:r>
    </w:p>
    <w:p w14:paraId="54D8E8D3"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2068C2E4" w14:textId="0FD51152">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29. Pertanto, si deve constatare che l'articolo 6, paragrafo 1, della legge sui giochi d'azzardo non può essere considerato rientrante nella categoria degli "altri requisiti", ai sensi dell'articolo 1, paragrafo 4, della direttiva 98/34, dal momento che l'autorizzazione richiesta da tale disposizione di diritto nazionale per l'organizzazione di giochi d'azzardo costituisce una condizione imposta per l'attività di organizzazione di tali giochi, distinta dall'articolo 14, paragrafo 1, di tale legge, che impone condizioni per i prodotti interessati vietandone l'uso al di fuori dei casinò.</w:t>
      </w:r>
    </w:p>
    <w:p w14:paraId="6E096F4E"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7AFFF24D" w14:textId="079610FD">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30. Inoltre, secondo una giurisprudenza costante, le disposizioni di diritto nazionale che si limitano a stabilire condizioni per lo stabilimento o la prestazione di servizi da parte di imprese, quali le disposizioni che subordinano l'esercizio di un'attività economica ad un'autorizzazione preventiva, non costituiscono regole tecniche ai sensi dell'articolo 1, paragrafo 11, della direttiva 98/34 (v., in tal senso, sentenza del 4 febbraio 2016, Ince, C-336/14, punto 76 e giurisprudenza ivi citata)".</w:t>
      </w:r>
    </w:p>
    <w:p w14:paraId="47FF74A0" w14:textId="77777777">
      <w:pPr>
        <w:spacing w:after="0" w:line="240" w:lineRule="auto"/>
        <w:rPr>
          <w:sz w:val="20"/>
          <w:szCs w:val="20"/>
        </w:rPr>
      </w:pPr>
    </w:p>
    <w:p w14:paraId="2E29F352" w14:textId="7C1F042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2" w:history="1">
        <w:r>
          <w:rPr>
            <w:color w:val="0000FF"/>
            <w:u w:val="single"/>
          </w:rPr>
          <w:t xml:space="preserve">Sentenza della Corte di giustizia del 27 ottobre 2016</w:t>
        </w:r>
      </w:hyperlink>
      <w:r>
        <w:t xml:space="preserve">, James Elliott Construction, C-613/14, punti da 67 a 69.</w:t>
      </w:r>
      <w:bookmarkEnd w:id="55"/>
    </w:p>
    <w:p w14:paraId="1A68586C"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ED19EDB" w14:textId="566C76FE">
      <w:pPr>
        <w:widowControl w:val="0"/>
        <w:tabs>
          <w:tab w:val="left" w:pos="430"/>
        </w:tabs>
        <w:autoSpaceDE w:val="0"/>
        <w:autoSpaceDN w:val="0"/>
        <w:spacing w:after="0" w:line="240" w:lineRule="auto"/>
        <w:jc w:val="both"/>
        <w:rPr>
          <w:rFonts w:ascii="Times New Roman" w:hAnsi="Times New Roman" w:cs="Times New Roman" w:eastAsia="Times New Roman"/>
          <w:bCs/>
          <w:iCs/>
          <w:szCs w:val="20"/>
        </w:rPr>
        <w:pStyle w:val="P68B1DB1-Normal14"/>
      </w:pPr>
      <w:r>
        <w:t xml:space="preserve">Le disposizioni nazionali che stabiliscono condizioni contrattuali implicite relative alla qualità mercantile, all'idoneità all'uso o alla qualità dei prodotti venduti non costituiscono "altri requisiti", in quanto la loro natura generale rende improbabile che esse influenzino in modo significativo la composizione, la natura o la commercializzazione dei prodotti di cui trattasi.</w:t>
      </w:r>
    </w:p>
    <w:p w14:paraId="030038CF" w14:textId="77777777">
      <w:pPr>
        <w:widowControl w:val="0"/>
        <w:tabs>
          <w:tab w:val="left" w:pos="430"/>
        </w:tabs>
        <w:autoSpaceDE w:val="0"/>
        <w:autoSpaceDN w:val="0"/>
        <w:spacing w:after="0" w:line="240" w:lineRule="auto"/>
        <w:jc w:val="both"/>
        <w:rPr>
          <w:rFonts w:ascii="Times New Roman" w:hAnsi="Times New Roman" w:cs="Times New Roman" w:eastAsia="Times New Roman"/>
          <w:sz w:val="20"/>
          <w:szCs w:val="18"/>
        </w:rPr>
      </w:pPr>
    </w:p>
    <w:p w14:paraId="3AC7F779" w14:textId="3E2215BE">
      <w:pPr>
        <w:pStyle w:val="P68B1DB1-P68B1DB1-Normal147"/>
        <w:widowControl w:val="0"/>
        <w:tabs>
          <w:tab w:val="left" w:pos="430"/>
        </w:tabs>
        <w:autoSpaceDE w:val="0"/>
        <w:autoSpaceDN w:val="0"/>
        <w:spacing w:after="0" w:line="240" w:lineRule="auto"/>
        <w:ind w:left="567"/>
        <w:jc w:val="both"/>
        <w:rPr>
          <w:i/>
          <w:iCs/>
          <w:sz w:val="20"/>
          <w:szCs w:val="18"/>
        </w:rPr>
      </w:pPr>
      <w:r>
        <w:t xml:space="preserve">"67. Nel caso di specie, risulta, da un lato, che disposizioni come quelle di cui trattasi nel procedimento principale, né di per sé, né come interpretate dai giudici irlandesi, non rientrano nella nozione di "specificazione tecnica", ai sensi dell'articolo 1, paragrafo 3, della direttiva 98/34. Tale nozione comprende solo le misure nazionali che si riferiscono a un prodotto o al suo imballaggio in quanto tale e che stabiliscono quindi una delle caratteristiche richieste di un prodotto (sentenza del 10 luglio 2014, Ivansson e a., C-307/13, punto 19 e giurisprudenza ivi citata). Orbene, tale non è manifestamente il caso di un requisito che si applichi, salva una contraria volontà delle parti, in modo generale alla vendita di qualsiasi prodotto.</w:t>
      </w:r>
    </w:p>
    <w:p w14:paraId="246DB47A" w14:textId="77777777">
      <w:pPr>
        <w:pStyle w:val="P68B1DB1-Normal14"/>
        <w:widowControl w:val="0"/>
        <w:tabs>
          <w:tab w:val="left" w:pos="430"/>
        </w:tabs>
        <w:autoSpaceDE w:val="0"/>
        <w:autoSpaceDN w:val="0"/>
        <w:spacing w:after="0" w:line="240" w:lineRule="auto"/>
        <w:ind w:left="567"/>
        <w:jc w:val="both"/>
        <w:rPr>
          <w:i/>
          <w:iCs/>
          <w:sz w:val="20"/>
          <w:szCs w:val="18"/>
        </w:rPr>
      </w:pPr>
    </w:p>
    <w:p w14:paraId="1FB165CB" w14:textId="02F7A50F">
      <w:pPr>
        <w:pStyle w:val="P68B1DB1-P68B1DB1-Normal147"/>
        <w:widowControl w:val="0"/>
        <w:tabs>
          <w:tab w:val="left" w:pos="430"/>
        </w:tabs>
        <w:autoSpaceDE w:val="0"/>
        <w:autoSpaceDN w:val="0"/>
        <w:spacing w:after="0" w:line="240" w:lineRule="auto"/>
        <w:ind w:left="567"/>
        <w:jc w:val="both"/>
        <w:rPr>
          <w:i/>
          <w:iCs/>
          <w:sz w:val="20"/>
          <w:szCs w:val="18"/>
        </w:rPr>
      </w:pPr>
      <w:r>
        <w:t xml:space="preserve">68. In secondo luogo, e per la stessa ragione, tali disposizioni non possono essere qualificate come "altri requisiti" ai sensi dell'articolo 1, paragrafo 4, della direttiva 98/34.</w:t>
      </w:r>
    </w:p>
    <w:p w14:paraId="739ADC6F" w14:textId="77777777">
      <w:pPr>
        <w:pStyle w:val="P68B1DB1-Normal14"/>
        <w:widowControl w:val="0"/>
        <w:tabs>
          <w:tab w:val="left" w:pos="430"/>
        </w:tabs>
        <w:autoSpaceDE w:val="0"/>
        <w:autoSpaceDN w:val="0"/>
        <w:spacing w:after="0" w:line="240" w:lineRule="auto"/>
        <w:ind w:left="567"/>
        <w:jc w:val="both"/>
        <w:rPr>
          <w:i/>
          <w:iCs/>
          <w:sz w:val="20"/>
          <w:szCs w:val="18"/>
        </w:rPr>
      </w:pPr>
    </w:p>
    <w:p w14:paraId="1707774D" w14:textId="76CDFE30">
      <w:pPr>
        <w:pStyle w:val="P68B1DB1-P68B1DB1-Normal147"/>
        <w:widowControl w:val="0"/>
        <w:tabs>
          <w:tab w:val="left" w:pos="430"/>
        </w:tabs>
        <w:autoSpaceDE w:val="0"/>
        <w:autoSpaceDN w:val="0"/>
        <w:spacing w:after="0" w:line="240" w:lineRule="auto"/>
        <w:ind w:left="567"/>
        <w:jc w:val="both"/>
        <w:rPr>
          <w:i/>
          <w:iCs/>
          <w:sz w:val="20"/>
          <w:szCs w:val="18"/>
        </w:rPr>
      </w:pPr>
      <w:r>
        <w:t xml:space="preserve">69. A tal riguardo, la Corte ha precisato che, per essere qualificate come "altre esigenze" ai sensi di tale disposizione, le misure nazionali di cui trattasi devono costituire condizioni che possono influire in modo significativo sulla composizione o sulla natura del prodotto di cui trattasi o sulla sua commercializzazione, in quanto esigenze di carattere generale non possono costituire condizioni del genere né, di conseguenza, essere qualificate come "altri requisiti" (v. sentenza del 10 luglio 2014, Ivansson e a., C-307/13, punti 26 e 27 e giurisprudenza ivi citata)".</w:t>
      </w:r>
    </w:p>
    <w:p w14:paraId="14788AE2" w14:textId="77777777">
      <w:pPr>
        <w:pStyle w:val="P68B1DB1-Normal14"/>
        <w:widowControl w:val="0"/>
        <w:tabs>
          <w:tab w:val="left" w:pos="430"/>
        </w:tabs>
        <w:autoSpaceDE w:val="0"/>
        <w:autoSpaceDN w:val="0"/>
        <w:spacing w:after="0" w:line="240" w:lineRule="auto"/>
        <w:ind w:left="567"/>
        <w:jc w:val="both"/>
      </w:pPr>
    </w:p>
    <w:p w14:paraId="6F74C5A2" w14:textId="059511E4">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3" w:history="1">
        <w:r>
          <w:rPr>
            <w:color w:val="0000FF"/>
            <w:u w:val="single"/>
          </w:rPr>
          <w:t xml:space="preserve">Sentenza della Corte di giustizia del 1º febbraio 2017</w:t>
        </w:r>
      </w:hyperlink>
      <w:r>
        <w:t xml:space="preserve">, Município de Palmela, C-144/16, punti 23 e 33.</w:t>
      </w:r>
      <w:bookmarkEnd w:id="56"/>
    </w:p>
    <w:p w14:paraId="6DCEC74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0BF7FCE" w14:textId="77777777">
      <w:pPr>
        <w:pStyle w:val="P68B1DB1-P68B1DB1-Normal135"/>
        <w:widowControl w:val="0"/>
        <w:tabs>
          <w:tab w:val="left" w:pos="396"/>
          <w:tab w:val="left" w:pos="435"/>
        </w:tabs>
        <w:autoSpaceDE w:val="0"/>
        <w:autoSpaceDN w:val="0"/>
        <w:spacing w:after="0" w:line="240" w:lineRule="auto"/>
        <w:jc w:val="both"/>
        <w:rPr>
          <w:b w:val="0"/>
          <w:bCs/>
          <w:i w:val="0"/>
          <w:iCs/>
        </w:rPr>
      </w:pPr>
      <w:r>
        <w:t xml:space="preserve">Una disposizione che stabilisce i requisiti di imballaggio imposti a un prodotto per motivi di tutela dei consumatori è un "altro requisito" in quanto riguarda il ciclo di vita dei prodotti dopo la loro immissione sul mercato e ne influenza in modo significativo la composizione e la commercializzazione.</w:t>
      </w:r>
    </w:p>
    <w:p w14:paraId="3D96BE4E" w14:textId="77777777">
      <w:pPr>
        <w:widowControl w:val="0"/>
        <w:tabs>
          <w:tab w:val="left" w:pos="396"/>
          <w:tab w:val="left" w:pos="435"/>
        </w:tabs>
        <w:autoSpaceDE w:val="0"/>
        <w:autoSpaceDN w:val="0"/>
        <w:spacing w:after="0" w:line="240" w:lineRule="auto"/>
        <w:ind w:hanging="142"/>
        <w:jc w:val="both"/>
        <w:rPr>
          <w:rFonts w:ascii="Times New Roman" w:hAnsi="Times New Roman" w:cs="Times New Roman" w:eastAsia="Times New Roman"/>
          <w:bCs/>
          <w:iCs/>
          <w:szCs w:val="20"/>
        </w:rPr>
      </w:pPr>
    </w:p>
    <w:p w14:paraId="5B0F8037" w14:textId="25CE703A">
      <w:pPr>
        <w:pStyle w:val="P68B1DB1-P68B1DB1-Normal135"/>
        <w:widowControl w:val="0"/>
        <w:tabs>
          <w:tab w:val="left" w:pos="396"/>
          <w:tab w:val="left" w:pos="399"/>
        </w:tabs>
        <w:autoSpaceDE w:val="0"/>
        <w:autoSpaceDN w:val="0"/>
        <w:spacing w:after="0" w:line="240" w:lineRule="auto"/>
        <w:jc w:val="both"/>
        <w:rPr>
          <w:b w:val="0"/>
          <w:bCs/>
          <w:i w:val="0"/>
          <w:iCs/>
        </w:rPr>
      </w:pPr>
      <w:r>
        <w:t xml:space="preserve">Per contro, un regolamento che imponga che le informazioni sulla capacità massima di un'area ricreativa siano esposte in diversi punti di tale zona non costituisce un "altro requisito" a causa del suo carattere generale.</w:t>
      </w:r>
    </w:p>
    <w:p w14:paraId="7CB69B90" w14:textId="77777777">
      <w:pPr>
        <w:widowControl w:val="0"/>
        <w:tabs>
          <w:tab w:val="left" w:pos="396"/>
          <w:tab w:val="left" w:pos="399"/>
        </w:tabs>
        <w:autoSpaceDE w:val="0"/>
        <w:autoSpaceDN w:val="0"/>
        <w:spacing w:after="0" w:line="240" w:lineRule="auto"/>
        <w:ind w:hanging="142"/>
        <w:jc w:val="both"/>
        <w:rPr>
          <w:rFonts w:ascii="Times New Roman" w:hAnsi="Times New Roman" w:cs="Times New Roman" w:eastAsia="Times New Roman"/>
          <w:szCs w:val="20"/>
        </w:rPr>
      </w:pPr>
    </w:p>
    <w:p w14:paraId="047ADE80" w14:textId="3A89FEEF">
      <w:pPr>
        <w:pStyle w:val="P68B1DB1-P68B1DB1-Normal1421"/>
        <w:widowControl w:val="0"/>
        <w:tabs>
          <w:tab w:val="left" w:pos="396"/>
          <w:tab w:val="left" w:pos="399"/>
        </w:tabs>
        <w:autoSpaceDE w:val="0"/>
        <w:autoSpaceDN w:val="0"/>
        <w:spacing w:after="0" w:line="240" w:lineRule="auto"/>
        <w:ind w:left="567" w:hanging="142"/>
        <w:jc w:val="both"/>
        <w:rPr>
          <w:i/>
          <w:iCs/>
        </w:rPr>
      </w:pPr>
      <w:r>
        <w:tab/>
        <w:t>"</w:t>
      </w:r>
      <w:bookmarkStart w:id="57" w:name="point23"/>
      <w:r>
        <w:t>23</w:t>
      </w:r>
      <w:bookmarkEnd w:id="57"/>
      <w:r>
        <w:t xml:space="preserve">. Per quanto riguarda l'articolo 16, paragrafo 1, e (2), del regolamento PRA, come modificato dal decreto legge n. 119/2009, occorre rilevare, come rilevato dal giudice del rinvio, che esso costituisce una regola tecnica ai sensi delle direttive 83/189 e 98/34, in quanto tale disposizione prevede requisiti imposti a un prodotto, al fine di tutelare i consumatori, che incidono sul suo ciclo di vita dopo la sua immissione sul mercato e influenzano in modo significativo la composizione e la commercializzazione di un siffatto prodotto. Pertanto, tale disposizione rientra nella categoria degli "altri requisiti", ai sensi sia dell'articolo 1, paragrafo 3, della direttiva 83/189 sia dell'articolo 1, paragrafo 4, della direttiva 98/34".</w:t>
      </w:r>
    </w:p>
    <w:p w14:paraId="78B67949"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0B57ECD8" w14:textId="7EBBFF11">
      <w:pPr>
        <w:pStyle w:val="P68B1DB1-P68B1DB1-Normal1421"/>
        <w:widowControl w:val="0"/>
        <w:autoSpaceDE w:val="0"/>
        <w:autoSpaceDN w:val="0"/>
        <w:spacing w:after="0" w:line="240" w:lineRule="auto"/>
        <w:ind w:left="567"/>
        <w:jc w:val="both"/>
        <w:rPr>
          <w:i/>
          <w:iCs/>
        </w:rPr>
      </w:pPr>
      <w:r>
        <w:t>"</w:t>
      </w:r>
      <w:bookmarkStart w:id="58" w:name="point33"/>
      <w:r>
        <w:t>33</w:t>
      </w:r>
      <w:bookmarkEnd w:id="58"/>
      <w:r>
        <w:t xml:space="preserve">. [...] una disposizione come quella di cui trattasi nel procedimento principale non costituisce un "altro requisito" ai sensi dell'articolo 1, paragrafo 4, della direttiva 98/34, tenuto conto del carattere generale dei requisiti da essa enunciati (v., in tal senso, sentenza del 9 giugno 2011, Intercommunale Intermosane e Fédération de l'industrie et du gaz,</w:t>
        <w:noBreakHyphen/>
        <w:t xml:space="preserve">C 361/10, ecueil, punto 21). Per contro, essa non contiene alcun divieto che possa collocarla nella categoria dei divieti di cui all'articolo 1, paragrafo 11, di tale direttiva."</w:t>
      </w:r>
    </w:p>
    <w:p w14:paraId="4725CFBE" w14:textId="77777777">
      <w:pPr>
        <w:spacing w:after="0" w:line="240" w:lineRule="auto"/>
      </w:pPr>
    </w:p>
    <w:bookmarkStart w:id="59" w:name="_Hlk193299811"/>
    <w:p w14:paraId="109F8B7C" w14:textId="6B0FA9E0">
      <w:pPr>
        <w:pStyle w:val="P68B1DB1-P68B1DB1-Normal1622"/>
        <w:widowControl w:val="0"/>
        <w:autoSpaceDE w:val="0"/>
        <w:autoSpaceDN w:val="0"/>
        <w:spacing w:after="0" w:line="240" w:lineRule="auto"/>
        <w:jc w:val="both"/>
        <w:outlineLvl w:val="1"/>
        <w:rPr>
          <w:b/>
          <w:bCs/>
          <w:i/>
          <w:iCs/>
          <w:sz w:val="22"/>
          <w:szCs w:val="22"/>
        </w:rPr>
      </w:pPr>
      <w:r>
        <w:fldChar w:fldCharType="begin"/>
      </w:r>
      <w:r>
        <w:rPr>
          <w:b/>
          <w:bCs/>
          <w:i/>
          <w:iCs/>
          <w:sz w:val="22"/>
          <w:szCs w:val="22"/>
        </w:rPr>
        <w:instrText>HYPERLINK "https://curia.europa.eu/juris/document/document.jsf?text=&amp;docid=206117&amp;pageIndex=0&amp;doclang=EN&amp;mode=lst&amp;dir=&amp;occ=first&amp;part=1&amp;cid=9777324"</w:instrText>
      </w:r>
      <w:r>
        <w:rPr>
          <w:b/>
          <w:bCs/>
          <w:i/>
          <w:iCs/>
          <w:sz w:val="22"/>
          <w:szCs w:val="22"/>
        </w:rPr>
      </w:r>
      <w:r>
        <w:rPr>
          <w:b/>
          <w:bCs/>
          <w:i/>
          <w:iCs/>
          <w:sz w:val="22"/>
          <w:szCs w:val="22"/>
        </w:rPr>
        <w:fldChar w:fldCharType="separate"/>
      </w:r>
      <w:bookmarkStart w:id="60" w:name="_Toc198043820"/>
      <w:r>
        <w:rPr>
          <w:b/>
          <w:bCs/>
          <w:i/>
          <w:iCs/>
          <w:color w:val="0000FF"/>
          <w:sz w:val="22"/>
          <w:szCs w:val="22"/>
          <w:u w:val="single"/>
        </w:rPr>
        <w:t xml:space="preserve">Sentenza della Corte di giustizia del 26 settembre 2018</w:t>
      </w:r>
      <w:r>
        <w:rPr>
          <w:b/>
          <w:bCs/>
          <w:i/>
          <w:iCs/>
          <w:color w:val="0000FF"/>
          <w:sz w:val="22"/>
          <w:szCs w:val="22"/>
          <w:u w:val="single"/>
        </w:rPr>
        <w:fldChar w:fldCharType="end"/>
        <w:t xml:space="preserve">, Van Gennip e a., C-137/17, punti 39 e 40.</w:t>
      </w:r>
      <w:bookmarkEnd w:id="60"/>
    </w:p>
    <w:p w14:paraId="53B6D74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86CD632" w14:textId="77777777">
      <w:pPr>
        <w:pStyle w:val="P68B1DB1-P68B1DB1-Normal135"/>
        <w:widowControl w:val="0"/>
        <w:tabs>
          <w:tab w:val="left" w:pos="404"/>
        </w:tabs>
        <w:autoSpaceDE w:val="0"/>
        <w:autoSpaceDN w:val="0"/>
        <w:spacing w:after="0" w:line="240" w:lineRule="auto"/>
        <w:jc w:val="both"/>
        <w:rPr>
          <w:b w:val="0"/>
          <w:bCs/>
          <w:i w:val="0"/>
          <w:iCs/>
        </w:rPr>
      </w:pPr>
      <w:r>
        <w:t xml:space="preserve">Le disposizioni nazionali che subordinano l'immissione in commercio dei prodotti alla condizione che l'acquirente sia in possesso di un'autorizzazione non rientrano nella nozione di "altri requisiti", in quanto si tratta di una condizione imposta non ai prodotti, bensì agli acquirenti.</w:t>
      </w:r>
    </w:p>
    <w:bookmarkEnd w:id="59"/>
    <w:p w14:paraId="7262001F" w14:textId="77777777">
      <w:pPr>
        <w:widowControl w:val="0"/>
        <w:tabs>
          <w:tab w:val="left" w:pos="404"/>
        </w:tabs>
        <w:autoSpaceDE w:val="0"/>
        <w:autoSpaceDN w:val="0"/>
        <w:spacing w:after="0" w:line="240" w:lineRule="auto"/>
        <w:jc w:val="both"/>
        <w:rPr>
          <w:rFonts w:ascii="Times New Roman" w:hAnsi="Times New Roman" w:cs="Times New Roman" w:eastAsia="Times New Roman"/>
          <w:i/>
          <w:iCs/>
          <w:sz w:val="20"/>
          <w:szCs w:val="16"/>
        </w:rPr>
      </w:pPr>
    </w:p>
    <w:p w14:paraId="34AB9BCD" w14:textId="723202BE">
      <w:pPr>
        <w:pStyle w:val="P68B1DB1-P68B1DB1-Normal147"/>
        <w:widowControl w:val="0"/>
        <w:tabs>
          <w:tab w:val="left" w:pos="404"/>
        </w:tabs>
        <w:autoSpaceDE w:val="0"/>
        <w:autoSpaceDN w:val="0"/>
        <w:spacing w:after="0" w:line="240" w:lineRule="auto"/>
        <w:ind w:left="567"/>
        <w:jc w:val="both"/>
        <w:rPr>
          <w:i/>
          <w:iCs/>
          <w:sz w:val="20"/>
          <w:szCs w:val="18"/>
        </w:rPr>
      </w:pPr>
      <w:r>
        <w:t xml:space="preserve">"39. [...] per quanto riguarda la categoria degli "altri requisiti", occorre ricordare che, per essere qualificata come "altri requisiti", ai sensi dell'articolo 1, punto 4, della direttiva 98/34, una misura nazionale deve costituire una "condizione" che può influenzare in modo significativo la composizione, la natura o la commercializzazione del prodotto di cui trattasi (sentenza del 13 ottobre 2016, M. e S., C-303/15, Racc. pag. I-20, punto e giurisprudenza ivi citata).</w:t>
      </w:r>
    </w:p>
    <w:p w14:paraId="3684C8BC" w14:textId="77777777">
      <w:pPr>
        <w:pStyle w:val="P68B1DB1-Normal14"/>
        <w:widowControl w:val="0"/>
        <w:tabs>
          <w:tab w:val="left" w:pos="404"/>
        </w:tabs>
        <w:autoSpaceDE w:val="0"/>
        <w:autoSpaceDN w:val="0"/>
        <w:spacing w:after="0" w:line="240" w:lineRule="auto"/>
        <w:ind w:left="567"/>
        <w:jc w:val="both"/>
        <w:rPr>
          <w:i/>
          <w:iCs/>
          <w:sz w:val="20"/>
          <w:szCs w:val="18"/>
        </w:rPr>
      </w:pPr>
    </w:p>
    <w:p w14:paraId="1F15B628" w14:textId="0E023F78">
      <w:pPr>
        <w:pStyle w:val="P68B1DB1-P68B1DB1-Normal147"/>
        <w:widowControl w:val="0"/>
        <w:tabs>
          <w:tab w:val="left" w:pos="404"/>
        </w:tabs>
        <w:autoSpaceDE w:val="0"/>
        <w:autoSpaceDN w:val="0"/>
        <w:spacing w:after="0" w:line="240" w:lineRule="auto"/>
        <w:ind w:left="567"/>
        <w:jc w:val="both"/>
        <w:rPr>
          <w:i/>
          <w:iCs/>
          <w:sz w:val="20"/>
          <w:szCs w:val="18"/>
        </w:rPr>
      </w:pPr>
      <w:r>
        <w:t xml:space="preserve">40. A tale riguardo, occorre rilevare, al pari dell'avvocato generale al paragrafo 76 delle sue conclusioni, che la normativa belga subordina la vendita di articoli pirotecnici il cui contenuto in miscela pirotecnica è superiore a 1 kg all'ottenimento di un'autorizzazione da parte dell'acquirente. Pertanto, l'autorizzazione richiesta non costituisce un requisito per il prodotto di cui trattasi, bensì per i potenziali acquirenti e, indirettamente, per gli operatori economici che vendono articoli pirotecnici (v., in tal senso, sentenze del 21 aprile 2005, Lindberg, C-267/03, ecupero, punto 87, e del 13 ottobre 2016, M. e S., C-303/15, dure, punto 29)."</w:t>
      </w:r>
    </w:p>
    <w:p w14:paraId="1EF9D88D" w14:textId="77777777">
      <w:pPr>
        <w:spacing w:after="0" w:line="240" w:lineRule="auto"/>
      </w:pPr>
    </w:p>
    <w:p w14:paraId="71F55FA7" w14:textId="4326F279">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4" w:anchor="ctx1" w:history="1">
        <w:r>
          <w:rPr>
            <w:color w:val="0000FF"/>
            <w:u w:val="single"/>
          </w:rPr>
          <w:t xml:space="preserve">Sentenza della Corte di giustizia del 28 maggio 2020</w:t>
        </w:r>
      </w:hyperlink>
      <w:r>
        <w:t xml:space="preserve">, ECO-WIND Construction, C-727/17, punti 40 e 41.</w:t>
      </w:r>
      <w:bookmarkEnd w:id="61"/>
    </w:p>
    <w:p w14:paraId="6D637FFA" w14:textId="77777777">
      <w:pPr>
        <w:widowControl w:val="0"/>
        <w:autoSpaceDE w:val="0"/>
        <w:autoSpaceDN w:val="0"/>
        <w:spacing w:after="0" w:line="240" w:lineRule="auto"/>
        <w:jc w:val="both"/>
        <w:rPr>
          <w:rFonts w:ascii="Times New Roman" w:hAnsi="Times New Roman" w:cs="Times New Roman" w:eastAsia="Times New Roman"/>
          <w:szCs w:val="20"/>
        </w:rPr>
      </w:pPr>
    </w:p>
    <w:p w14:paraId="1D3192D5" w14:textId="77777777">
      <w:pPr>
        <w:pStyle w:val="P68B1DB1-P68B1DB1-Normal135"/>
        <w:widowControl w:val="0"/>
        <w:autoSpaceDE w:val="0"/>
        <w:autoSpaceDN w:val="0"/>
        <w:spacing w:after="0" w:line="240" w:lineRule="auto"/>
        <w:jc w:val="both"/>
        <w:rPr>
          <w:b w:val="0"/>
          <w:bCs/>
          <w:i w:val="0"/>
          <w:iCs/>
        </w:rPr>
      </w:pPr>
      <w:r>
        <w:t xml:space="preserve">Un regolamento che impone una distanza minima per l'installazione di turbine eoliche non rientra nella categoria degli "altri requisiti", in quanto il suo impatto sulla commercializzazione dei prodotti interessati non è sufficientemente diretto.</w:t>
      </w:r>
    </w:p>
    <w:p w14:paraId="11DAB658" w14:textId="77777777">
      <w:pPr>
        <w:widowControl w:val="0"/>
        <w:autoSpaceDE w:val="0"/>
        <w:autoSpaceDN w:val="0"/>
        <w:spacing w:after="0" w:line="240" w:lineRule="auto"/>
        <w:jc w:val="both"/>
        <w:rPr>
          <w:rFonts w:ascii="Times New Roman" w:hAnsi="Times New Roman" w:cs="Times New Roman" w:eastAsia="Times New Roman"/>
          <w:szCs w:val="20"/>
        </w:rPr>
      </w:pPr>
    </w:p>
    <w:p w14:paraId="0E9213F5" w14:textId="153822EB">
      <w:pPr>
        <w:pStyle w:val="P68B1DB1-BodyText19"/>
        <w:ind w:left="567"/>
        <w:rPr>
          <w:iCs/>
        </w:rPr>
      </w:pPr>
      <w:r>
        <w:t xml:space="preserve">"40. [...] da una giurisprudenza costante risulta che tale categoria comprende una normativa che prevede una condizione idonea ad incidere in modo significativo sulla composizione, sulla natura o sulla commercializzazione di un prodotto (sentenze del 21 aprile 2005, Lindberg, C-267/03, dans, punti da 69 a 72, e del 19 luglio 2012, Fortuna e a., C-213/11, C-214/11 e C-217/11, punto 35), "altri requisiti" relativi a quelli derivanti dalla considerazione del ciclo di vita del prodotto di cui trattasi dopo la sua immissione sul mercato e relativi, in particolare, al suo uso.</w:t>
      </w:r>
    </w:p>
    <w:p w14:paraId="15144425" w14:textId="77777777">
      <w:pPr>
        <w:pStyle w:val="P68B1DB1-BodyText19"/>
        <w:ind w:left="567"/>
        <w:rPr>
          <w:iCs/>
        </w:rPr>
      </w:pPr>
    </w:p>
    <w:p w14:paraId="45870460" w14:textId="6B88BEBE">
      <w:pPr>
        <w:pStyle w:val="P68B1DB1-BodyText19"/>
        <w:ind w:left="567"/>
        <w:rPr>
          <w:iCs/>
        </w:rPr>
      </w:pPr>
      <w:r>
        <w:t xml:space="preserve">41. Orbene, nel caso di specie, al pari della valutazione di cui al punto 37 della presente sentenza, occorre rilevare che il requisito secondo cui l'installazione di una centrale eolica è soggetta al rispetto di una distanza minima tra questa e gli edifici con destinazione d'uso residenziale non presenta un nesso diretto con la composizione, la natura o la commercializzazione di un prodotto quale un aerogeneratore. A tale riguardo, anche supponendo che tale requisito comporti una restrizione dei siti idonei all'installazione di turbine eoliche e che, pertanto, abbia un effetto sulla commercializzazione dei generatori eolici, tale effetto non sarebbe sufficientemente diretto affinché tale requisito rientri nella categoria degli "altri requisiti" di cui all'articolo 1, paragrafo 1, lettera f), della direttiva 2015/1535."</w:t>
      </w:r>
    </w:p>
    <w:p w14:paraId="67BFB4E8" w14:textId="77777777">
      <w:pPr>
        <w:spacing w:after="0" w:line="240" w:lineRule="auto"/>
      </w:pPr>
    </w:p>
    <w:p w14:paraId="408C26E9" w14:textId="6A65B075">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45" w:history="1">
        <w:r>
          <w:rPr>
            <w:rStyle w:val="Hyperlink"/>
            <w:rFonts w:ascii="Times New Roman" w:hAnsi="Times New Roman" w:cs="Times New Roman" w:eastAsia="Times New Roman"/>
            <w:b/>
            <w:i/>
            <w:color w:val="0000FF"/>
            <w:szCs w:val="20"/>
          </w:rPr>
          <w:t xml:space="preserve">Sentenza del 4 novembre 2022</w:t>
        </w:r>
      </w:hyperlink>
      <w:r>
        <w:rPr>
          <w:rFonts w:ascii="Times New Roman" w:hAnsi="Times New Roman" w:cs="Times New Roman" w:eastAsia="Times New Roman"/>
          <w:b/>
          <w:i/>
          <w:szCs w:val="20"/>
        </w:rPr>
        <w:t xml:space="preserve">, Phytofar, C 658/21</w:t>
        <w:noBreakHyphen/>
        <w:t xml:space="preserve">, ibidem, punti da 36 a 42.</w:t>
      </w:r>
      <w:bookmarkEnd w:id="62"/>
    </w:p>
    <w:p w14:paraId="5BBD916F" w14:textId="77777777">
      <w:pPr>
        <w:widowControl w:val="0"/>
        <w:autoSpaceDE w:val="0"/>
        <w:autoSpaceDN w:val="0"/>
        <w:spacing w:after="0" w:line="240" w:lineRule="auto"/>
        <w:jc w:val="both"/>
        <w:rPr>
          <w:rFonts w:ascii="Times New Roman" w:hAnsi="Times New Roman" w:cs="Times New Roman" w:eastAsia="Times New Roman"/>
          <w:szCs w:val="20"/>
        </w:rPr>
      </w:pPr>
    </w:p>
    <w:p w14:paraId="12813288" w14:textId="64B11198">
      <w:pPr>
        <w:pStyle w:val="P68B1DB1-P68B1DB1-Normal135"/>
        <w:widowControl w:val="0"/>
        <w:autoSpaceDE w:val="0"/>
        <w:autoSpaceDN w:val="0"/>
        <w:spacing w:after="0" w:line="240" w:lineRule="auto"/>
        <w:jc w:val="both"/>
        <w:outlineLvl w:val="1"/>
        <w:rPr>
          <w:b w:val="0"/>
          <w:bCs/>
          <w:i w:val="0"/>
          <w:iCs/>
          <w:sz w:val="20"/>
        </w:rPr>
      </w:pPr>
      <w:bookmarkStart w:id="63" w:name="_Toc198043823"/>
      <w:r>
        <w:t xml:space="preserve">Una normativa che vieti alle persone che non sono in possesso di un'autorizzazione per professionisti di utilizzare pesticidi contenenti glifosato potrebbe costituire un "altro requisito", in quanto potrebbe influenzare in modo significativo la commercializzazione del glifosato. L'importanza di tale influenza è valutata alla luce del volume degli acquisti dei prodotti di cui trattasi e dell'evoluzione delle abitudini di vendita.</w:t>
      </w:r>
      <w:bookmarkEnd w:id="63"/>
    </w:p>
    <w:p w14:paraId="017C51C5" w14:textId="77777777">
      <w:pPr>
        <w:widowControl w:val="0"/>
        <w:autoSpaceDE w:val="0"/>
        <w:autoSpaceDN w:val="0"/>
        <w:spacing w:after="0" w:line="240" w:lineRule="auto"/>
        <w:ind w:left="567"/>
        <w:jc w:val="both"/>
        <w:outlineLvl w:val="1"/>
        <w:rPr>
          <w:rFonts w:ascii="Times New Roman" w:hAnsi="Times New Roman" w:cs="Times New Roman"/>
          <w:i/>
          <w:iCs/>
          <w:sz w:val="20"/>
          <w:szCs w:val="20"/>
        </w:rPr>
      </w:pPr>
    </w:p>
    <w:p w14:paraId="19599530" w14:textId="17AE1EBB">
      <w:pPr>
        <w:spacing w:after="0" w:line="240" w:lineRule="auto"/>
        <w:ind w:left="567"/>
        <w:jc w:val="both"/>
        <w:rPr>
          <w:rFonts w:ascii="Times New Roman" w:hAnsi="Times New Roman" w:cs="Times New Roman"/>
          <w:i/>
          <w:sz w:val="20"/>
          <w:szCs w:val="20"/>
        </w:rPr>
        <w:pStyle w:val="P68B1DB1-Normal20"/>
      </w:pPr>
      <w:r>
        <w:t xml:space="preserve">"36. Nel caso di specie, anzitutto, dal preambolo del decreto del 14 luglio 2017 emerge che il divieto da esso stabilito è imposto per tutelare la salute umana e l'ambiente.</w:t>
      </w:r>
    </w:p>
    <w:p w14:paraId="1CBD02C5" w14:textId="77777777">
      <w:pPr>
        <w:spacing w:after="0" w:line="240" w:lineRule="auto"/>
        <w:ind w:left="567"/>
        <w:jc w:val="both"/>
        <w:rPr>
          <w:rFonts w:ascii="Times New Roman" w:hAnsi="Times New Roman" w:cs="Times New Roman"/>
          <w:i/>
          <w:sz w:val="20"/>
          <w:szCs w:val="20"/>
        </w:rPr>
      </w:pPr>
    </w:p>
    <w:p w14:paraId="1A20049E" w14:textId="08504F01">
      <w:pPr>
        <w:spacing w:after="0" w:line="240" w:lineRule="auto"/>
        <w:ind w:left="567"/>
        <w:jc w:val="both"/>
        <w:rPr>
          <w:rFonts w:ascii="Times New Roman" w:hAnsi="Times New Roman" w:cs="Times New Roman"/>
          <w:i/>
          <w:sz w:val="20"/>
          <w:szCs w:val="20"/>
        </w:rPr>
        <w:pStyle w:val="P68B1DB1-Normal20"/>
      </w:pPr>
      <w:r>
        <w:t xml:space="preserve">37. Occorre poi rilevare che tale divieto riguarda il ciclo di vita dei pesticidi contenenti glifosato dopo la loro commercializzazione, mediante la determinazione di una condizione connessa all'utilizzo di tali prodotti, dal momento che, su terreni a uso privato, solo i professionisti titolari di una licenza fitosanitaria sono autorizzati a utilizzarli.</w:t>
      </w:r>
    </w:p>
    <w:p w14:paraId="595DD057" w14:textId="77777777">
      <w:pPr>
        <w:spacing w:after="0" w:line="240" w:lineRule="auto"/>
        <w:ind w:left="567"/>
        <w:jc w:val="both"/>
        <w:rPr>
          <w:rFonts w:ascii="Times New Roman" w:hAnsi="Times New Roman" w:cs="Times New Roman"/>
          <w:i/>
          <w:sz w:val="20"/>
          <w:szCs w:val="20"/>
        </w:rPr>
      </w:pPr>
    </w:p>
    <w:p w14:paraId="7F0E7EDE" w14:textId="698ECA01">
      <w:pPr>
        <w:spacing w:after="0" w:line="240" w:lineRule="auto"/>
        <w:ind w:left="567"/>
        <w:jc w:val="both"/>
        <w:rPr>
          <w:rFonts w:ascii="Times New Roman" w:hAnsi="Times New Roman" w:cs="Times New Roman"/>
          <w:i/>
          <w:sz w:val="20"/>
          <w:szCs w:val="20"/>
        </w:rPr>
        <w:pStyle w:val="P68B1DB1-Normal20"/>
      </w:pPr>
      <w:r>
        <w:t xml:space="preserve">38. Infine, è necessario constatare che una siffatta misura di divieto può influenzare la commercializzazione dei prodotti di cui trattasi.</w:t>
      </w:r>
    </w:p>
    <w:p w14:paraId="6A260A53" w14:textId="77777777">
      <w:pPr>
        <w:spacing w:after="0" w:line="240" w:lineRule="auto"/>
        <w:ind w:left="567"/>
        <w:jc w:val="both"/>
        <w:rPr>
          <w:rFonts w:ascii="Times New Roman" w:hAnsi="Times New Roman" w:cs="Times New Roman"/>
          <w:i/>
          <w:sz w:val="20"/>
          <w:szCs w:val="20"/>
        </w:rPr>
      </w:pPr>
    </w:p>
    <w:p w14:paraId="5066FFC6" w14:textId="1BDD0139">
      <w:pPr>
        <w:spacing w:after="0" w:line="240" w:lineRule="auto"/>
        <w:ind w:left="567"/>
        <w:jc w:val="both"/>
        <w:rPr>
          <w:rFonts w:ascii="Times New Roman" w:hAnsi="Times New Roman" w:cs="Times New Roman"/>
          <w:i/>
          <w:sz w:val="20"/>
          <w:szCs w:val="20"/>
        </w:rPr>
        <w:pStyle w:val="P68B1DB1-Normal20"/>
      </w:pPr>
      <w:r>
        <w:t xml:space="preserve">39. Tale misura comporta infatti la scomparsa di una categoria di potenziali acquirenti di pesticidi contenenti glifosato, vale a dire i privati che intendono utilizzare essi stessi simili pesticidi, senza ricorrere ai servizi di professionisti titolari della licenza fitosanitaria richiesta. Una siffatta restrizione alla possibilità di utilizzare pesticidi contenenti glifosato incide quindi sulla loro commercializzazione (v., per analogia, sentenza del 13 ottobre 2016, M. e S., C-303/15, ecueil, punto 26 e giurisprudenza ivi citata).</w:t>
      </w:r>
    </w:p>
    <w:p w14:paraId="1A6F1ECE" w14:textId="77777777">
      <w:pPr>
        <w:spacing w:after="0" w:line="240" w:lineRule="auto"/>
        <w:ind w:left="567"/>
        <w:jc w:val="both"/>
        <w:rPr>
          <w:rFonts w:ascii="Times New Roman" w:hAnsi="Times New Roman" w:cs="Times New Roman"/>
          <w:i/>
          <w:sz w:val="20"/>
          <w:szCs w:val="20"/>
        </w:rPr>
      </w:pPr>
    </w:p>
    <w:p w14:paraId="33FD9071" w14:textId="2955C650">
      <w:pPr>
        <w:spacing w:after="0" w:line="240" w:lineRule="auto"/>
        <w:ind w:left="567"/>
        <w:jc w:val="both"/>
        <w:rPr>
          <w:rFonts w:ascii="Times New Roman" w:hAnsi="Times New Roman" w:cs="Times New Roman"/>
          <w:i/>
          <w:sz w:val="20"/>
          <w:szCs w:val="20"/>
        </w:rPr>
        <w:pStyle w:val="P68B1DB1-Normal20"/>
      </w:pPr>
      <w:r>
        <w:t xml:space="preserve">40. Tuttavia, come rilevato dalla Commissione nelle sue osservazioni scritte, affinché la misura introdotta dalla decisione del 14 luglio 2017 possa essere qualificata come "regola tecnica", rientrante nella categoria degli "altri requisiti" ai sensi dell'articolo 1, paragrafo 1, lettera d) e f), della direttiva 2015/1535, la commercializzazione di pesticidi contenenti glifosato deve essere "significativamente" influenzata da tale misura.</w:t>
      </w:r>
    </w:p>
    <w:p w14:paraId="219AFD18" w14:textId="77777777">
      <w:pPr>
        <w:spacing w:after="0" w:line="240" w:lineRule="auto"/>
        <w:ind w:left="567"/>
        <w:jc w:val="both"/>
        <w:rPr>
          <w:rFonts w:ascii="Times New Roman" w:hAnsi="Times New Roman" w:cs="Times New Roman"/>
          <w:i/>
          <w:sz w:val="20"/>
          <w:szCs w:val="20"/>
        </w:rPr>
      </w:pPr>
    </w:p>
    <w:p w14:paraId="51EC447B" w14:textId="2F0134D7">
      <w:pPr>
        <w:spacing w:after="0" w:line="240" w:lineRule="auto"/>
        <w:ind w:left="567"/>
        <w:jc w:val="both"/>
        <w:rPr>
          <w:rFonts w:ascii="Times New Roman" w:hAnsi="Times New Roman" w:cs="Times New Roman"/>
          <w:i/>
          <w:sz w:val="20"/>
          <w:szCs w:val="20"/>
        </w:rPr>
        <w:pStyle w:val="P68B1DB1-Normal20"/>
      </w:pPr>
      <w:r>
        <w:t xml:space="preserve">41. Spetta al giudice del rinvio verificare se ciò avviene nel caso di specie.</w:t>
      </w:r>
    </w:p>
    <w:p w14:paraId="700BF673" w14:textId="77777777">
      <w:pPr>
        <w:spacing w:after="0" w:line="240" w:lineRule="auto"/>
        <w:ind w:left="567"/>
        <w:jc w:val="both"/>
        <w:rPr>
          <w:rFonts w:ascii="Times New Roman" w:hAnsi="Times New Roman" w:cs="Times New Roman"/>
          <w:i/>
          <w:sz w:val="20"/>
          <w:szCs w:val="20"/>
        </w:rPr>
      </w:pPr>
    </w:p>
    <w:p w14:paraId="15FA9CD4" w14:textId="12DBE6E1">
      <w:pPr>
        <w:spacing w:after="0" w:line="240" w:lineRule="auto"/>
        <w:ind w:left="567"/>
        <w:jc w:val="both"/>
        <w:rPr>
          <w:rFonts w:ascii="Times New Roman" w:hAnsi="Times New Roman" w:cs="Times New Roman"/>
          <w:i/>
          <w:sz w:val="20"/>
          <w:szCs w:val="20"/>
        </w:rPr>
        <w:pStyle w:val="P68B1DB1-Normal20"/>
      </w:pPr>
      <w:r>
        <w:t xml:space="preserve">42. Nell'effettuare tale valutazione, il giudice del rinvio potrà tener conto, segnatamente, del volume complessivo delle vendite di pesticidi contenenti glifosato nel territorio della Regione fiamminga e della modifica delle abitudini di acquisto di ciascuna categoria di acquirenti, sulla base della frequenza dei loro acquisti e della quantità di prodotto acquistata, nonché dei cambiamenti che interessano i luoghi di acquisto e i canali di distribuzione. In tale contesto, detto giudice può prendere in considerazione la misura in cui, da un lato, la domanda degli utilizzatori professionali sostituisce quella dei privati che si avvalgono dei servizi degli utilizzatori professionali e, dall'altro, i singoli utilizzatori ottengono ora pesticidi privi di glifosato anziché pesticidi contenenti tale sostanza."</w:t>
      </w:r>
    </w:p>
    <w:p w14:paraId="4A5F3F04" w14:textId="77777777">
      <w:pPr>
        <w:spacing w:after="0" w:line="240" w:lineRule="auto"/>
        <w:ind w:left="567"/>
        <w:jc w:val="both"/>
      </w:pPr>
    </w:p>
    <w:p w14:paraId="430159AA" w14:textId="501CF887">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46" w:history="1">
        <w:r>
          <w:rPr>
            <w:rStyle w:val="Hyperlink"/>
            <w:rFonts w:ascii="Times New Roman" w:hAnsi="Times New Roman" w:cs="Times New Roman" w:eastAsia="Times New Roman"/>
            <w:b/>
            <w:i/>
            <w:color w:val="0000FF"/>
            <w:szCs w:val="20"/>
          </w:rPr>
          <w:t xml:space="preserve">Sentenza della Corte di giustizia del 9 marzo 2023</w:t>
        </w:r>
      </w:hyperlink>
      <w:r>
        <w:rPr>
          <w:rFonts w:ascii="Times New Roman" w:hAnsi="Times New Roman" w:cs="Times New Roman" w:eastAsia="Times New Roman"/>
          <w:b/>
          <w:i/>
          <w:szCs w:val="20"/>
        </w:rPr>
        <w:t xml:space="preserve">, Vapo Atlantic, C-604/21, punti 40 e 41.</w:t>
      </w:r>
      <w:bookmarkEnd w:id="64"/>
    </w:p>
    <w:p w14:paraId="25D9A71A" w14:textId="77777777">
      <w:pPr>
        <w:widowControl w:val="0"/>
        <w:autoSpaceDE w:val="0"/>
        <w:autoSpaceDN w:val="0"/>
        <w:spacing w:after="0" w:line="240" w:lineRule="auto"/>
        <w:jc w:val="both"/>
        <w:rPr>
          <w:rFonts w:ascii="Times New Roman" w:hAnsi="Times New Roman" w:cs="Times New Roman" w:eastAsia="Times New Roman"/>
          <w:szCs w:val="20"/>
        </w:rPr>
      </w:pPr>
    </w:p>
    <w:p w14:paraId="68D99C30" w14:textId="07845CAB">
      <w:pPr>
        <w:widowControl w:val="0"/>
        <w:autoSpaceDE w:val="0"/>
        <w:autoSpaceDN w:val="0"/>
        <w:spacing w:after="0" w:line="240" w:lineRule="auto"/>
        <w:jc w:val="both"/>
        <w:outlineLvl w:val="1"/>
        <w:rPr>
          <w:rFonts w:ascii="Times New Roman" w:hAnsi="Times New Roman" w:cs="Times New Roman" w:eastAsia="Times New Roman"/>
          <w:bCs/>
          <w:iCs/>
          <w:szCs w:val="20"/>
        </w:rPr>
        <w:pStyle w:val="P68B1DB1-Normal14"/>
      </w:pPr>
      <w:bookmarkStart w:id="65" w:name="_Toc198043825"/>
      <w:r>
        <w:t xml:space="preserve">La legislazione nazionale che impone agli operatori che immettono in consumo carburanti per motori di contribuire al conseguimento degli obiettivi di incorporazione di biocarburanti nei carburanti per motori e la cui violazione può comportare sanzioni finanziarie può influenzare in modo significativo la commercializzazione dei carburanti. Si tratta quindi di un "altro requisito".</w:t>
      </w:r>
      <w:bookmarkEnd w:id="65"/>
    </w:p>
    <w:p w14:paraId="397991CE"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7F49CA88" w14:textId="0C6B3003">
      <w:pPr>
        <w:pStyle w:val="P68B1DB1-Normal20"/>
        <w:widowControl w:val="0"/>
        <w:autoSpaceDE w:val="0"/>
        <w:autoSpaceDN w:val="0"/>
        <w:spacing w:after="0" w:line="240" w:lineRule="auto"/>
        <w:ind w:left="567"/>
        <w:jc w:val="both"/>
        <w:outlineLvl w:val="1"/>
      </w:pPr>
      <w:bookmarkStart w:id="66" w:name="_Toc198043826"/>
      <w:r>
        <w:t xml:space="preserve">"40. Nel caso di specie, i quesiti del giudice del rinvio vertono su una normativa nazionale che impone agli operatori economici che procedono all'immissione in consumo di carburanti per il trasporto stradale, ad eccezione del GPL e del gas naturale, di contribuire al rispetto degli obiettivi di incorporazione di biocarburanti nei quantitativi annuali di carburanti per il trasporto stradale che immettono in consumo, vale a dire un obiettivo del 10 % per il 2020. Sebbene tale normativa non precisi il tipo di carburante per il trasporto stradale considerato, né fissi una percentuale di biocarburante che deve essere fisicamente incorporato nei carburanti per il trasporto stradale, né precisi il tipo di biocarburante da incorporare, il requisito da essa previsto, adottato a fini di tutela dell'ambiente, riguarda il ciclo di vita dei carburanti per il trasporto stradale dopo la loro immissione sul mercato e può influenzare in modo significativo la commercializzazione di detti prodotti, in quanto la violazione dell'obbligo di incorporazione di biocarburanti in essa previsto può comportare l'imposizione di una compensazione finanziaria.</w:t>
      </w:r>
      <w:bookmarkEnd w:id="66"/>
    </w:p>
    <w:p w14:paraId="4CEBAF3A" w14:textId="77777777">
      <w:pPr>
        <w:pStyle w:val="P68B1DB1-Normal20"/>
        <w:widowControl w:val="0"/>
        <w:autoSpaceDE w:val="0"/>
        <w:autoSpaceDN w:val="0"/>
        <w:spacing w:after="0" w:line="240" w:lineRule="auto"/>
        <w:ind w:left="567"/>
        <w:jc w:val="both"/>
        <w:outlineLvl w:val="1"/>
      </w:pPr>
    </w:p>
    <w:p w14:paraId="08AE2C99" w14:textId="38734870">
      <w:pPr>
        <w:pStyle w:val="P68B1DB1-Normal20"/>
        <w:widowControl w:val="0"/>
        <w:autoSpaceDE w:val="0"/>
        <w:autoSpaceDN w:val="0"/>
        <w:spacing w:after="0" w:line="240" w:lineRule="auto"/>
        <w:ind w:left="567"/>
        <w:jc w:val="both"/>
        <w:outlineLvl w:val="1"/>
        <w:rPr>
          <w:iCs/>
        </w:rPr>
      </w:pPr>
      <w:bookmarkStart w:id="67" w:name="_Toc198043827"/>
      <w:r>
        <w:t xml:space="preserve">41. Ne consegue che una normativa nazionale che fissa un obiettivo per l'incorporazione del 10 % di biocarburanti nei carburanti per motori immessi in consumo da un operatore economico per il 2020 rientra nella nozione di "altri requisiti" ai sensi dell'articolo 1, paragrafo 4, della direttiva 98/34 e costituisce pertanto una "regola tecnica" ai sensi dell'articolo 1, paragrafo 11, di tale direttiva."</w:t>
      </w:r>
      <w:bookmarkEnd w:id="67"/>
    </w:p>
    <w:p w14:paraId="6064CE7D" w14:textId="77777777">
      <w:pPr>
        <w:pStyle w:val="P68B1DB1-BodyText10"/>
        <w:rPr>
          <w:bCs/>
        </w:rPr>
      </w:pPr>
    </w:p>
    <w:p w14:paraId="3F05E4B7" w14:textId="77777777">
      <w:pPr>
        <w:spacing w:after="0" w:line="278" w:lineRule="auto"/>
        <w:rPr>
          <w:rFonts w:ascii="Times New Roman" w:hAnsi="Times New Roman" w:cs="Times New Roman" w:eastAsia="Times New Roman"/>
          <w:b/>
          <w:sz w:val="24"/>
          <w:szCs w:val="20"/>
        </w:rPr>
      </w:pPr>
      <w:r>
        <w:br w:type="page"/>
      </w:r>
    </w:p>
    <w:p w14:paraId="39F57DA0" w14:textId="51AFFAF0">
      <w:pPr>
        <w:pStyle w:val="P68B1DB1-Heading24"/>
        <w:numPr>
          <w:ilvl w:val="0"/>
          <w:numId w:val="35"/>
        </w:numPr>
        <w:spacing w:before="0" w:after="0"/>
        <w:jc w:val="center"/>
        <w:rPr>
          <w:bCs/>
          <w:color w:val="auto"/>
        </w:rPr>
      </w:pPr>
      <w:bookmarkStart w:id="68" w:name="_Ref196314214"/>
      <w:bookmarkStart w:id="69" w:name="_Toc203035669"/>
      <w:r>
        <w:t xml:space="preserve">Norme in materia di servizi</w:t>
      </w:r>
      <w:bookmarkEnd w:id="5"/>
      <w:bookmarkEnd w:id="68"/>
      <w:bookmarkEnd w:id="69"/>
    </w:p>
    <w:p w14:paraId="19E12A03" w14:textId="77777777">
      <w:pPr>
        <w:pStyle w:val="BodyText"/>
      </w:pPr>
    </w:p>
    <w:p w14:paraId="6D8B2150" w14:textId="77777777">
      <w:pPr>
        <w:pStyle w:val="P68B1DB1-BodyText11"/>
        <w:ind w:left="567"/>
        <w:rPr>
          <w:iCs/>
        </w:rPr>
      </w:pPr>
      <w:r>
        <w:t xml:space="preserve">""regola relativa ai servizi": un requisito di carattere generale relativo all'accesso alle attività di servizi di cui alla lettera b) e al loro esercizio, in particolare le disposizioni relative al prestatore di servizi, ai servizi e al destinatario di servizi, escluse le norme che non riguardano specificamente i servizi definiti in tale punto. </w:t>
      </w:r>
    </w:p>
    <w:p w14:paraId="7C9B8AC3" w14:textId="77777777">
      <w:pPr>
        <w:pStyle w:val="P68B1DB1-BodyText11"/>
        <w:ind w:left="567"/>
        <w:rPr>
          <w:iCs/>
        </w:rPr>
      </w:pPr>
    </w:p>
    <w:p w14:paraId="46FCE36C" w14:textId="0D89DACC">
      <w:pPr>
        <w:pStyle w:val="P68B1DB1-BodyText11"/>
        <w:ind w:left="567"/>
        <w:rPr>
          <w:iCs/>
        </w:rPr>
      </w:pPr>
      <w:r>
        <w:t xml:space="preserve">Ai fini della presente definizione: </w:t>
      </w:r>
    </w:p>
    <w:p w14:paraId="0FA17B64" w14:textId="77777777">
      <w:pPr>
        <w:pStyle w:val="P68B1DB1-BodyText11"/>
        <w:ind w:left="567"/>
        <w:rPr>
          <w:iCs/>
        </w:rPr>
      </w:pPr>
    </w:p>
    <w:p w14:paraId="5287D99C" w14:textId="40B4253E">
      <w:pPr>
        <w:pStyle w:val="P68B1DB1-BodyText11"/>
        <w:numPr>
          <w:ilvl w:val="0"/>
          <w:numId w:val="30"/>
        </w:numPr>
        <w:rPr>
          <w:iCs/>
        </w:rPr>
      </w:pPr>
      <w:r>
        <w:t xml:space="preserve">una regola si considera riguardante specificamente i servizi della società dell'informazione quando, alla luce della sua motivazione e del testo del relativo dispositivo, essa si pone come finalità e obiettivo specifici, nel suo insieme o in alcune disposizioni puntuali, di disciplinare in modo esplicito e mirato tali servizi; </w:t>
      </w:r>
    </w:p>
    <w:p w14:paraId="112BC54B" w14:textId="13ACB17B">
      <w:pPr>
        <w:pStyle w:val="P68B1DB1-BodyText11"/>
        <w:numPr>
          <w:ilvl w:val="0"/>
          <w:numId w:val="30"/>
        </w:numPr>
        <w:rPr>
          <w:iCs/>
        </w:rPr>
      </w:pPr>
      <w:r>
        <w:t xml:space="preserve">non si considera che una norma riguardi specificamente i servizi della società dell'informazione se riguarda tali servizi solo in modo implicito o incidentale;"</w:t>
      </w:r>
    </w:p>
    <w:p w14:paraId="573C811F" w14:textId="77777777">
      <w:pPr>
        <w:pStyle w:val="BodyText"/>
        <w:ind w:left="567"/>
        <w:rPr>
          <w:i/>
          <w:iCs/>
        </w:rPr>
      </w:pPr>
    </w:p>
    <w:p w14:paraId="2735376A" w14:textId="709F0465">
      <w:pPr>
        <w:pStyle w:val="BodyText"/>
        <w:ind w:left="1440"/>
        <w:jc w:val="right"/>
      </w:pPr>
      <w:r>
        <w:t xml:space="preserve">(Articolo 1, paragrafo 1, lettera e), della direttiva (UE) 2015/1535)</w:t>
      </w:r>
    </w:p>
    <w:p w14:paraId="2412BA9D" w14:textId="7742CFA6">
      <w:pPr>
        <w:spacing w:after="0" w:line="240" w:lineRule="auto"/>
      </w:pPr>
    </w:p>
    <w:p w14:paraId="047B2ADB" w14:textId="17E336C2">
      <w:pPr>
        <w:spacing w:after="0" w:line="240" w:lineRule="auto"/>
        <w:ind w:left="567"/>
        <w:jc w:val="both"/>
        <w:rPr>
          <w:rFonts w:ascii="Times New Roman" w:hAnsi="Times New Roman" w:cs="Times New Roman"/>
          <w:i/>
          <w:sz w:val="24"/>
          <w:szCs w:val="24"/>
        </w:rPr>
        <w:pStyle w:val="P68B1DB1-Normal12"/>
      </w:pPr>
      <w:r>
        <w:t xml:space="preserve">"servizio": qualsiasi servizio della società dell'informazione, vale a dire qualsiasi servizio prestato normalmente dietro retribuzione, a distanza, per via elettronica e a richiesta individuale di un destinatario di servizi. </w:t>
      </w:r>
    </w:p>
    <w:p w14:paraId="0A07BEF1" w14:textId="77777777">
      <w:pPr>
        <w:spacing w:after="0" w:line="240" w:lineRule="auto"/>
        <w:ind w:left="567"/>
        <w:jc w:val="both"/>
        <w:rPr>
          <w:rFonts w:ascii="Times New Roman" w:hAnsi="Times New Roman" w:cs="Times New Roman"/>
          <w:i/>
          <w:sz w:val="24"/>
          <w:szCs w:val="24"/>
        </w:rPr>
      </w:pPr>
    </w:p>
    <w:p w14:paraId="0427D520" w14:textId="77777777">
      <w:pPr>
        <w:spacing w:after="0" w:line="240" w:lineRule="auto"/>
        <w:ind w:left="567"/>
        <w:jc w:val="both"/>
        <w:rPr>
          <w:rFonts w:ascii="Times New Roman" w:hAnsi="Times New Roman" w:cs="Times New Roman"/>
          <w:i/>
          <w:sz w:val="24"/>
          <w:szCs w:val="24"/>
        </w:rPr>
        <w:pStyle w:val="P68B1DB1-Normal12"/>
      </w:pPr>
      <w:r>
        <w:t xml:space="preserve">Ai fini della presente definizione: </w:t>
      </w:r>
    </w:p>
    <w:p w14:paraId="14B11324" w14:textId="77777777">
      <w:pPr>
        <w:spacing w:after="0" w:line="240" w:lineRule="auto"/>
        <w:ind w:left="567"/>
        <w:jc w:val="both"/>
        <w:rPr>
          <w:rFonts w:ascii="Times New Roman" w:hAnsi="Times New Roman" w:cs="Times New Roman"/>
          <w:i/>
          <w:sz w:val="24"/>
          <w:szCs w:val="24"/>
        </w:rPr>
      </w:pPr>
    </w:p>
    <w:p w14:paraId="0727DDA2" w14:textId="77777777">
      <w:pPr>
        <w:spacing w:after="0" w:line="240" w:lineRule="auto"/>
        <w:ind w:left="1440"/>
        <w:jc w:val="both"/>
        <w:rPr>
          <w:rFonts w:ascii="Times New Roman" w:hAnsi="Times New Roman" w:cs="Times New Roman"/>
          <w:i/>
          <w:sz w:val="24"/>
          <w:szCs w:val="24"/>
        </w:rPr>
        <w:pStyle w:val="P68B1DB1-Normal12"/>
      </w:pPr>
      <w:r>
        <w:t xml:space="preserve">i) "a distanza": il servizio prestato senza la presenza simultanea delle parti; </w:t>
      </w:r>
    </w:p>
    <w:p w14:paraId="21A0956B" w14:textId="56365680">
      <w:pPr>
        <w:spacing w:after="0" w:line="240" w:lineRule="auto"/>
        <w:ind w:left="1440"/>
        <w:jc w:val="both"/>
        <w:rPr>
          <w:rFonts w:ascii="Times New Roman" w:hAnsi="Times New Roman" w:cs="Times New Roman"/>
          <w:i/>
          <w:sz w:val="24"/>
          <w:szCs w:val="24"/>
        </w:rPr>
        <w:pStyle w:val="P68B1DB1-Normal12"/>
      </w:pPr>
      <w:r>
        <w:t xml:space="preserve">II) "per via elettronica": il servizio inviato inizialmente e ricevuto a destinazione mediante attrezzature elettroniche per il trattamento (compresa la compressione digitale) e l'archiviazione di dati e interamente trasmesso, inoltrato e ricevuto mediante filo, radio, mezzi ottici o altri mezzi elettromagnetici; </w:t>
      </w:r>
    </w:p>
    <w:p w14:paraId="5C56E529" w14:textId="12F1F1E7">
      <w:pPr>
        <w:spacing w:after="0" w:line="240" w:lineRule="auto"/>
        <w:ind w:left="1440"/>
        <w:jc w:val="both"/>
        <w:rPr>
          <w:rFonts w:ascii="Times New Roman" w:hAnsi="Times New Roman" w:cs="Times New Roman"/>
          <w:i/>
          <w:sz w:val="24"/>
          <w:szCs w:val="24"/>
        </w:rPr>
        <w:pStyle w:val="P68B1DB1-Normal12"/>
      </w:pPr>
      <w:r>
        <w:t xml:space="preserve">III) "su richiesta individuale di un destinatario di servizi": il servizio è fornito mediante trasmissione di dati su richiesta individuale. </w:t>
      </w:r>
    </w:p>
    <w:p w14:paraId="514F222E" w14:textId="77777777">
      <w:pPr>
        <w:spacing w:after="0" w:line="240" w:lineRule="auto"/>
        <w:jc w:val="both"/>
        <w:rPr>
          <w:rFonts w:ascii="Times New Roman" w:hAnsi="Times New Roman" w:cs="Times New Roman"/>
          <w:i/>
          <w:sz w:val="24"/>
          <w:szCs w:val="24"/>
        </w:rPr>
      </w:pPr>
    </w:p>
    <w:p w14:paraId="11E4DACC" w14:textId="7501B95E">
      <w:pPr>
        <w:spacing w:after="0" w:line="240" w:lineRule="auto"/>
        <w:ind w:left="567"/>
        <w:jc w:val="both"/>
        <w:rPr>
          <w:rFonts w:ascii="Times New Roman" w:hAnsi="Times New Roman" w:cs="Times New Roman"/>
          <w:i/>
          <w:sz w:val="24"/>
          <w:szCs w:val="24"/>
        </w:rPr>
        <w:pStyle w:val="P68B1DB1-Normal12"/>
      </w:pPr>
      <w:r>
        <w:t xml:space="preserve">Un elenco indicativo dei servizi che non rientrano in questa definizione figura nell'allegato I;"</w:t>
      </w:r>
    </w:p>
    <w:p w14:paraId="1FF17DD0" w14:textId="77777777">
      <w:pPr>
        <w:spacing w:after="0" w:line="240" w:lineRule="auto"/>
        <w:ind w:left="567"/>
        <w:jc w:val="both"/>
        <w:rPr>
          <w:rFonts w:ascii="Times New Roman" w:hAnsi="Times New Roman" w:cs="Times New Roman"/>
          <w:i/>
          <w:iCs/>
          <w:sz w:val="24"/>
          <w:szCs w:val="24"/>
        </w:rPr>
      </w:pPr>
    </w:p>
    <w:p w14:paraId="6EAE1680" w14:textId="066C5520">
      <w:pPr>
        <w:pStyle w:val="BodyText"/>
        <w:ind w:left="1440"/>
        <w:jc w:val="right"/>
      </w:pPr>
      <w:r>
        <w:t xml:space="preserve">(Articolo 1, paragrafo 1, lettera b), della direttiva (UE) 2015/1535)</w:t>
      </w:r>
    </w:p>
    <w:p w14:paraId="3979F0D8" w14:textId="77777777">
      <w:pPr>
        <w:spacing w:after="0" w:line="240" w:lineRule="auto"/>
        <w:ind w:left="567"/>
        <w:jc w:val="both"/>
        <w:rPr>
          <w:rFonts w:ascii="Times New Roman" w:hAnsi="Times New Roman" w:cs="Times New Roman"/>
          <w:i/>
          <w:iCs/>
          <w:sz w:val="24"/>
          <w:szCs w:val="24"/>
        </w:rPr>
      </w:pPr>
    </w:p>
    <w:p w14:paraId="325579F5" w14:textId="5717D74C">
      <w:pPr>
        <w:pStyle w:val="P68B1DB1-Normal12"/>
        <w:spacing w:after="0" w:line="240" w:lineRule="auto"/>
        <w:ind w:left="567"/>
        <w:jc w:val="both"/>
        <w:rPr>
          <w:iCs/>
        </w:rPr>
      </w:pPr>
      <w:r>
        <w:t xml:space="preserve">"Elenco indicativo dei servizi non contemplati dall'articolo 1, paragrafo 1, lettera b), secondo comma </w:t>
      </w:r>
    </w:p>
    <w:p w14:paraId="2833D888" w14:textId="77777777">
      <w:pPr>
        <w:spacing w:after="0" w:line="240" w:lineRule="auto"/>
        <w:ind w:left="567"/>
        <w:jc w:val="both"/>
        <w:rPr>
          <w:rFonts w:ascii="Times New Roman" w:hAnsi="Times New Roman" w:cs="Times New Roman"/>
          <w:i/>
          <w:iCs/>
          <w:sz w:val="24"/>
          <w:szCs w:val="24"/>
        </w:rPr>
      </w:pPr>
    </w:p>
    <w:p w14:paraId="45BC8C0F" w14:textId="59EDD8A8">
      <w:pPr>
        <w:pStyle w:val="P68B1DB1-ListParagraph21"/>
        <w:numPr>
          <w:ilvl w:val="0"/>
          <w:numId w:val="33"/>
        </w:numPr>
        <w:spacing w:after="0" w:line="240" w:lineRule="auto"/>
        <w:jc w:val="center"/>
        <w:rPr>
          <w:rFonts w:ascii="Times New Roman" w:hAnsi="Times New Roman" w:cs="Times New Roman"/>
          <w:i/>
          <w:sz w:val="24"/>
          <w:szCs w:val="24"/>
        </w:rPr>
      </w:pPr>
      <w:r>
        <w:t xml:space="preserve">Servizi non forniti "a distanza"</w:t>
      </w:r>
    </w:p>
    <w:p w14:paraId="0869B267" w14:textId="77777777">
      <w:pPr>
        <w:pStyle w:val="ListParagraph"/>
        <w:spacing w:after="0" w:line="240" w:lineRule="auto"/>
        <w:ind w:left="927"/>
        <w:rPr>
          <w:rFonts w:ascii="Times New Roman" w:hAnsi="Times New Roman" w:cs="Times New Roman"/>
          <w:i/>
          <w:sz w:val="24"/>
          <w:szCs w:val="24"/>
        </w:rPr>
      </w:pPr>
    </w:p>
    <w:p w14:paraId="15316F3F" w14:textId="637F4A7C">
      <w:pPr>
        <w:spacing w:after="0" w:line="240" w:lineRule="auto"/>
        <w:ind w:left="567"/>
        <w:rPr>
          <w:rFonts w:ascii="Times New Roman" w:hAnsi="Times New Roman" w:cs="Times New Roman"/>
          <w:i/>
          <w:sz w:val="24"/>
          <w:szCs w:val="24"/>
        </w:rPr>
        <w:pStyle w:val="P68B1DB1-Normal12"/>
      </w:pPr>
      <w:r>
        <w:t xml:space="preserve">Servizi prestati alla presenza fisica del prestatore e del destinatario, anche se comportano l'uso di dispositivi elettronici: </w:t>
      </w:r>
    </w:p>
    <w:p w14:paraId="3362CCDE" w14:textId="74A453DA">
      <w:pPr>
        <w:spacing w:after="0" w:line="240" w:lineRule="auto"/>
        <w:ind w:left="1287"/>
        <w:rPr>
          <w:rFonts w:ascii="Times New Roman" w:hAnsi="Times New Roman" w:cs="Times New Roman"/>
          <w:i/>
          <w:sz w:val="24"/>
          <w:szCs w:val="24"/>
        </w:rPr>
        <w:pStyle w:val="P68B1DB1-Normal12"/>
      </w:pPr>
      <w:r>
        <w:t xml:space="preserve">a) esami medici o cure mediche presso un intervento medico utilizzando apparecchiature elettroniche in cui il paziente è fisicamente presente; </w:t>
      </w:r>
    </w:p>
    <w:p w14:paraId="705A25A8" w14:textId="77777777">
      <w:pPr>
        <w:spacing w:after="0" w:line="240" w:lineRule="auto"/>
        <w:ind w:left="567" w:firstLine="720"/>
        <w:rPr>
          <w:rFonts w:ascii="Times New Roman" w:hAnsi="Times New Roman" w:cs="Times New Roman"/>
          <w:i/>
          <w:sz w:val="24"/>
          <w:szCs w:val="24"/>
        </w:rPr>
        <w:pStyle w:val="P68B1DB1-Normal12"/>
      </w:pPr>
      <w:r>
        <w:t xml:space="preserve">b) consultazione di un catalogo elettronico in un negozio con il cliente in loco; </w:t>
      </w:r>
    </w:p>
    <w:p w14:paraId="7DA6C469" w14:textId="5F31D5B1">
      <w:pPr>
        <w:spacing w:after="0" w:line="240" w:lineRule="auto"/>
        <w:ind w:left="1287"/>
        <w:rPr>
          <w:rFonts w:ascii="Times New Roman" w:hAnsi="Times New Roman" w:cs="Times New Roman"/>
          <w:i/>
          <w:sz w:val="24"/>
          <w:szCs w:val="24"/>
        </w:rPr>
        <w:pStyle w:val="P68B1DB1-Normal12"/>
      </w:pPr>
      <w:r>
        <w:t xml:space="preserve">c) prenotazione di biglietti aerei presso un'agenzia di viaggi alla presenza fisica del cliente mediante una rete di computer; </w:t>
      </w:r>
    </w:p>
    <w:p w14:paraId="01C9EFAD" w14:textId="77777777">
      <w:pPr>
        <w:spacing w:after="0" w:line="240" w:lineRule="auto"/>
        <w:ind w:left="1287"/>
        <w:rPr>
          <w:rFonts w:ascii="Times New Roman" w:hAnsi="Times New Roman" w:cs="Times New Roman"/>
          <w:i/>
          <w:sz w:val="24"/>
          <w:szCs w:val="24"/>
        </w:rPr>
        <w:pStyle w:val="P68B1DB1-Normal12"/>
      </w:pPr>
      <w:r>
        <w:t xml:space="preserve">d) giochi elettronici messi a disposizione in una sala video in cui il cliente è fisicamente presente. </w:t>
      </w:r>
    </w:p>
    <w:p w14:paraId="487F2005" w14:textId="77777777">
      <w:pPr>
        <w:spacing w:after="0" w:line="240" w:lineRule="auto"/>
        <w:ind w:left="567"/>
        <w:rPr>
          <w:rFonts w:ascii="Times New Roman" w:hAnsi="Times New Roman" w:cs="Times New Roman"/>
          <w:i/>
          <w:sz w:val="24"/>
          <w:szCs w:val="24"/>
        </w:rPr>
      </w:pPr>
    </w:p>
    <w:p w14:paraId="3AFC7951" w14:textId="251CDA9A">
      <w:pPr>
        <w:pStyle w:val="P68B1DB1-ListParagraph21"/>
        <w:numPr>
          <w:ilvl w:val="0"/>
          <w:numId w:val="33"/>
        </w:numPr>
        <w:spacing w:after="0" w:line="240" w:lineRule="auto"/>
        <w:jc w:val="center"/>
        <w:rPr>
          <w:rFonts w:ascii="Times New Roman" w:hAnsi="Times New Roman" w:cs="Times New Roman"/>
          <w:i/>
          <w:sz w:val="24"/>
          <w:szCs w:val="24"/>
        </w:rPr>
      </w:pPr>
      <w:r>
        <w:t xml:space="preserve">Servizi non forniti "per via elettronica"</w:t>
      </w:r>
    </w:p>
    <w:p w14:paraId="7F20B717" w14:textId="77777777">
      <w:pPr>
        <w:pStyle w:val="ListParagraph"/>
        <w:spacing w:after="0" w:line="240" w:lineRule="auto"/>
        <w:ind w:left="927"/>
        <w:rPr>
          <w:rFonts w:ascii="Times New Roman" w:hAnsi="Times New Roman" w:cs="Times New Roman"/>
          <w:i/>
          <w:sz w:val="24"/>
          <w:szCs w:val="24"/>
        </w:rPr>
      </w:pPr>
    </w:p>
    <w:p w14:paraId="02C6FE7C" w14:textId="77777777">
      <w:pPr>
        <w:spacing w:after="0" w:line="240" w:lineRule="auto"/>
        <w:ind w:left="567"/>
        <w:rPr>
          <w:rFonts w:ascii="Times New Roman" w:hAnsi="Times New Roman" w:cs="Times New Roman"/>
          <w:i/>
          <w:sz w:val="24"/>
          <w:szCs w:val="24"/>
        </w:rPr>
        <w:pStyle w:val="P68B1DB1-Normal12"/>
      </w:pPr>
      <w:r>
        <w:t xml:space="preserve">— servizi con contenuto materiale anche se prestati tramite dispositivi elettronici: </w:t>
      </w:r>
    </w:p>
    <w:p w14:paraId="271D8E4D" w14:textId="77777777">
      <w:pPr>
        <w:spacing w:after="0" w:line="240" w:lineRule="auto"/>
        <w:ind w:left="567" w:firstLine="720"/>
        <w:rPr>
          <w:rFonts w:ascii="Times New Roman" w:hAnsi="Times New Roman" w:cs="Times New Roman"/>
          <w:i/>
          <w:sz w:val="24"/>
          <w:szCs w:val="24"/>
        </w:rPr>
        <w:pStyle w:val="P68B1DB1-Normal12"/>
      </w:pPr>
      <w:r>
        <w:t xml:space="preserve">a) distributori automatici di contante o biglietti (banconote, biglietti ferroviari); </w:t>
      </w:r>
    </w:p>
    <w:p w14:paraId="07693B6B" w14:textId="1A59726A">
      <w:pPr>
        <w:spacing w:after="0" w:line="240" w:lineRule="auto"/>
        <w:ind w:left="1287"/>
        <w:rPr>
          <w:rFonts w:ascii="Times New Roman" w:hAnsi="Times New Roman" w:cs="Times New Roman"/>
          <w:i/>
          <w:sz w:val="24"/>
          <w:szCs w:val="24"/>
        </w:rPr>
        <w:pStyle w:val="P68B1DB1-Normal12"/>
      </w:pPr>
      <w:r>
        <w:t xml:space="preserve">b) l'accesso alle reti stradali, ai parcheggi, ecc., a pagamento, anche in presenza di dispositivi elettronici all'ingresso/uscita che controllino l'accesso e/o garantiscano il corretto pagamento, </w:t>
      </w:r>
    </w:p>
    <w:p w14:paraId="6B193BE7" w14:textId="77777777">
      <w:pPr>
        <w:spacing w:after="0" w:line="240" w:lineRule="auto"/>
        <w:ind w:left="567"/>
        <w:rPr>
          <w:rFonts w:ascii="Times New Roman" w:hAnsi="Times New Roman" w:cs="Times New Roman"/>
          <w:i/>
          <w:sz w:val="24"/>
          <w:szCs w:val="24"/>
        </w:rPr>
        <w:pStyle w:val="P68B1DB1-Normal12"/>
      </w:pPr>
      <w:r>
        <w:t xml:space="preserve">— servizi offline: distribuzione di CD-ROM o software su dischetti, </w:t>
      </w:r>
    </w:p>
    <w:p w14:paraId="421C0A6C" w14:textId="77777777">
      <w:pPr>
        <w:spacing w:after="0" w:line="240" w:lineRule="auto"/>
        <w:ind w:left="567"/>
        <w:rPr>
          <w:rFonts w:ascii="Times New Roman" w:hAnsi="Times New Roman" w:cs="Times New Roman"/>
          <w:i/>
          <w:sz w:val="24"/>
          <w:szCs w:val="24"/>
        </w:rPr>
        <w:pStyle w:val="P68B1DB1-Normal12"/>
      </w:pPr>
      <w:r>
        <w:t xml:space="preserve">— servizi che non sono forniti mediante sistemi elettronici di elaborazione/inventario: </w:t>
      </w:r>
    </w:p>
    <w:p w14:paraId="48C8B4AA" w14:textId="77777777">
      <w:pPr>
        <w:spacing w:after="0" w:line="240" w:lineRule="auto"/>
        <w:ind w:left="567" w:firstLine="720"/>
        <w:rPr>
          <w:rFonts w:ascii="Times New Roman" w:hAnsi="Times New Roman" w:cs="Times New Roman"/>
          <w:i/>
          <w:sz w:val="24"/>
          <w:szCs w:val="24"/>
        </w:rPr>
        <w:pStyle w:val="P68B1DB1-Normal12"/>
      </w:pPr>
      <w:r>
        <w:t xml:space="preserve">a) servizi di telefonia vocale; </w:t>
      </w:r>
    </w:p>
    <w:p w14:paraId="56C7B905" w14:textId="77777777">
      <w:pPr>
        <w:spacing w:after="0" w:line="240" w:lineRule="auto"/>
        <w:ind w:left="567" w:firstLine="720"/>
        <w:rPr>
          <w:rFonts w:ascii="Times New Roman" w:hAnsi="Times New Roman" w:cs="Times New Roman"/>
          <w:i/>
          <w:sz w:val="24"/>
          <w:szCs w:val="24"/>
        </w:rPr>
        <w:pStyle w:val="P68B1DB1-Normal12"/>
      </w:pPr>
      <w:r>
        <w:t xml:space="preserve">b) servizi di telefax/telex; </w:t>
      </w:r>
    </w:p>
    <w:p w14:paraId="4711D7CC" w14:textId="77777777">
      <w:pPr>
        <w:spacing w:after="0" w:line="240" w:lineRule="auto"/>
        <w:ind w:left="567" w:firstLine="720"/>
        <w:rPr>
          <w:rFonts w:ascii="Times New Roman" w:hAnsi="Times New Roman" w:cs="Times New Roman"/>
          <w:i/>
          <w:sz w:val="24"/>
          <w:szCs w:val="24"/>
        </w:rPr>
        <w:pStyle w:val="P68B1DB1-Normal12"/>
      </w:pPr>
      <w:r>
        <w:t xml:space="preserve">c) i servizi forniti tramite telefonia vocale o fax; </w:t>
      </w:r>
    </w:p>
    <w:p w14:paraId="129084EE" w14:textId="77777777">
      <w:pPr>
        <w:spacing w:after="0" w:line="240" w:lineRule="auto"/>
        <w:ind w:left="567" w:firstLine="720"/>
        <w:rPr>
          <w:rFonts w:ascii="Times New Roman" w:hAnsi="Times New Roman" w:cs="Times New Roman"/>
          <w:i/>
          <w:sz w:val="24"/>
          <w:szCs w:val="24"/>
        </w:rPr>
        <w:pStyle w:val="P68B1DB1-Normal12"/>
      </w:pPr>
      <w:r>
        <w:t xml:space="preserve">d) consultazione telefonica/telefax di un medico; </w:t>
      </w:r>
    </w:p>
    <w:p w14:paraId="4D484D71" w14:textId="77777777">
      <w:pPr>
        <w:spacing w:after="0" w:line="240" w:lineRule="auto"/>
        <w:ind w:left="567" w:firstLine="720"/>
        <w:rPr>
          <w:rFonts w:ascii="Times New Roman" w:hAnsi="Times New Roman" w:cs="Times New Roman"/>
          <w:i/>
          <w:sz w:val="24"/>
          <w:szCs w:val="24"/>
        </w:rPr>
        <w:pStyle w:val="P68B1DB1-Normal12"/>
      </w:pPr>
      <w:r>
        <w:t xml:space="preserve">e) consultazione telefonica/telefax di un avvocato; </w:t>
      </w:r>
    </w:p>
    <w:p w14:paraId="69CFBD9E" w14:textId="77777777">
      <w:pPr>
        <w:spacing w:after="0" w:line="240" w:lineRule="auto"/>
        <w:ind w:left="567" w:firstLine="720"/>
        <w:rPr>
          <w:rFonts w:ascii="Times New Roman" w:hAnsi="Times New Roman" w:cs="Times New Roman"/>
          <w:i/>
          <w:sz w:val="24"/>
          <w:szCs w:val="24"/>
        </w:rPr>
        <w:pStyle w:val="P68B1DB1-Normal12"/>
      </w:pPr>
      <w:r>
        <w:t xml:space="preserve">f) commercializzazione diretta per telefono/fax. </w:t>
      </w:r>
    </w:p>
    <w:p w14:paraId="7998BDE8" w14:textId="77777777">
      <w:pPr>
        <w:spacing w:after="0" w:line="240" w:lineRule="auto"/>
        <w:ind w:left="567" w:firstLine="720"/>
        <w:rPr>
          <w:rFonts w:ascii="Times New Roman" w:hAnsi="Times New Roman" w:cs="Times New Roman"/>
          <w:i/>
          <w:sz w:val="24"/>
          <w:szCs w:val="24"/>
        </w:rPr>
      </w:pPr>
    </w:p>
    <w:p w14:paraId="61AA40DF" w14:textId="73BA62B1">
      <w:pPr>
        <w:spacing w:after="0" w:line="240" w:lineRule="auto"/>
        <w:ind w:left="567"/>
        <w:jc w:val="center"/>
        <w:rPr>
          <w:rFonts w:ascii="Times New Roman" w:hAnsi="Times New Roman" w:cs="Times New Roman"/>
          <w:i/>
          <w:sz w:val="24"/>
          <w:szCs w:val="24"/>
        </w:rPr>
        <w:pStyle w:val="P68B1DB1-Normal12"/>
      </w:pPr>
      <w:r>
        <w:t xml:space="preserve">3. Servizi non forniti "a richiesta individuale di un destinatario di servizi"</w:t>
      </w:r>
    </w:p>
    <w:p w14:paraId="36C37D64" w14:textId="77777777">
      <w:pPr>
        <w:spacing w:after="0" w:line="240" w:lineRule="auto"/>
        <w:ind w:left="567"/>
        <w:jc w:val="center"/>
        <w:rPr>
          <w:rFonts w:ascii="Times New Roman" w:hAnsi="Times New Roman" w:cs="Times New Roman"/>
          <w:i/>
          <w:sz w:val="24"/>
          <w:szCs w:val="24"/>
        </w:rPr>
      </w:pPr>
    </w:p>
    <w:p w14:paraId="79A4497E" w14:textId="5069126A">
      <w:pPr>
        <w:spacing w:after="0" w:line="240" w:lineRule="auto"/>
        <w:ind w:left="567"/>
        <w:rPr>
          <w:rFonts w:ascii="Times New Roman" w:hAnsi="Times New Roman" w:cs="Times New Roman"/>
          <w:i/>
          <w:sz w:val="24"/>
          <w:szCs w:val="24"/>
        </w:rPr>
        <w:pStyle w:val="P68B1DB1-Normal12"/>
      </w:pPr>
      <w:r>
        <w:t xml:space="preserve">Servizi forniti mediante trasmissione di dati senza richiesta individuale di ricezione simultanea da parte di un numero illimitato di singoli ricevitori (trasmissione da punto a multipunto): </w:t>
      </w:r>
    </w:p>
    <w:p w14:paraId="7348FF90" w14:textId="622E29E3">
      <w:pPr>
        <w:spacing w:after="0" w:line="240" w:lineRule="auto"/>
        <w:ind w:left="1287"/>
        <w:rPr>
          <w:rFonts w:ascii="Times New Roman" w:hAnsi="Times New Roman" w:cs="Times New Roman"/>
          <w:i/>
          <w:sz w:val="24"/>
          <w:szCs w:val="24"/>
        </w:rPr>
        <w:pStyle w:val="P68B1DB1-Normal12"/>
      </w:pPr>
      <w:r>
        <w:t xml:space="preserve">a) servizi di radiodiffusione televisiva (compresi i servizi quasi video su richiesta) di cui all'articolo 1, paragrafo 1, lettera e), della direttiva 2010/13/UE; </w:t>
      </w:r>
    </w:p>
    <w:p w14:paraId="52812E73" w14:textId="77777777">
      <w:pPr>
        <w:spacing w:after="0" w:line="240" w:lineRule="auto"/>
        <w:ind w:left="567" w:firstLine="720"/>
        <w:rPr>
          <w:rFonts w:ascii="Times New Roman" w:hAnsi="Times New Roman" w:cs="Times New Roman"/>
          <w:i/>
          <w:sz w:val="24"/>
          <w:szCs w:val="24"/>
        </w:rPr>
        <w:pStyle w:val="P68B1DB1-Normal12"/>
      </w:pPr>
      <w:r>
        <w:t xml:space="preserve">b) servizi di radiodiffusione; </w:t>
      </w:r>
    </w:p>
    <w:p w14:paraId="50FD6B17" w14:textId="6C6940F1">
      <w:pPr>
        <w:spacing w:after="0" w:line="240" w:lineRule="auto"/>
        <w:ind w:left="567" w:firstLine="720"/>
        <w:pStyle w:val="P68B1DB1-Normal12"/>
      </w:pPr>
      <w:r>
        <w:t xml:space="preserve">c) teletext (televisivo)."</w:t>
      </w:r>
    </w:p>
    <w:p w14:paraId="4CB8A09D" w14:textId="49490E91">
      <w:pPr>
        <w:pStyle w:val="BodyText"/>
        <w:ind w:left="1440"/>
        <w:jc w:val="right"/>
      </w:pPr>
      <w:r>
        <w:t xml:space="preserve">(Allegato I direttiva (UE) 2015/1535)</w:t>
      </w:r>
    </w:p>
    <w:p w14:paraId="4AFCA90D" w14:textId="77777777">
      <w:pPr>
        <w:spacing w:after="0" w:line="240" w:lineRule="auto"/>
      </w:pPr>
    </w:p>
    <w:p w14:paraId="27152DAF" w14:textId="403C1BD4">
      <w:pPr>
        <w:widowControl w:val="0"/>
        <w:autoSpaceDE w:val="0"/>
        <w:autoSpaceDN w:val="0"/>
        <w:spacing w:after="0" w:line="240" w:lineRule="auto"/>
        <w:jc w:val="both"/>
        <w:rPr>
          <w:rFonts w:ascii="Times New Roman" w:hAnsi="Times New Roman" w:cs="Times New Roman" w:eastAsia="Times New Roman"/>
          <w:i/>
          <w:iCs/>
          <w:sz w:val="20"/>
          <w:szCs w:val="16"/>
        </w:rPr>
      </w:pPr>
      <w:hyperlink r:id="rId47" w:history="1">
        <w:r>
          <w:rPr>
            <w:rStyle w:val="Hyperlink"/>
            <w:rFonts w:ascii="Times New Roman" w:hAnsi="Times New Roman" w:cs="Times New Roman" w:eastAsia="Times New Roman"/>
            <w:b/>
            <w:i/>
            <w:color w:val="0000FF"/>
            <w:szCs w:val="20"/>
          </w:rPr>
          <w:t xml:space="preserve">Sentenza della Corte di giustizia del 2 giugno 2005</w:t>
        </w:r>
      </w:hyperlink>
      <w:r>
        <w:rPr>
          <w:rFonts w:ascii="Times New Roman" w:hAnsi="Times New Roman" w:cs="Times New Roman" w:eastAsia="Times New Roman"/>
          <w:b/>
          <w:i/>
          <w:szCs w:val="20"/>
        </w:rPr>
        <w:t xml:space="preserve">, Mediakabel BV, C-89/04, punti 38 e 39.</w:t>
      </w:r>
    </w:p>
    <w:p w14:paraId="72864DF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0D3FE7F" w14:textId="7CBF6B01">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Un servizio di radiodiffusione televisiva messo a disposizione su richiesta dell'abbonato, ma per il quale la frequenza e la tempistica dei film sono determinate dal fornitore, non costituisce un "servizio della società dell'informazione", in quanto il contenuto è selezionato e programmato dal fornitore e pertanto non è fornito su richiesta individuale del destinatario.</w:t>
      </w:r>
    </w:p>
    <w:p w14:paraId="35F17E14"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7DC4243A" w14:textId="1EBB386A">
      <w:pPr>
        <w:pStyle w:val="P68B1DB1-Normal15"/>
        <w:widowControl w:val="0"/>
        <w:autoSpaceDE w:val="0"/>
        <w:autoSpaceDN w:val="0"/>
        <w:spacing w:after="0" w:line="240" w:lineRule="auto"/>
        <w:ind w:left="567"/>
        <w:jc w:val="both"/>
      </w:pPr>
      <w:r>
        <w:t xml:space="preserve">"38. Sebbene un siffatto servizio soddisfi i primi due criteri per costituire un "servizio della società dell'informazione", ai sensi dell'articolo 1, paragrafo 2, della direttiva 98/34, vale a dire sia fornito a distanza e trasmesso in parte mediante apparecchiature elettroniche, esso non soddisfa il terzo criterio della nozione, secondo cui il servizio in questione deve essere fornito "a richiesta individuale di un destinatario di servizi". L'elenco dei film proposti nell'ambito di servizio come il "Filmtime" è determinato dal prestatore del servizio. Tale selezione di film viene proposta a tutti gli abbonati alle stesse condizioni a mezzo di giornali o di informazioni trasmesse sullo schermo televisivo, e i detti film sono accessibili negli orari di trasmissione stabiliti dal prestatore. La chiave personale che consente di accedere ai film rappresenta solo un modo per decriptare le immagini i cui segnali sono tramessi simultanemente a tutti gli abbonati.</w:t>
      </w:r>
    </w:p>
    <w:p w14:paraId="68AEB66F" w14:textId="77777777">
      <w:pPr>
        <w:pStyle w:val="P68B1DB1-Normal15"/>
        <w:widowControl w:val="0"/>
        <w:autoSpaceDE w:val="0"/>
        <w:autoSpaceDN w:val="0"/>
        <w:spacing w:after="0" w:line="240" w:lineRule="auto"/>
        <w:ind w:left="567"/>
        <w:jc w:val="both"/>
      </w:pPr>
    </w:p>
    <w:p w14:paraId="145EEF38" w14:textId="74B1BC98">
      <w:pPr>
        <w:pStyle w:val="P68B1DB1-Normal15"/>
        <w:widowControl w:val="0"/>
        <w:autoSpaceDE w:val="0"/>
        <w:autoSpaceDN w:val="0"/>
        <w:spacing w:after="0" w:line="240" w:lineRule="auto"/>
        <w:ind w:left="567"/>
        <w:jc w:val="both"/>
        <w:rPr>
          <w:iCs/>
        </w:rPr>
      </w:pPr>
      <w:r>
        <w:t xml:space="preserve">39. Un siffatto servizio non è pertanto ordinato individualmente da un destinatario isolato che disponga della libera scelta dei suoi programmi in un contesto interattivo. Deve essere considerato un servizio quasi video su richiesta, fornito su base "da punto a multipunto" e non "su richiesta individuale di un destinatario di servizi".</w:t>
      </w:r>
    </w:p>
    <w:p w14:paraId="5E8F8952" w14:textId="190BF10B">
      <w:pPr>
        <w:widowControl w:val="0"/>
        <w:autoSpaceDE w:val="0"/>
        <w:autoSpaceDN w:val="0"/>
        <w:spacing w:after="0" w:line="240" w:lineRule="auto"/>
        <w:ind w:left="567"/>
        <w:jc w:val="both"/>
      </w:pPr>
    </w:p>
    <w:p w14:paraId="6027638F" w14:textId="40792564">
      <w:pPr>
        <w:pStyle w:val="P68B1DB1-Normal13"/>
        <w:widowControl w:val="0"/>
        <w:autoSpaceDE w:val="0"/>
        <w:autoSpaceDN w:val="0"/>
        <w:spacing w:after="0" w:line="240" w:lineRule="auto"/>
        <w:jc w:val="both"/>
        <w:outlineLvl w:val="1"/>
      </w:pPr>
      <w:hyperlink r:id="rId48" w:history="1">
        <w:r>
          <w:rPr>
            <w:color w:val="0000FF"/>
            <w:u w:val="single"/>
          </w:rPr>
          <w:t xml:space="preserve">Sentenza della Corte di giustizia del 2 febbraio 2016</w:t>
        </w:r>
      </w:hyperlink>
      <w:r>
        <w:t xml:space="preserve">, Ince, C-336/14, punti 75 e 76.</w:t>
      </w:r>
      <w:bookmarkEnd w:id="70"/>
    </w:p>
    <w:p w14:paraId="62235723" w14:textId="77777777">
      <w:pPr>
        <w:widowControl w:val="0"/>
        <w:tabs>
          <w:tab w:val="left" w:pos="396"/>
          <w:tab w:val="left" w:pos="415"/>
        </w:tabs>
        <w:autoSpaceDE w:val="0"/>
        <w:autoSpaceDN w:val="0"/>
        <w:spacing w:after="0" w:line="240" w:lineRule="auto"/>
        <w:jc w:val="both"/>
        <w:rPr>
          <w:rFonts w:ascii="Times New Roman" w:hAnsi="Times New Roman" w:cs="Times New Roman" w:eastAsia="Times New Roman"/>
          <w:szCs w:val="20"/>
        </w:rPr>
      </w:pPr>
    </w:p>
    <w:p w14:paraId="32F669F1" w14:textId="7D474CDE">
      <w:pPr>
        <w:widowControl w:val="0"/>
        <w:tabs>
          <w:tab w:val="left" w:pos="396"/>
          <w:tab w:val="left" w:pos="415"/>
        </w:tabs>
        <w:autoSpaceDE w:val="0"/>
        <w:autoSpaceDN w:val="0"/>
        <w:spacing w:after="0" w:line="240" w:lineRule="auto"/>
        <w:jc w:val="both"/>
        <w:rPr>
          <w:rFonts w:ascii="Times New Roman" w:hAnsi="Times New Roman" w:cs="Times New Roman" w:eastAsia="Times New Roman"/>
          <w:szCs w:val="20"/>
        </w:rPr>
        <w:pStyle w:val="P68B1DB1-Normal14"/>
      </w:pPr>
      <w:r>
        <w:t xml:space="preserve">Le disposizioni nazionali che limitano l'offerta di giochi d'azzardo online o vietano la pubblicità online di tali giochi possono essere considerate "norme relative ai servizi", in quanto riguardano un "servizio della società dell'informazione". Per contro, le disposizioni che impongono un'autorizzazione preventiva per gli operatori che organizzano giochi d'azzardo o che vietano la concessione di tale autorizzazione a operatori privati riguardano le condizioni di stabilimento di imprese e pertanto non costituiscono "norme relative ai servizi".</w:t>
      </w:r>
    </w:p>
    <w:p w14:paraId="156FC50A" w14:textId="77777777">
      <w:pPr>
        <w:widowControl w:val="0"/>
        <w:tabs>
          <w:tab w:val="left" w:pos="396"/>
          <w:tab w:val="left" w:pos="415"/>
        </w:tabs>
        <w:autoSpaceDE w:val="0"/>
        <w:autoSpaceDN w:val="0"/>
        <w:spacing w:after="0" w:line="240" w:lineRule="auto"/>
        <w:jc w:val="both"/>
        <w:rPr>
          <w:rFonts w:ascii="Times New Roman" w:hAnsi="Times New Roman" w:cs="Times New Roman" w:eastAsia="Times New Roman"/>
          <w:szCs w:val="20"/>
        </w:rPr>
      </w:pPr>
    </w:p>
    <w:p w14:paraId="26E8979D" w14:textId="42272F10">
      <w:pPr>
        <w:pStyle w:val="P68B1DB1-Normal15"/>
        <w:widowControl w:val="0"/>
        <w:autoSpaceDE w:val="0"/>
        <w:autoSpaceDN w:val="0"/>
        <w:spacing w:after="0" w:line="240" w:lineRule="auto"/>
        <w:ind w:left="567"/>
        <w:jc w:val="both"/>
      </w:pPr>
      <w:r>
        <w:t xml:space="preserve">"75. [...] talune disposizioni del Trattato relative ai giochi d'azzardo possono essere qualificate come "regole relative ai servizi", nella misura in cui riguardano un "servizio della società dell'informazione" ai sensi dell'articolo 1, punto 2, della direttiva 98/34. Tra tali disposizioni figurano il divieto di offrire giochi d'azzardo su Internet di cui all'art. 4 (4) del Trattato sui giochi d'azzardo, le deroghe a tale divieto di cui all'art. 25 (6) di tale Trattato, le restrizioni all'offerta di scommesse sportive mediante servizi di telecomunicazione ai sensi dell'art. 21 (2) di detto Trattato, nonché il divieto di diffondere annunci pubblicitari di giochi d'azzardo su Internet o tramite apparecchiature di telecomunicazione ai sensi dell'art. 5 (3) di detto Trattato.</w:t>
      </w:r>
    </w:p>
    <w:p w14:paraId="440D35CE" w14:textId="77777777">
      <w:pPr>
        <w:pStyle w:val="P68B1DB1-Normal15"/>
        <w:widowControl w:val="0"/>
        <w:autoSpaceDE w:val="0"/>
        <w:autoSpaceDN w:val="0"/>
        <w:spacing w:after="0" w:line="240" w:lineRule="auto"/>
        <w:ind w:left="567"/>
        <w:jc w:val="both"/>
      </w:pPr>
    </w:p>
    <w:p w14:paraId="7CF19AC0" w14:textId="0AA0DFE8">
      <w:pPr>
        <w:pStyle w:val="P68B1DB1-Normal15"/>
        <w:widowControl w:val="0"/>
        <w:autoSpaceDE w:val="0"/>
        <w:autoSpaceDN w:val="0"/>
        <w:spacing w:after="0" w:line="240" w:lineRule="auto"/>
        <w:ind w:left="567"/>
        <w:jc w:val="both"/>
        <w:rPr>
          <w:iCs/>
        </w:rPr>
      </w:pPr>
      <w:r>
        <w:t xml:space="preserve">76. Per quanto riguarda, invece, le disposizioni del Trattato sui giochi d'azzardo diverse da quelle relative ad un "servizio della società dell'informazione" ai sensi dell'articolo 1, punto 2, della direttiva 98/34, come le disposizioni che introducono l'obbligo di ottenere un'autorizzazione per l'organizzazione o la raccolta di scommesse sportive o che stabiliscono l'impossibilità di rilasciare un'autorizzazione siffatta ad operatori privati, esse non costituiscono "regole tecniche" ai sensi dell'articolo 1, punto 11, di detta direttiva. Disposizioni nazionali che si limitano a stabilire condizioni per lo stabilimento o la prestazione di servizi da parte di imprese, quali le disposizioni che subordinano l'esercizio di un'attività ad un'autorizzazione preventiva, non costituiscono regole tecniche ai sensi di tale disposizione (v., in tal senso, sentenza Lindberg, C-267/03, non ancora pubblicata nella Raccolta, punto 87)."</w:t>
      </w:r>
    </w:p>
    <w:p w14:paraId="284BC1DD" w14:textId="77777777">
      <w:pPr>
        <w:spacing w:after="0" w:line="240" w:lineRule="auto"/>
      </w:pPr>
    </w:p>
    <w:p w14:paraId="792D1FCB" w14:textId="5D8C5452">
      <w:pPr>
        <w:pStyle w:val="P68B1DB1-Normal13"/>
        <w:widowControl w:val="0"/>
        <w:autoSpaceDE w:val="0"/>
        <w:autoSpaceDN w:val="0"/>
        <w:spacing w:after="0" w:line="240" w:lineRule="auto"/>
        <w:jc w:val="both"/>
        <w:outlineLvl w:val="1"/>
      </w:pPr>
      <w:hyperlink r:id="rId49" w:history="1">
        <w:r>
          <w:rPr>
            <w:color w:val="0000FF"/>
            <w:u w:val="single"/>
          </w:rPr>
          <w:t xml:space="preserve">Sentenza della Corte del 13 ottobre 2016</w:t>
        </w:r>
      </w:hyperlink>
      <w:r>
        <w:t xml:space="preserve">, Naczelnik Urzędu Celnego I w</w:t>
        <w:noBreakHyphen/>
        <w:t xml:space="preserve">., C 303/15,</w:t>
      </w:r>
      <w:bookmarkEnd w:id="71"/>
    </w:p>
    <w:p w14:paraId="5329A61B"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Pr>
    </w:p>
    <w:p w14:paraId="0996FF96" w14:textId="3530BD3E">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Style w:val="P68B1DB1-Normal14"/>
      </w:pPr>
      <w:r>
        <w:t xml:space="preserve">Una disposizione che subordina l'esercizio di attività di gioco d'azzardo al possesso di una licenza di esercizio di un casinò non costituisce una "regola relativa ai servizi", in quanto non riguarda un "servizio della società dell'informazione".</w:t>
      </w:r>
    </w:p>
    <w:p w14:paraId="1E1EAAAB"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i/>
          <w:iCs/>
          <w:sz w:val="20"/>
          <w:szCs w:val="16"/>
        </w:rPr>
      </w:pPr>
    </w:p>
    <w:p w14:paraId="7469D564" w14:textId="52BCBAAC">
      <w:pPr>
        <w:pStyle w:val="P68B1DB1-Normal15"/>
        <w:widowControl w:val="0"/>
        <w:tabs>
          <w:tab w:val="left" w:pos="396"/>
          <w:tab w:val="left" w:pos="399"/>
        </w:tabs>
        <w:autoSpaceDE w:val="0"/>
        <w:autoSpaceDN w:val="0"/>
        <w:spacing w:after="0" w:line="240" w:lineRule="auto"/>
        <w:ind w:left="567" w:hanging="142"/>
        <w:jc w:val="both"/>
        <w:rPr>
          <w:iCs/>
        </w:rPr>
      </w:pPr>
      <w:r>
        <w:t>"</w:t>
      </w:r>
      <w:bookmarkStart w:id="72" w:name="point24"/>
      <w:r>
        <w:t>24</w:t>
      </w:r>
      <w:bookmarkEnd w:id="72"/>
      <w:r>
        <w:t xml:space="preserve">. [...] tale disposizione non può rientrare nella categoria delle "norme relative ai servizi [della società dell'informazione]", ai sensi dell'articolo 1, paragrafo 5, della direttiva 98/34, in quanto essa non riguarda un "servizio della società dell'informazione", ai sensi dell'articolo 1, paragrafo 2, di tale direttiva."</w:t>
      </w:r>
    </w:p>
    <w:p w14:paraId="2022FC13" w14:textId="77777777">
      <w:pPr>
        <w:spacing w:after="0" w:line="240" w:lineRule="auto"/>
      </w:pPr>
    </w:p>
    <w:bookmarkStart w:id="73" w:name="_Hlk202362486"/>
    <w:p w14:paraId="3ED876F3" w14:textId="767BC230">
      <w:pPr>
        <w:pStyle w:val="P68B1DB1-Normal13"/>
        <w:widowControl w:val="0"/>
        <w:autoSpaceDE w:val="0"/>
        <w:autoSpaceDN w:val="0"/>
        <w:spacing w:after="0" w:line="240" w:lineRule="auto"/>
        <w:jc w:val="both"/>
        <w:outlineLvl w:val="1"/>
      </w:pPr>
      <w:r>
        <w:fldChar w:fldCharType="begin"/>
      </w:r>
      <w:r>
        <w:instrText>HYPERLINK "https://curia.europa.eu/juris/document/document.jsf?text=&amp;docid=198051&amp;pageIndex=0&amp;doclang=EN&amp;mode=lst&amp;dir=&amp;occ=first&amp;part=1&amp;cid=10880021"</w:instrText>
      </w:r>
      <w:r>
        <w:fldChar w:fldCharType="separate"/>
      </w:r>
      <w:bookmarkStart w:id="74" w:name="_Toc198043830"/>
      <w:r>
        <w:rPr>
          <w:color w:val="0000FF"/>
          <w:u w:val="single"/>
        </w:rPr>
        <w:t xml:space="preserve">Sentenza del 20 dicembre 2017</w:t>
      </w:r>
      <w:r>
        <w:rPr>
          <w:color w:val="0000FF"/>
          <w:u w:val="single"/>
        </w:rPr>
        <w:fldChar w:fldCharType="end"/>
        <w:t xml:space="preserve">, Falbert e a.,</w:t>
        <w:noBreakHyphen/>
        <w:t xml:space="preserve">C 255/16, punti da 27 a 29, 32 e 33</w:t>
      </w:r>
      <w:bookmarkEnd w:id="74"/>
    </w:p>
    <w:bookmarkEnd w:id="73"/>
    <w:p w14:paraId="1158306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6227D8B" w14:textId="4F8DA220">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Le disposizioni nazionali relative ai servizi di gioco o di pubblicità possono costituire "norme relative ai servizi" se riguardano direttamente servizi forniti a distanza, per via elettronica e su richiesta individuale del destinatario. Anche se la formulazione di tali disposizioni non distingue tra servizi online e offline, il loro obiettivo per quanto riguarda i "servizi della società dell'informazione" può essere dedotto dai loro considerando o dai </w:t>
      </w:r>
      <w:r>
        <w:rPr>
          <w:i/>
        </w:rPr>
        <w:t xml:space="preserve">lavori preparatori</w:t>
      </w:r>
      <w:r>
        <w:t>.</w:t>
      </w:r>
    </w:p>
    <w:p w14:paraId="7F177100" w14:textId="77777777">
      <w:pPr>
        <w:widowControl w:val="0"/>
        <w:autoSpaceDE w:val="0"/>
        <w:autoSpaceDN w:val="0"/>
        <w:spacing w:after="0" w:line="240" w:lineRule="auto"/>
        <w:jc w:val="both"/>
        <w:rPr>
          <w:rFonts w:ascii="Times New Roman" w:hAnsi="Times New Roman" w:cs="Times New Roman" w:eastAsia="Times New Roman"/>
          <w:szCs w:val="20"/>
        </w:rPr>
      </w:pPr>
    </w:p>
    <w:p w14:paraId="7F9B9A73" w14:textId="7410A16D">
      <w:pPr>
        <w:pStyle w:val="P68B1DB1-Normal15"/>
        <w:widowControl w:val="0"/>
        <w:autoSpaceDE w:val="0"/>
        <w:autoSpaceDN w:val="0"/>
        <w:spacing w:after="0" w:line="240" w:lineRule="auto"/>
        <w:ind w:left="567"/>
        <w:jc w:val="both"/>
      </w:pPr>
      <w:r>
        <w:t xml:space="preserve">"27. Occorre ricordare che, ai sensi dell'articolo 1, paragrafo 2, di tale direttiva, la nozione di "regola tecnica" comprende unicamente le regolamentazioni relative ai servizi della società dell'informazione, vale a dire qualsiasi servizio prestato a distanza per via elettronica e a richiesta individuale di un destinatario di servizi (v. sentenze del 13 ottobre 2016, M. e S., C-303/15, ecueil, punto 21, e del 1º febbraio 2017, Município de Palmela, C-144/16, punto 28).</w:t>
      </w:r>
    </w:p>
    <w:p w14:paraId="0F8135B3" w14:textId="77777777">
      <w:pPr>
        <w:pStyle w:val="P68B1DB1-Normal15"/>
        <w:widowControl w:val="0"/>
        <w:autoSpaceDE w:val="0"/>
        <w:autoSpaceDN w:val="0"/>
        <w:spacing w:after="0" w:line="240" w:lineRule="auto"/>
        <w:ind w:left="567"/>
        <w:jc w:val="both"/>
      </w:pPr>
    </w:p>
    <w:p w14:paraId="6AF5DAAF" w14:textId="403D67A9">
      <w:pPr>
        <w:pStyle w:val="P68B1DB1-Normal15"/>
        <w:widowControl w:val="0"/>
        <w:autoSpaceDE w:val="0"/>
        <w:autoSpaceDN w:val="0"/>
        <w:spacing w:after="0" w:line="240" w:lineRule="auto"/>
        <w:ind w:left="567"/>
        <w:jc w:val="both"/>
      </w:pPr>
      <w:r>
        <w:t xml:space="preserve">28. A tal riguardo, occorre rilevare che, in linea di principio, l'articolo 10 (3) (3) della legge sui giochi riguarda due tipi di servizi, vale a dire, da un lato, i servizi pubblicitari, che sono immediatamente sanzionati ai sensi di tale disposizione, e, dall'altro, i servizi di gioco che rientrano nel divieto di pubblicità e che costituiscono l'oggetto principale della legge sui giochi d'azzardo, letti nel loro insieme.</w:t>
      </w:r>
    </w:p>
    <w:p w14:paraId="74D3506D" w14:textId="77777777">
      <w:pPr>
        <w:pStyle w:val="P68B1DB1-Normal15"/>
        <w:widowControl w:val="0"/>
        <w:autoSpaceDE w:val="0"/>
        <w:autoSpaceDN w:val="0"/>
        <w:spacing w:after="0" w:line="240" w:lineRule="auto"/>
        <w:ind w:left="567"/>
        <w:jc w:val="both"/>
      </w:pPr>
    </w:p>
    <w:p w14:paraId="5664402E" w14:textId="11E23D14">
      <w:pPr>
        <w:pStyle w:val="P68B1DB1-Normal15"/>
        <w:widowControl w:val="0"/>
        <w:autoSpaceDE w:val="0"/>
        <w:autoSpaceDN w:val="0"/>
        <w:spacing w:after="0" w:line="240" w:lineRule="auto"/>
        <w:ind w:left="567"/>
        <w:jc w:val="both"/>
        <w:rPr>
          <w:iCs/>
        </w:rPr>
      </w:pPr>
      <w:r>
        <w:t xml:space="preserve">29. Tanto i servizi pubblicitari quanto i servizi di gioco d'azzardo, nella misura in cui sono forniti, in particolare, per via elettronica (online), costituiscono "servizi della società dell'informazione" ai sensi dell'articolo 1, paragrafo 2, della direttiva 98/34 e le relative norme che, di conseguenza, possono essere considerate "regole relative ai servizi" ai sensi dell'articolo 1, paragrafo 5, della direttiva 98/34".</w:t>
      </w:r>
    </w:p>
    <w:p w14:paraId="5EFEFCC0" w14:textId="77777777">
      <w:pPr>
        <w:widowControl w:val="0"/>
        <w:autoSpaceDE w:val="0"/>
        <w:autoSpaceDN w:val="0"/>
        <w:spacing w:after="0" w:line="240" w:lineRule="auto"/>
        <w:ind w:left="567"/>
        <w:jc w:val="both"/>
        <w:rPr>
          <w:rFonts w:ascii="Times New Roman" w:hAnsi="Times New Roman" w:cs="Times New Roman" w:eastAsia="Times New Roman"/>
          <w:i/>
          <w:iCs/>
          <w:szCs w:val="20"/>
        </w:rPr>
      </w:pPr>
    </w:p>
    <w:p w14:paraId="41A42BF7" w14:textId="5C64577C">
      <w:pPr>
        <w:pStyle w:val="P68B1DB1-Normal15"/>
        <w:widowControl w:val="0"/>
        <w:autoSpaceDE w:val="0"/>
        <w:autoSpaceDN w:val="0"/>
        <w:spacing w:after="0" w:line="240" w:lineRule="auto"/>
        <w:ind w:left="567"/>
        <w:jc w:val="both"/>
      </w:pPr>
      <w:r>
        <w:t xml:space="preserve">"32. A tal riguardo, occorre rilevare, in primo luogo, che, ai sensi dell'articolo 1, paragrafo 5, primo trattino, della direttiva 98/34, la questione se una norma riguardi specificamente i servizi della società dell'informazione deve essere valutata alla luce sia della motivazione sia del tenore letterale di tale norma. Inoltre, ai sensi della medesima disposizione, non è richiesto che la regola di cui trattasi abbia nel suo insieme "come finalità e obiettivo specifici" di disciplinare servizi della società dell'informazione, poiché è sufficiente che tale regola persegua tale finalità o obiettivo in talune sue disposizioni.</w:t>
      </w:r>
    </w:p>
    <w:p w14:paraId="52376DA8" w14:textId="77777777">
      <w:pPr>
        <w:pStyle w:val="P68B1DB1-Normal15"/>
        <w:widowControl w:val="0"/>
        <w:autoSpaceDE w:val="0"/>
        <w:autoSpaceDN w:val="0"/>
        <w:spacing w:after="0" w:line="240" w:lineRule="auto"/>
        <w:ind w:left="567"/>
        <w:jc w:val="both"/>
      </w:pPr>
    </w:p>
    <w:p w14:paraId="0315D791" w14:textId="4196282E">
      <w:pPr>
        <w:pStyle w:val="P68B1DB1-Normal15"/>
        <w:widowControl w:val="0"/>
        <w:autoSpaceDE w:val="0"/>
        <w:autoSpaceDN w:val="0"/>
        <w:spacing w:after="0" w:line="240" w:lineRule="auto"/>
        <w:ind w:left="567"/>
        <w:jc w:val="both"/>
        <w:rPr>
          <w:iCs/>
        </w:rPr>
      </w:pPr>
      <w:r>
        <w:t xml:space="preserve">33. Di conseguenza, se dal solo tenore letterale di una norma nazionale non risulta che essa miri, almeno in parte, a disciplinare specificamente i servizi della società dell'informazione — come nel caso di specie, in cui il testo non opera alcuna distinzione tra i servizi forniti offline e i servizi forniti online — tale obiettivo può tuttavia essere chiaramente desunto dalla motivazione della norma — sempre come nel caso di specie in forza delle pertinenti norme interpretative nazionali, che consentono, tra l'altro, ai lavori preparatori della norma stessa di fornire indicazioni".</w:t>
      </w:r>
    </w:p>
    <w:p w14:paraId="4FC111DB" w14:textId="77777777">
      <w:pPr>
        <w:spacing w:after="0" w:line="240" w:lineRule="auto"/>
      </w:pPr>
    </w:p>
    <w:p w14:paraId="61BC4E90" w14:textId="11306B2B">
      <w:pPr>
        <w:pStyle w:val="P68B1DB1-Normal13"/>
        <w:widowControl w:val="0"/>
        <w:autoSpaceDE w:val="0"/>
        <w:autoSpaceDN w:val="0"/>
        <w:spacing w:after="0" w:line="240" w:lineRule="auto"/>
        <w:jc w:val="both"/>
        <w:outlineLvl w:val="1"/>
      </w:pPr>
      <w:hyperlink r:id="rId50" w:history="1">
        <w:r>
          <w:rPr>
            <w:color w:val="0000FF"/>
            <w:u w:val="single"/>
          </w:rPr>
          <w:t xml:space="preserve">Sentenza del 20 dicembre 2017</w:t>
        </w:r>
      </w:hyperlink>
      <w:r>
        <w:t xml:space="preserve">, Asociación Profesional Elite Taxi, C</w:t>
        <w:noBreakHyphen/>
        <w:t xml:space="preserve">434/15, punti 37 e da 39 a 41.</w:t>
      </w:r>
      <w:bookmarkEnd w:id="75"/>
    </w:p>
    <w:p w14:paraId="101ED87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D7072DE" w14:textId="5D866F13">
      <w:pPr>
        <w:widowControl w:val="0"/>
        <w:tabs>
          <w:tab w:val="left" w:pos="446"/>
        </w:tabs>
        <w:autoSpaceDE w:val="0"/>
        <w:autoSpaceDN w:val="0"/>
        <w:spacing w:after="0" w:line="240" w:lineRule="auto"/>
        <w:jc w:val="both"/>
        <w:rPr>
          <w:rFonts w:ascii="Times New Roman" w:hAnsi="Times New Roman" w:cs="Times New Roman" w:eastAsia="Times New Roman"/>
          <w:szCs w:val="20"/>
        </w:rPr>
        <w:pStyle w:val="P68B1DB1-Normal14"/>
      </w:pPr>
      <w:r>
        <w:t xml:space="preserve">Un servizio di intermediazione che collega, tramite un'applicazione per smartphone e a titolo oneroso, i conducenti non professionisti che utilizzano i propri veicoli a persone in cerca di trasporto urbano deve essere considerato intrinsecamente connesso a un servizio di trasporto e, pertanto, qualificato come "servizio nel settore dei trasporti" (e non come "servizio della società dell'informazione").</w:t>
      </w:r>
    </w:p>
    <w:p w14:paraId="39437988" w14:textId="77777777">
      <w:pPr>
        <w:widowControl w:val="0"/>
        <w:tabs>
          <w:tab w:val="left" w:pos="446"/>
        </w:tabs>
        <w:autoSpaceDE w:val="0"/>
        <w:autoSpaceDN w:val="0"/>
        <w:spacing w:after="0" w:line="240" w:lineRule="auto"/>
        <w:jc w:val="both"/>
        <w:rPr>
          <w:rFonts w:ascii="Times New Roman" w:hAnsi="Times New Roman" w:cs="Times New Roman" w:eastAsia="Times New Roman"/>
          <w:szCs w:val="20"/>
        </w:rPr>
      </w:pPr>
    </w:p>
    <w:p w14:paraId="2DF36F50" w14:textId="0FDBA667">
      <w:pPr>
        <w:pStyle w:val="P68B1DB1-Normal15"/>
        <w:widowControl w:val="0"/>
        <w:tabs>
          <w:tab w:val="left" w:pos="446"/>
        </w:tabs>
        <w:autoSpaceDE w:val="0"/>
        <w:autoSpaceDN w:val="0"/>
        <w:spacing w:after="0" w:line="240" w:lineRule="auto"/>
        <w:ind w:left="567"/>
        <w:jc w:val="both"/>
        <w:rPr>
          <w:iCs/>
        </w:rPr>
      </w:pPr>
      <w:r>
        <w:t>"</w:t>
      </w:r>
      <w:bookmarkStart w:id="76" w:name="point37"/>
      <w:r>
        <w:t>37</w:t>
      </w:r>
      <w:bookmarkEnd w:id="76"/>
      <w:r>
        <w:t xml:space="preserve">. Occorre tuttavia osservare che un servizio come quello di cui al procedimento principale è più di un servizio di intermediazione consistente nel collegare, mediante un'applicazione per smartphone, un conducente non professionista che utilizza il proprio veicolo a una persona che intende effettuare un viaggio urbano".</w:t>
      </w:r>
    </w:p>
    <w:p w14:paraId="6F022088" w14:textId="77777777">
      <w:pPr>
        <w:widowControl w:val="0"/>
        <w:tabs>
          <w:tab w:val="left" w:pos="446"/>
        </w:tabs>
        <w:autoSpaceDE w:val="0"/>
        <w:autoSpaceDN w:val="0"/>
        <w:spacing w:after="0" w:line="240" w:lineRule="auto"/>
        <w:ind w:left="567"/>
        <w:jc w:val="both"/>
        <w:rPr>
          <w:rFonts w:ascii="Times New Roman" w:hAnsi="Times New Roman" w:cs="Times New Roman" w:eastAsia="Times New Roman"/>
          <w:i/>
          <w:iCs/>
          <w:sz w:val="20"/>
          <w:szCs w:val="16"/>
        </w:rPr>
      </w:pPr>
    </w:p>
    <w:p w14:paraId="311F194E" w14:textId="26FAB3A7">
      <w:pPr>
        <w:pStyle w:val="P68B1DB1-Normal15"/>
        <w:widowControl w:val="0"/>
        <w:tabs>
          <w:tab w:val="left" w:pos="446"/>
        </w:tabs>
        <w:autoSpaceDE w:val="0"/>
        <w:autoSpaceDN w:val="0"/>
        <w:spacing w:after="0" w:line="240" w:lineRule="auto"/>
        <w:ind w:left="567"/>
        <w:jc w:val="both"/>
      </w:pPr>
      <w:r>
        <w:t xml:space="preserve">"39. A tal riguardo, dalle informazioni di cui dispone la Corte emerge che il servizio d'intermediazione della Uber si basa sulla selezione di conducenti non professionisti che utilizzano il proprio veicolo ai quali tale società fornisce un'applicazione senza la quale, da un lato, tali conducenti non sarebbero indotti a fornire servizi di trasporto e, dall'altro, le persone che intendono effettuare uno spostamento nell'aerea urbana non ricorrerebbero ai servizi di tali conducenti. Inoltre, la Uber esercita un'influenza determinante sulle condizioni della prestazione di siffatti conducenti. In relazione a tale ultimo punto, emerge segnatamente che la Uber fissa, mediante l'omonima applicazione, se non altro il prezzo massimo della corsa, che tale società riceve tale somma dal cliente prima di versarne una parte al conducente non professionista del veicolo e che essa esercita un determinato controllo sulla qualità dei veicoli e dei loro conducenti nonché sul comportamento di quest'ultimi, che può portare, se del caso, alla loro esclusione.</w:t>
      </w:r>
    </w:p>
    <w:p w14:paraId="111A8FD1" w14:textId="77777777">
      <w:pPr>
        <w:pStyle w:val="P68B1DB1-Normal15"/>
        <w:widowControl w:val="0"/>
        <w:tabs>
          <w:tab w:val="left" w:pos="446"/>
        </w:tabs>
        <w:autoSpaceDE w:val="0"/>
        <w:autoSpaceDN w:val="0"/>
        <w:spacing w:after="0" w:line="240" w:lineRule="auto"/>
        <w:ind w:left="567"/>
        <w:jc w:val="both"/>
      </w:pPr>
    </w:p>
    <w:p w14:paraId="430C0D88" w14:textId="0D13D8D2">
      <w:pPr>
        <w:pStyle w:val="P68B1DB1-Normal15"/>
        <w:widowControl w:val="0"/>
        <w:tabs>
          <w:tab w:val="left" w:pos="446"/>
        </w:tabs>
        <w:autoSpaceDE w:val="0"/>
        <w:autoSpaceDN w:val="0"/>
        <w:spacing w:after="0" w:line="240" w:lineRule="auto"/>
        <w:ind w:left="567"/>
        <w:jc w:val="both"/>
      </w:pPr>
      <w:r>
        <w:t xml:space="preserve">40. Tale servizio di intermediazione deve quindi essere considerato parte integrante di un servizio globale la cui componente principale è un servizio di trasporto e, pertanto, deve essere qualificato non come "servizio della società dell'informazione", ai sensi dell'articolo 1, paragrafo 2, della direttiva 98/34, cui rinvia l'articolo 2, lettera a), della direttiva 2000/31, bensì come "servizio nel settore dei trasporti", ai sensi dell'articolo 2, paragrafo 2, lettera d), della direttiva 2006/123.</w:t>
      </w:r>
    </w:p>
    <w:p w14:paraId="406FF49F" w14:textId="77777777">
      <w:pPr>
        <w:pStyle w:val="P68B1DB1-Normal15"/>
        <w:widowControl w:val="0"/>
        <w:tabs>
          <w:tab w:val="left" w:pos="446"/>
        </w:tabs>
        <w:autoSpaceDE w:val="0"/>
        <w:autoSpaceDN w:val="0"/>
        <w:spacing w:after="0" w:line="240" w:lineRule="auto"/>
        <w:ind w:left="567"/>
        <w:jc w:val="both"/>
      </w:pPr>
    </w:p>
    <w:p w14:paraId="048208D6" w14:textId="0944F089">
      <w:pPr>
        <w:pStyle w:val="P68B1DB1-Normal15"/>
        <w:widowControl w:val="0"/>
        <w:tabs>
          <w:tab w:val="left" w:pos="446"/>
        </w:tabs>
        <w:autoSpaceDE w:val="0"/>
        <w:autoSpaceDN w:val="0"/>
        <w:spacing w:after="0" w:line="240" w:lineRule="auto"/>
        <w:ind w:left="567"/>
        <w:jc w:val="both"/>
        <w:rPr>
          <w:iCs/>
        </w:rPr>
      </w:pPr>
      <w:r>
        <w:t xml:space="preserve">41. Tale qualificazione è infatti confermata dalla giurisprudenza della Corte, secondo la quale la nozione di "servizi nel settore dei trasporti" comprende non solo i servizi di trasporto in sé, ma anche qualsiasi servizio intrinsecamente connesso a qualsiasi atto fisico consistente nel trasferire persone o merci da un luogo a un altro mediante un mezzo di trasporto [v., in tal senso, sentenza del 15 ottobre 2015, Grupo Itevelesa e a., C-168/14, punti 45 e 46, e parere 2/15 (Accordo di libero scambio con Singapore), del 16 maggio 2017, n. 61]".</w:t>
      </w:r>
    </w:p>
    <w:p w14:paraId="058FA7B6" w14:textId="77777777">
      <w:pPr>
        <w:spacing w:after="0" w:line="240" w:lineRule="auto"/>
      </w:pPr>
    </w:p>
    <w:p w14:paraId="21433E65" w14:textId="390C959B">
      <w:pPr>
        <w:pStyle w:val="P68B1DB1-Normal13"/>
        <w:widowControl w:val="0"/>
        <w:autoSpaceDE w:val="0"/>
        <w:autoSpaceDN w:val="0"/>
        <w:spacing w:after="0" w:line="240" w:lineRule="auto"/>
        <w:jc w:val="both"/>
        <w:outlineLvl w:val="1"/>
      </w:pPr>
      <w:hyperlink r:id="rId51" w:history="1">
        <w:r>
          <w:rPr>
            <w:color w:val="0000FF"/>
            <w:u w:val="single"/>
          </w:rPr>
          <w:t xml:space="preserve">Sentenza della Corte di giustizia del 10 aprile 2018</w:t>
        </w:r>
      </w:hyperlink>
      <w:r>
        <w:t xml:space="preserve">, Uber France</w:t>
        <w:noBreakHyphen/>
        <w:t xml:space="preserve">, C 320/16, punti 21 e 22.</w:t>
      </w:r>
      <w:bookmarkEnd w:id="77"/>
    </w:p>
    <w:p w14:paraId="2BBD650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A1778BB" w14:textId="6B5C30AB">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Una disposizione del diritto nazionale che prevede sanzioni penali per l'organizzazione di un sistema di collegamento dei clienti con i conducenti, senza la necessaria autorizzazione, riguarda un "servizio nel settore dei trasporti" (e non un "servizio della società dell'informazione") in quanto il servizio di intermediazione cui si applica costituisce parte integrante di un servizio globale la cui componente principale è il servizio di trasporto.</w:t>
      </w:r>
    </w:p>
    <w:p w14:paraId="484E7398" w14:textId="77777777">
      <w:pPr>
        <w:widowControl w:val="0"/>
        <w:autoSpaceDE w:val="0"/>
        <w:autoSpaceDN w:val="0"/>
        <w:spacing w:after="0" w:line="240" w:lineRule="auto"/>
        <w:jc w:val="both"/>
        <w:rPr>
          <w:rFonts w:ascii="Times New Roman" w:hAnsi="Times New Roman" w:cs="Times New Roman" w:eastAsia="Times New Roman"/>
          <w:szCs w:val="20"/>
        </w:rPr>
      </w:pPr>
    </w:p>
    <w:p w14:paraId="279EDA7F" w14:textId="32F45CF2">
      <w:pPr>
        <w:pStyle w:val="P68B1DB1-Normal15"/>
        <w:widowControl w:val="0"/>
        <w:autoSpaceDE w:val="0"/>
        <w:autoSpaceDN w:val="0"/>
        <w:spacing w:after="0" w:line="240" w:lineRule="auto"/>
        <w:ind w:left="567"/>
        <w:jc w:val="both"/>
      </w:pPr>
      <w:r>
        <w:t xml:space="preserve">"21. [...] la Corte ha constatato che il servizio di intermediazione fornito dalla società interessata era intrinsecamente connesso all'offerta, da parte di tale società, di servizi di trasporto urbano non pubblico, tenuto conto del fatto che, in primo luogo, tale società ha fornito una domanda senza la quale detti conducenti non sarebbero stati indotti a fornire servizi di trasporto e che le persone che intendevano effettuare un viaggio urbano non avrebbero utilizzato i servizi forniti da tali conducenti e, in secondo luogo, tale società esercitava un'influenza determinante sulle condizioni di prestazione dei servizi da parte di tali conducenti, in particolare, determinando la tariffa massima, raccogliendo tale tariffa dal cliente prima di versarne una parte al conducente non professionista del veicolo ed esercitando un certo controllo sulla qualità dei veicoli, sui conducenti e sul loro comportamento, il che potrebbe, eventualmente, comportare la loro esclusione (v., in tal senso, sentenza del 20 dicembre 2017, Asociación Profesional Elite Taxi, C-434/15, punti 38 e 39).</w:t>
      </w:r>
    </w:p>
    <w:p w14:paraId="14310B36" w14:textId="77777777">
      <w:pPr>
        <w:pStyle w:val="P68B1DB1-Normal15"/>
        <w:widowControl w:val="0"/>
        <w:autoSpaceDE w:val="0"/>
        <w:autoSpaceDN w:val="0"/>
        <w:spacing w:after="0" w:line="240" w:lineRule="auto"/>
        <w:ind w:left="567"/>
        <w:jc w:val="both"/>
      </w:pPr>
    </w:p>
    <w:p w14:paraId="5AB6B3C6" w14:textId="7B9B1FC8">
      <w:pPr>
        <w:pStyle w:val="P68B1DB1-Normal15"/>
        <w:widowControl w:val="0"/>
        <w:autoSpaceDE w:val="0"/>
        <w:autoSpaceDN w:val="0"/>
        <w:spacing w:after="0" w:line="240" w:lineRule="auto"/>
        <w:ind w:left="567"/>
        <w:jc w:val="both"/>
        <w:rPr>
          <w:iCs/>
        </w:rPr>
      </w:pPr>
      <w:r>
        <w:t xml:space="preserve">22. La Corte ha dichiarato, sulla base di tali elementi, che il servizio di intermediazione di cui trattasi in tale causa doveva essere considerato parte integrante di un servizio globale la cui componente principale era un servizio di trasporto e, pertanto, doveva essere qualificato non come "servizio della società dell'informazione", ai sensi dell'articolo 1, paragrafo 2, della direttiva 98/34, bensì come "servizio nel settore dei trasporti", ai sensi dell'articolo 2, paragrafo 2, lettera d), della direttiva 2006/123 (v., in tal senso, sentenza del 20 dicembre 2017, Asociación Profesional Elite Taxi, C-434/15, punto 40)".</w:t>
      </w:r>
    </w:p>
    <w:p w14:paraId="061F40AB" w14:textId="77777777">
      <w:pPr>
        <w:spacing w:after="0" w:line="240" w:lineRule="auto"/>
      </w:pPr>
    </w:p>
    <w:p w14:paraId="3262279E" w14:textId="468F0EDF">
      <w:pPr>
        <w:pStyle w:val="P68B1DB1-Normal13"/>
        <w:widowControl w:val="0"/>
        <w:autoSpaceDE w:val="0"/>
        <w:autoSpaceDN w:val="0"/>
        <w:spacing w:after="0" w:line="240" w:lineRule="auto"/>
        <w:jc w:val="both"/>
        <w:outlineLvl w:val="1"/>
      </w:pPr>
      <w:hyperlink r:id="rId52" w:history="1">
        <w:r>
          <w:rPr>
            <w:color w:val="0000FF"/>
            <w:u w:val="single"/>
          </w:rPr>
          <w:t xml:space="preserve">Sentenza della Corte di giustizia del 26 settembre 2018</w:t>
        </w:r>
      </w:hyperlink>
      <w:r>
        <w:t xml:space="preserve">, Van Gennip e a., C-137/17, punti 42 e 43.</w:t>
      </w:r>
      <w:bookmarkEnd w:id="78"/>
    </w:p>
    <w:p w14:paraId="7A96B26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0CD5B8C" w14:textId="4108D99A">
      <w:pPr>
        <w:widowControl w:val="0"/>
        <w:tabs>
          <w:tab w:val="left" w:pos="404"/>
        </w:tabs>
        <w:autoSpaceDE w:val="0"/>
        <w:autoSpaceDN w:val="0"/>
        <w:spacing w:after="0" w:line="240" w:lineRule="auto"/>
        <w:jc w:val="both"/>
        <w:rPr>
          <w:rFonts w:ascii="Times New Roman" w:hAnsi="Times New Roman" w:cs="Times New Roman" w:eastAsia="Times New Roman"/>
          <w:szCs w:val="20"/>
        </w:rPr>
        <w:pStyle w:val="P68B1DB1-Normal14"/>
      </w:pPr>
      <w:r>
        <w:t xml:space="preserve">Le disposizioni nazionali che subordinano la commercializzazione dei prodotti al possesso di un'autorizzazione da parte dell'acquirente non rientrano nella nozione di "regola relativa ai servizi", in quanto non riguardano i "servizi della società dell'informazione".</w:t>
      </w:r>
    </w:p>
    <w:p w14:paraId="5542E2DA" w14:textId="77777777">
      <w:pPr>
        <w:widowControl w:val="0"/>
        <w:tabs>
          <w:tab w:val="left" w:pos="404"/>
        </w:tabs>
        <w:autoSpaceDE w:val="0"/>
        <w:autoSpaceDN w:val="0"/>
        <w:spacing w:after="0" w:line="240" w:lineRule="auto"/>
        <w:jc w:val="both"/>
        <w:rPr>
          <w:rFonts w:ascii="Times New Roman" w:hAnsi="Times New Roman" w:cs="Times New Roman" w:eastAsia="Times New Roman"/>
          <w:i/>
          <w:iCs/>
          <w:sz w:val="20"/>
          <w:szCs w:val="16"/>
        </w:rPr>
      </w:pPr>
    </w:p>
    <w:p w14:paraId="725B02E1" w14:textId="700F7E6F">
      <w:pPr>
        <w:pStyle w:val="P68B1DB1-Normal15"/>
        <w:widowControl w:val="0"/>
        <w:tabs>
          <w:tab w:val="left" w:pos="404"/>
        </w:tabs>
        <w:autoSpaceDE w:val="0"/>
        <w:autoSpaceDN w:val="0"/>
        <w:spacing w:after="0" w:line="240" w:lineRule="auto"/>
        <w:ind w:left="567"/>
        <w:jc w:val="both"/>
      </w:pPr>
      <w:r>
        <w:t xml:space="preserve">"42. Per quanto riguarda, in terzo luogo, la categoria "regola relativa ai servizi", occorre ricordare che, ai sensi dell'articolo 1, punto 5, della direttiva 98/34, una siffatta norma costituisce qualsiasi requisito di carattere generale relativo all'accesso ai servizi di cui all'articolo 1, punto 2, di tale direttiva e al loro esercizio, che designano "qualsiasi servizio della società dell'informazione, vale a dire qualsiasi servizio prestato normalmente dietro retribuzione, a distanza, per via elettronica e a richiesta individuale di un destinatario di servizi" (sentenza del 4 febbraio 2016, Ince, C-336/14, punti 74).</w:t>
      </w:r>
    </w:p>
    <w:p w14:paraId="288A6CC6" w14:textId="77777777">
      <w:pPr>
        <w:pStyle w:val="P68B1DB1-Normal15"/>
        <w:widowControl w:val="0"/>
        <w:tabs>
          <w:tab w:val="left" w:pos="404"/>
        </w:tabs>
        <w:autoSpaceDE w:val="0"/>
        <w:autoSpaceDN w:val="0"/>
        <w:spacing w:after="0" w:line="240" w:lineRule="auto"/>
        <w:ind w:left="567"/>
        <w:jc w:val="both"/>
      </w:pPr>
    </w:p>
    <w:p w14:paraId="3C78C196" w14:textId="64CBA9D2">
      <w:pPr>
        <w:pStyle w:val="P68B1DB1-Normal15"/>
        <w:widowControl w:val="0"/>
        <w:tabs>
          <w:tab w:val="left" w:pos="404"/>
        </w:tabs>
        <w:autoSpaceDE w:val="0"/>
        <w:autoSpaceDN w:val="0"/>
        <w:spacing w:after="0" w:line="240" w:lineRule="auto"/>
        <w:ind w:left="567"/>
        <w:jc w:val="both"/>
        <w:rPr>
          <w:iCs/>
        </w:rPr>
      </w:pPr>
      <w:r>
        <w:t xml:space="preserve">43. Nella fattispecie, si deve constatare, come ha fatto valere l'avvocato generale al paragrafo 73 delle sue conclusioni, che la normativa di cui trattasi nel procedimento principale non riguarda i servizi della società dell'informazione, ai sensi dell'articolo 1, punto 2, della direttiva 98/34. Pertanto, tale normativa non può rientrare nella categoria "regola relativa ai servizi" della società dell'informazione, ai sensi dell'articolo 1, punto 5, di tale direttiva."</w:t>
      </w:r>
    </w:p>
    <w:p w14:paraId="09A4A6F8" w14:textId="77777777">
      <w:pPr>
        <w:spacing w:after="0" w:line="240" w:lineRule="auto"/>
      </w:pPr>
    </w:p>
    <w:p w14:paraId="037D644A" w14:textId="0A9F4072">
      <w:pPr>
        <w:pStyle w:val="P68B1DB1-Normal13"/>
        <w:widowControl w:val="0"/>
        <w:autoSpaceDE w:val="0"/>
        <w:autoSpaceDN w:val="0"/>
        <w:spacing w:after="0" w:line="240" w:lineRule="auto"/>
        <w:jc w:val="both"/>
        <w:outlineLvl w:val="1"/>
      </w:pPr>
      <w:hyperlink r:id="rId53" w:history="1">
        <w:r>
          <w:rPr>
            <w:color w:val="0000FF"/>
            <w:u w:val="single"/>
          </w:rPr>
          <w:t xml:space="preserve">Sentenza della Corte di giustizia del 12 settembre 2019</w:t>
        </w:r>
      </w:hyperlink>
      <w:r>
        <w:t xml:space="preserve">, VG Media, C-299/17, punti 32, 33 e 36.</w:t>
      </w:r>
      <w:bookmarkEnd w:id="79"/>
    </w:p>
    <w:p w14:paraId="7C7D0A2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D8C5548" w14:textId="77777777">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Una disposizione nazionale che vieta ai gestori commerciali di motori di ricerca e ai fornitori di servizi di contenuti commerciali di mettere giornali a disposizione del pubblico costituisce una "regola tecnica" e deve essere notificata alla Commissione.</w:t>
      </w:r>
    </w:p>
    <w:p w14:paraId="0BB0ABF6" w14:textId="77777777">
      <w:pPr>
        <w:widowControl w:val="0"/>
        <w:autoSpaceDE w:val="0"/>
        <w:autoSpaceDN w:val="0"/>
        <w:spacing w:after="0" w:line="240" w:lineRule="auto"/>
        <w:jc w:val="both"/>
        <w:rPr>
          <w:rFonts w:ascii="Times New Roman" w:hAnsi="Times New Roman" w:cs="Times New Roman" w:eastAsia="Times New Roman"/>
          <w:szCs w:val="20"/>
        </w:rPr>
      </w:pPr>
    </w:p>
    <w:p w14:paraId="358DF62E" w14:textId="3E77F068">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Si ritiene che una norma riguardi specificamente i "servizi della società dell'informazione" se talune disposizioni perseguono tale obiettivo, anche se non è lo scopo esclusivo della norma. Tale obiettivo può essere desunto dalla motivazione della norma, che può figurare nei lavori preparatori, anche se non risulta esplicitamente dal testo della norma stessa.</w:t>
      </w:r>
    </w:p>
    <w:p w14:paraId="2BFD5FE9" w14:textId="77777777">
      <w:pPr>
        <w:widowControl w:val="0"/>
        <w:autoSpaceDE w:val="0"/>
        <w:autoSpaceDN w:val="0"/>
        <w:spacing w:after="0" w:line="240" w:lineRule="auto"/>
        <w:jc w:val="both"/>
        <w:rPr>
          <w:rFonts w:ascii="Times New Roman" w:hAnsi="Times New Roman" w:cs="Times New Roman" w:eastAsia="Times New Roman"/>
          <w:szCs w:val="20"/>
        </w:rPr>
      </w:pPr>
    </w:p>
    <w:p w14:paraId="2032E553" w14:textId="2A9A7661">
      <w:pPr>
        <w:pStyle w:val="P68B1DB1-Normal15"/>
        <w:widowControl w:val="0"/>
        <w:autoSpaceDE w:val="0"/>
        <w:autoSpaceDN w:val="0"/>
        <w:spacing w:after="0" w:line="240" w:lineRule="auto"/>
        <w:ind w:left="567"/>
        <w:jc w:val="both"/>
      </w:pPr>
      <w:r>
        <w:t xml:space="preserve">"32. A tal riguardo, occorre ricordare che, ai sensi dell'articolo 1, paragrafo 5, primo trattino, di tale direttiva, una norma è considerata come riguardante specificamente i servizi della società dell'informazione, tenuto conto tanto della sua motivazione quanto del suo dispositivo. Inoltre, ai sensi della stessa disposizione, non è necessario che "lo scopo e l'oggetto specifici" dell'insieme della norma di cui trattasi sia quello di disciplinare i servizi della società dell'informazione, in quanto è sufficiente che tale norma persegua tale scopo o tale obiettivo in alcune delle sue disposizioni (sentenza del 20 dicembre 2017, Falbert e a., C-255/16, punto 32).</w:t>
      </w:r>
    </w:p>
    <w:p w14:paraId="5B946C01" w14:textId="77777777">
      <w:pPr>
        <w:pStyle w:val="P68B1DB1-Normal15"/>
        <w:widowControl w:val="0"/>
        <w:autoSpaceDE w:val="0"/>
        <w:autoSpaceDN w:val="0"/>
        <w:spacing w:after="0" w:line="240" w:lineRule="auto"/>
        <w:ind w:left="567"/>
        <w:jc w:val="both"/>
      </w:pPr>
    </w:p>
    <w:p w14:paraId="6C09ADB6" w14:textId="15077D61">
      <w:pPr>
        <w:pStyle w:val="P68B1DB1-Normal15"/>
        <w:widowControl w:val="0"/>
        <w:autoSpaceDE w:val="0"/>
        <w:autoSpaceDN w:val="0"/>
        <w:spacing w:after="0" w:line="240" w:lineRule="auto"/>
        <w:ind w:left="567"/>
        <w:jc w:val="both"/>
        <w:rPr>
          <w:iCs/>
        </w:rPr>
      </w:pPr>
      <w:r>
        <w:t xml:space="preserve">33. Inoltre, anche qualora dal solo tenore letterale di una norma nazionale non risulti che essa miri, almeno in parte, a disciplinare specificamente i servizi della società dell'informazione, tale oggetto può tuttavia essere chiaramente desunto dalla motivazione di tale norma, quale risulta dalle norme interpretative nazionali in materia, in particolare dai lavori preparatori della norma (v., in tal senso, sentenza del 20 dicembre 2017, Falbert e a., C-255/16, punto 33)".</w:t>
      </w:r>
    </w:p>
    <w:p w14:paraId="4A5A1EDF" w14:textId="77777777">
      <w:pPr>
        <w:widowControl w:val="0"/>
        <w:autoSpaceDE w:val="0"/>
        <w:autoSpaceDN w:val="0"/>
        <w:spacing w:after="0" w:line="240" w:lineRule="auto"/>
        <w:ind w:left="567"/>
        <w:jc w:val="both"/>
        <w:rPr>
          <w:rFonts w:ascii="Times New Roman" w:hAnsi="Times New Roman" w:cs="Times New Roman" w:eastAsia="Times New Roman"/>
          <w:i/>
          <w:iCs/>
          <w:sz w:val="20"/>
          <w:szCs w:val="16"/>
        </w:rPr>
      </w:pPr>
    </w:p>
    <w:p w14:paraId="7E5F1F4F" w14:textId="288395A0">
      <w:pPr>
        <w:pStyle w:val="P68B1DB1-Normal15"/>
        <w:widowControl w:val="0"/>
        <w:autoSpaceDE w:val="0"/>
        <w:autoSpaceDN w:val="0"/>
        <w:spacing w:after="0" w:line="240" w:lineRule="auto"/>
        <w:ind w:left="567"/>
        <w:jc w:val="both"/>
        <w:rPr>
          <w:iCs/>
        </w:rPr>
      </w:pPr>
      <w:r>
        <w:t>"</w:t>
      </w:r>
      <w:bookmarkStart w:id="80" w:name="point36"/>
      <w:r>
        <w:t>36</w:t>
      </w:r>
      <w:bookmarkEnd w:id="80"/>
      <w:r>
        <w:t xml:space="preserve">. Infatti, se è vero che il giudice del rinvio non fornisce indicazioni chiare sulla finalità e sull'obiettivo specifici della normativa nazionale di cui al procedimento principale, si evince tuttavia dalle osservazioni sottoposte dal governo tedesco al momento dell'udienza dinanzi alla Corte che, inizialmente, la modifica dell'UrhG riguardava specificatamente i fornitori di servizi di motori di ricerca su Internet. Inoltre, le parti nel procedimento principale e la Commissione indicano, nelle loro osservazioni scritte, che l'obiettivo di tale normativa era di tutelare gli interessi legittimi degli editori di giornali e periodici nel mondo digitale. Risulta, dunque, che l'obiettivo principale e la finalità della disposizione nazionale di cui al procedimento principale fossero di proteggere tali editori dalle violazioni del diritto d'autore da parte dei motori di ricerca online. In tale contesto, la protezione sembra essere stata ritenuta necessaria solo per violazioni sistematiche delle opere degli editori online da parte dei prestatori di servizi della società dell'informazione."</w:t>
      </w:r>
    </w:p>
    <w:p w14:paraId="5918FFD9" w14:textId="77777777">
      <w:pPr>
        <w:spacing w:after="0" w:line="240" w:lineRule="auto"/>
      </w:pPr>
    </w:p>
    <w:p w14:paraId="76F47905" w14:textId="651D9AB2">
      <w:pPr>
        <w:pStyle w:val="P68B1DB1-Normal13"/>
        <w:spacing w:after="0" w:line="240" w:lineRule="auto"/>
      </w:pPr>
      <w:hyperlink r:id="rId54" w:history="1">
        <w:r>
          <w:rPr>
            <w:color w:val="0000FF"/>
            <w:u w:val="single"/>
          </w:rPr>
          <w:t xml:space="preserve">Sentenza del 19 dicembre 2019</w:t>
        </w:r>
      </w:hyperlink>
      <w:r>
        <w:t xml:space="preserve">, Airbnb Ireland, C</w:t>
        <w:noBreakHyphen/>
        <w:t xml:space="preserve">390/18, punti da 64 a 68 e 99.</w:t>
      </w:r>
    </w:p>
    <w:p w14:paraId="1BD3BE16" w14:textId="77777777">
      <w:pPr>
        <w:widowControl w:val="0"/>
        <w:autoSpaceDE w:val="0"/>
        <w:autoSpaceDN w:val="0"/>
        <w:spacing w:after="0" w:line="240" w:lineRule="auto"/>
        <w:jc w:val="both"/>
        <w:rPr>
          <w:rFonts w:ascii="Times New Roman" w:hAnsi="Times New Roman" w:cs="Times New Roman" w:eastAsia="Times New Roman"/>
          <w:szCs w:val="20"/>
        </w:rPr>
      </w:pPr>
    </w:p>
    <w:p w14:paraId="5CA625E2" w14:textId="77777777">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Un servizio di intermediazione che mette in contatto i clienti con i locatori che offrono alloggi a breve termine tramite una piattaforma elettronica, pur fornendo servizi accessori, costituisce un "servizio della società dell'informazione" in quanto i servizi accessori non conferiscono un'influenza significativa sulla prestazione dei servizi di alloggio.</w:t>
      </w:r>
    </w:p>
    <w:p w14:paraId="6D083E5E" w14:textId="77777777">
      <w:pPr>
        <w:widowControl w:val="0"/>
        <w:autoSpaceDE w:val="0"/>
        <w:autoSpaceDN w:val="0"/>
        <w:spacing w:after="0" w:line="240" w:lineRule="auto"/>
        <w:jc w:val="both"/>
        <w:rPr>
          <w:rFonts w:ascii="Times New Roman" w:hAnsi="Times New Roman" w:cs="Times New Roman" w:eastAsia="Times New Roman"/>
          <w:szCs w:val="20"/>
        </w:rPr>
      </w:pPr>
    </w:p>
    <w:p w14:paraId="42B56B92" w14:textId="704D923C">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Per essere qualificato come "servizio della società dell'informazione", un servizio deve soddisfare cumulativamente quattro condizioni: essa deve essere fornita dietro retribuzione, a distanza, per via elettronica e su richiesta individuale del destinatario.</w:t>
      </w:r>
    </w:p>
    <w:p w14:paraId="1136EA60" w14:textId="77777777">
      <w:pPr>
        <w:widowControl w:val="0"/>
        <w:autoSpaceDE w:val="0"/>
        <w:autoSpaceDN w:val="0"/>
        <w:spacing w:after="0" w:line="240" w:lineRule="auto"/>
        <w:jc w:val="both"/>
        <w:rPr>
          <w:rFonts w:ascii="Times New Roman" w:hAnsi="Times New Roman" w:cs="Times New Roman" w:eastAsia="Times New Roman"/>
          <w:szCs w:val="20"/>
        </w:rPr>
      </w:pPr>
    </w:p>
    <w:p w14:paraId="6389A1A6" w14:textId="0A8C6391">
      <w:pPr>
        <w:pStyle w:val="P68B1DB1-Normal15"/>
        <w:widowControl w:val="0"/>
        <w:autoSpaceDE w:val="0"/>
        <w:autoSpaceDN w:val="0"/>
        <w:spacing w:after="0" w:line="240" w:lineRule="auto"/>
        <w:ind w:left="567"/>
        <w:jc w:val="both"/>
      </w:pPr>
      <w:r>
        <w:t xml:space="preserve">"64. Persino considerate nel loro insieme, le prestazioni, opzionali o meno, fornite dalla Airbnb Ireland e ricordate nei punti da 59 a 63 della presente sentenza, non consentono di rimettere in discussione la natura distinta del servizio di mediazione fornito da questa società e pertanto la sua qualificazione come "servizio della società dell'informazione", a meno di non voler modificare sostanzialmente le specifiche caratteristiche di questo servizio. A tal riguardo, sarebbe del resto paradossale che siffatte prestazioni accessorie a valore aggiunto, fornite da una piattaforma elettronica ai propri clienti al fine, segnatamente, di distinguersi dai propri concorrenti, possano condurre, in mancanza di elementi aggiuntivi, a modificare la natura e pertanto la qualificazione giuridica dell'attività di quest'ultima, come rilevato dall'avvocato generale nel paragrafo 46 delle sue conclusioni.</w:t>
      </w:r>
    </w:p>
    <w:p w14:paraId="320B5232" w14:textId="77777777">
      <w:pPr>
        <w:pStyle w:val="P68B1DB1-Normal15"/>
        <w:widowControl w:val="0"/>
        <w:autoSpaceDE w:val="0"/>
        <w:autoSpaceDN w:val="0"/>
        <w:spacing w:after="0" w:line="240" w:lineRule="auto"/>
        <w:ind w:left="567"/>
        <w:jc w:val="both"/>
      </w:pPr>
    </w:p>
    <w:p w14:paraId="775D096C" w14:textId="35786B0F">
      <w:pPr>
        <w:pStyle w:val="P68B1DB1-Normal15"/>
        <w:widowControl w:val="0"/>
        <w:autoSpaceDE w:val="0"/>
        <w:autoSpaceDN w:val="0"/>
        <w:spacing w:after="0" w:line="240" w:lineRule="auto"/>
        <w:ind w:left="567"/>
        <w:jc w:val="both"/>
      </w:pPr>
      <w:r>
        <w:t xml:space="preserve">65. Inoltre, e contrariamente a quanto sostengono l'AHTOP e il governo francese, le modalità di funzionamento di un servizio di intermediazione come quello fornito dall'Airbnb non possono essere equiparate a quelle del servizio di intermediazione che ha dato luogo alle sentenze del 20 dicembre 2017, Asociación Profesional Elite Taxi (C-434/15, dritto, punto 39), e del 10 aprile 2018, Uber France (C-320/16, punto 21).</w:t>
      </w:r>
    </w:p>
    <w:p w14:paraId="473F7C74" w14:textId="77777777">
      <w:pPr>
        <w:pStyle w:val="P68B1DB1-Normal15"/>
        <w:widowControl w:val="0"/>
        <w:autoSpaceDE w:val="0"/>
        <w:autoSpaceDN w:val="0"/>
        <w:spacing w:after="0" w:line="240" w:lineRule="auto"/>
        <w:ind w:left="567"/>
        <w:jc w:val="both"/>
      </w:pPr>
    </w:p>
    <w:p w14:paraId="699650AB" w14:textId="336149BD">
      <w:pPr>
        <w:pStyle w:val="P68B1DB1-Normal15"/>
        <w:widowControl w:val="0"/>
        <w:autoSpaceDE w:val="0"/>
        <w:autoSpaceDN w:val="0"/>
        <w:spacing w:after="0" w:line="240" w:lineRule="auto"/>
        <w:ind w:left="567"/>
        <w:jc w:val="both"/>
      </w:pPr>
      <w:r>
        <w:t xml:space="preserve">66. A parte il fatto che dette sentenze si iscrivevano nel contesto specifico del trasporto urbano di persone, al quale si applica l'articolo 58, paragrafo 1, TFUE e che i servizi forniti dalla Airbnb Ireland non sono paragonabili a quelli oggetto delle cause che hanno condotto alle sentenze ricordate nel punto precedente, le prestazioni accessorie ricordate nei punti da 59 a 63 della presente sentenza non consentono di porre in evidenza il livello di controllo constatato dalla Corte in dette sentenze.</w:t>
      </w:r>
    </w:p>
    <w:p w14:paraId="46A1AADB" w14:textId="77777777">
      <w:pPr>
        <w:pStyle w:val="P68B1DB1-Normal15"/>
        <w:widowControl w:val="0"/>
        <w:autoSpaceDE w:val="0"/>
        <w:autoSpaceDN w:val="0"/>
        <w:spacing w:after="0" w:line="240" w:lineRule="auto"/>
        <w:ind w:left="567"/>
        <w:jc w:val="both"/>
      </w:pPr>
    </w:p>
    <w:p w14:paraId="43245B44" w14:textId="73F9E124">
      <w:pPr>
        <w:pStyle w:val="P68B1DB1-Normal15"/>
        <w:widowControl w:val="0"/>
        <w:autoSpaceDE w:val="0"/>
        <w:autoSpaceDN w:val="0"/>
        <w:spacing w:after="0" w:line="240" w:lineRule="auto"/>
        <w:ind w:left="567"/>
        <w:jc w:val="both"/>
      </w:pPr>
      <w:r>
        <w:t xml:space="preserve">67. In tal senso, la Corte ha precisato, in tali sentenze, che la Uber esercitava un'influenza determinante sulle condizioni in cui i servizi di trasporto erano forniti dai conducenti non professionisti utilizzando la domanda loro messa a disposizione da tale società (sentenze del 20 dicembre 2017, Asociación Profesional Elite Taxi, C-434/15, ecueil, punto 39, e del 10 aprile 2018, Uber France, C-320/16, punto 21).</w:t>
      </w:r>
    </w:p>
    <w:p w14:paraId="64CE1305" w14:textId="77777777">
      <w:pPr>
        <w:pStyle w:val="P68B1DB1-Normal15"/>
        <w:widowControl w:val="0"/>
        <w:autoSpaceDE w:val="0"/>
        <w:autoSpaceDN w:val="0"/>
        <w:spacing w:after="0" w:line="240" w:lineRule="auto"/>
        <w:ind w:left="567"/>
        <w:jc w:val="both"/>
      </w:pPr>
    </w:p>
    <w:p w14:paraId="44EC953C" w14:textId="0BF6EC00">
      <w:pPr>
        <w:pStyle w:val="P68B1DB1-Normal15"/>
        <w:widowControl w:val="0"/>
        <w:autoSpaceDE w:val="0"/>
        <w:autoSpaceDN w:val="0"/>
        <w:spacing w:after="0" w:line="240" w:lineRule="auto"/>
        <w:ind w:left="567"/>
        <w:jc w:val="both"/>
      </w:pPr>
      <w:r>
        <w:t xml:space="preserve">68. Gli elementi menzionati dal giudice del rinvio e ricordati al punto 19 della presente sentenza non dimostrano che la Airbnb Ireland eserciti una siffatta influenza determinante sulle condizioni di prestazione dei servizi di alloggio cui si riferisce il suo servizio di intermediazione, tanto più che l'Airbnb Ireland non determina, direttamente o indirettamente, il prezzo di locazione applicato, come è stato constatato ai punti 56 e 62 della presente sentenza, né tanto meno sceglie i locatori o gli alloggi messi in locazione sulla sua piattaforma."</w:t>
      </w:r>
    </w:p>
    <w:p w14:paraId="4325E66E" w14:textId="77777777">
      <w:pPr>
        <w:widowControl w:val="0"/>
        <w:autoSpaceDE w:val="0"/>
        <w:autoSpaceDN w:val="0"/>
        <w:spacing w:after="0" w:line="240" w:lineRule="auto"/>
        <w:ind w:left="567"/>
        <w:jc w:val="both"/>
        <w:rPr>
          <w:rFonts w:ascii="Times New Roman" w:hAnsi="Times New Roman" w:cs="Times New Roman" w:eastAsia="Times New Roman"/>
          <w:i/>
          <w:iCs/>
          <w:sz w:val="20"/>
          <w:szCs w:val="16"/>
        </w:rPr>
      </w:pPr>
    </w:p>
    <w:p w14:paraId="2005D651" w14:textId="190F88B2">
      <w:pPr>
        <w:pStyle w:val="P68B1DB1-Normal15"/>
        <w:widowControl w:val="0"/>
        <w:autoSpaceDE w:val="0"/>
        <w:autoSpaceDN w:val="0"/>
        <w:spacing w:after="0" w:line="240" w:lineRule="auto"/>
        <w:ind w:left="567"/>
        <w:jc w:val="both"/>
        <w:rPr>
          <w:iCs/>
        </w:rPr>
      </w:pPr>
      <w:r>
        <w:t>"</w:t>
      </w:r>
      <w:bookmarkStart w:id="81" w:name="point99"/>
      <w:r>
        <w:t>99</w:t>
      </w:r>
      <w:bookmarkEnd w:id="81"/>
      <w:r>
        <w:t xml:space="preserve">. Tenuto conto del fatto che la Repubblica francese non ha notificato la legge Hoguet e tenuto conto del carattere cumulativo delle condizioni di cui all'articolo 3, paragrafo 4, della direttiva 2000/31, ricordate ai punti 84 e 85 della presente sentenza, si deve ritenere che tale legge non possa, in ogni caso, essere applicata a un singolo che si trovi in una situazione come quella della Airbnb Ireland nel procedimento principale, indipendentemente dalla questione se tale legge soddisfi le altre condizioni previste da tale disposizione."</w:t>
      </w:r>
    </w:p>
    <w:p w14:paraId="261461B1" w14:textId="77777777">
      <w:pPr>
        <w:spacing w:after="0" w:line="240" w:lineRule="auto"/>
      </w:pPr>
    </w:p>
    <w:p w14:paraId="602C58A9" w14:textId="0E3EBA31">
      <w:pPr>
        <w:pStyle w:val="P68B1DB1-Normal13"/>
        <w:widowControl w:val="0"/>
        <w:autoSpaceDE w:val="0"/>
        <w:autoSpaceDN w:val="0"/>
        <w:spacing w:after="0" w:line="240" w:lineRule="auto"/>
        <w:jc w:val="both"/>
        <w:outlineLvl w:val="1"/>
      </w:pPr>
      <w:hyperlink r:id="rId55" w:history="1">
        <w:r>
          <w:rPr>
            <w:color w:val="0000FF"/>
            <w:u w:val="single"/>
          </w:rPr>
          <w:t xml:space="preserve">Sentenza del 22 ottobre 2020</w:t>
        </w:r>
      </w:hyperlink>
      <w:r>
        <w:t xml:space="preserve">, Sportingbet e Internet Opportunity Entertainment, C</w:t>
        <w:noBreakHyphen/>
        <w:t xml:space="preserve">275/19, punti da 47 a 49.</w:t>
      </w:r>
      <w:bookmarkEnd w:id="82"/>
    </w:p>
    <w:p w14:paraId="20524501"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F2E09A3" w14:textId="049CB57F">
      <w:pPr>
        <w:pStyle w:val="P68B1DB1-Normal14"/>
        <w:widowControl w:val="0"/>
        <w:autoSpaceDE w:val="0"/>
        <w:autoSpaceDN w:val="0"/>
        <w:spacing w:after="0" w:line="240" w:lineRule="auto"/>
        <w:jc w:val="both"/>
        <w:outlineLvl w:val="1"/>
      </w:pPr>
      <w:bookmarkStart w:id="83" w:name="_Toc198043836"/>
      <w:r>
        <w:t xml:space="preserve">Una normativa che conferisce ad un ente pubblico il diritto esclusivo di gestire determinati giochi d'azzardo, anche su Internet, rientra nella nozione di "regole relative ai servizi" nella misura in cui esse riguardano un servizio della società dell'informazione.</w:t>
      </w:r>
      <w:bookmarkEnd w:id="83"/>
    </w:p>
    <w:p w14:paraId="7434769F" w14:textId="77777777">
      <w:pPr>
        <w:widowControl w:val="0"/>
        <w:autoSpaceDE w:val="0"/>
        <w:autoSpaceDN w:val="0"/>
        <w:spacing w:after="0" w:line="240" w:lineRule="auto"/>
        <w:jc w:val="both"/>
        <w:outlineLvl w:val="1"/>
        <w:rPr>
          <w:rFonts w:ascii="Times New Roman" w:hAnsi="Times New Roman" w:cs="Times New Roman" w:eastAsia="Times New Roman"/>
          <w:szCs w:val="20"/>
        </w:rPr>
      </w:pPr>
    </w:p>
    <w:p w14:paraId="312EA22E" w14:textId="5FE50AED">
      <w:pPr>
        <w:pStyle w:val="P68B1DB1-Normal15"/>
        <w:widowControl w:val="0"/>
        <w:autoSpaceDE w:val="0"/>
        <w:autoSpaceDN w:val="0"/>
        <w:spacing w:after="0" w:line="240" w:lineRule="auto"/>
        <w:ind w:left="567"/>
        <w:jc w:val="both"/>
        <w:outlineLvl w:val="1"/>
        <w:rPr>
          <w:bCs/>
        </w:rPr>
      </w:pPr>
      <w:bookmarkStart w:id="84" w:name="_Toc198043837"/>
      <w:r>
        <w:t xml:space="preserve">"47. Ai sensi dell'articolo 1, paragrafo 5, di tale direttiva, per "norme relative ai servizi" si intendono tutte le prescrizioni di carattere generale relative all'accesso alle attività di servizi di cui all'articolo 1, paragrafo 2, della medesima direttiva e al loro esercizio, tra le quali rientrano "qualsiasi servizio della società dell'informazione, vale a dire qualsiasi servizio prestato normalmente dietro retribuzione, a distanza, per via elettronica e a richiesta individuale di un destinatario di servizi".</w:t>
      </w:r>
      <w:bookmarkEnd w:id="84"/>
    </w:p>
    <w:p w14:paraId="65107F99" w14:textId="77777777">
      <w:pPr>
        <w:pStyle w:val="P68B1DB1-Normal15"/>
        <w:widowControl w:val="0"/>
        <w:autoSpaceDE w:val="0"/>
        <w:autoSpaceDN w:val="0"/>
        <w:spacing w:after="0" w:line="240" w:lineRule="auto"/>
        <w:ind w:left="567"/>
        <w:jc w:val="both"/>
        <w:outlineLvl w:val="1"/>
        <w:rPr>
          <w:bCs/>
        </w:rPr>
      </w:pPr>
    </w:p>
    <w:p w14:paraId="44FBF5F6" w14:textId="02996DEF">
      <w:pPr>
        <w:pStyle w:val="P68B1DB1-Normal15"/>
        <w:widowControl w:val="0"/>
        <w:autoSpaceDE w:val="0"/>
        <w:autoSpaceDN w:val="0"/>
        <w:spacing w:after="0" w:line="240" w:lineRule="auto"/>
        <w:ind w:left="567"/>
        <w:jc w:val="both"/>
        <w:outlineLvl w:val="1"/>
        <w:rPr>
          <w:bCs/>
        </w:rPr>
      </w:pPr>
      <w:bookmarkStart w:id="85" w:name="_Toc198043838"/>
      <w:r>
        <w:t xml:space="preserve">48. A tal riguardo, la Corte ha già dichiarato che le disposizioni relative al divieto di offrire giochi d'azzardo su Internet, le eccezioni a tale divieto, le restrizioni all'offerta di scommesse sportive su Internet e il divieto di trasmettere pubblicità per giochi d'azzardo su Internet possono essere qualificate come "regole relative ai servizi", ai sensi dell'articolo 1, paragrafo 5, della direttiva 98/34, nella misura in cui riguardano un "servizio della società dell'informazione", ai sensi dell'articolo 1, paragrafo 2, di tale direttiva (v., per analogia, sentenza del 4 febbraio 2016, Ince, C-336/14, punto 75).</w:t>
      </w:r>
      <w:bookmarkEnd w:id="85"/>
    </w:p>
    <w:p w14:paraId="1117AEFE" w14:textId="77777777">
      <w:pPr>
        <w:pStyle w:val="P68B1DB1-Normal15"/>
        <w:widowControl w:val="0"/>
        <w:autoSpaceDE w:val="0"/>
        <w:autoSpaceDN w:val="0"/>
        <w:spacing w:after="0" w:line="240" w:lineRule="auto"/>
        <w:ind w:left="567"/>
        <w:jc w:val="both"/>
        <w:outlineLvl w:val="1"/>
        <w:rPr>
          <w:bCs/>
        </w:rPr>
      </w:pPr>
    </w:p>
    <w:p w14:paraId="6626E676" w14:textId="509677C9">
      <w:pPr>
        <w:pStyle w:val="P68B1DB1-Normal15"/>
        <w:widowControl w:val="0"/>
        <w:autoSpaceDE w:val="0"/>
        <w:autoSpaceDN w:val="0"/>
        <w:spacing w:after="0" w:line="240" w:lineRule="auto"/>
        <w:ind w:left="567"/>
        <w:jc w:val="both"/>
        <w:outlineLvl w:val="1"/>
        <w:rPr>
          <w:bCs/>
        </w:rPr>
      </w:pPr>
      <w:bookmarkStart w:id="86" w:name="_Toc198043839"/>
      <w:r>
        <w:t xml:space="preserve">49. Orbene, nel caso di specie, le norme previste agli articoli 2 e 3 del decreto legge n. 282/2003 riguardano specificamente i servizi della società dell'informazione. Inoltre, a seguito dell'attribuzione alla Santa Casa del diritto esclusivo di gestire giochi d'azzardo su Internet, tali disposizioni vietano a tutti gli operatori economici di fornire tali servizi, ad eccezione della Santa Casa."</w:t>
      </w:r>
      <w:bookmarkEnd w:id="86"/>
    </w:p>
    <w:p w14:paraId="4D056F67" w14:textId="77777777">
      <w:pPr>
        <w:spacing w:after="0" w:line="240" w:lineRule="auto"/>
      </w:pPr>
    </w:p>
    <w:p w14:paraId="07196289" w14:textId="29A89F4E">
      <w:pPr>
        <w:pStyle w:val="P68B1DB1-Normal13"/>
        <w:widowControl w:val="0"/>
        <w:autoSpaceDE w:val="0"/>
        <w:autoSpaceDN w:val="0"/>
        <w:spacing w:after="0" w:line="240" w:lineRule="auto"/>
        <w:jc w:val="both"/>
        <w:outlineLvl w:val="1"/>
      </w:pPr>
      <w:hyperlink r:id="rId56" w:history="1">
        <w:r>
          <w:rPr>
            <w:color w:val="0000FF"/>
            <w:u w:val="single"/>
          </w:rPr>
          <w:t xml:space="preserve">Sentenza del 3 dicembre 2020</w:t>
        </w:r>
      </w:hyperlink>
      <w:r>
        <w:t xml:space="preserve">, Star Taxi App,</w:t>
        <w:noBreakHyphen/>
        <w:t xml:space="preserve">C 62/19, punti da 52 a 54 e da 64 a 66</w:t>
      </w:r>
      <w:bookmarkEnd w:id="87"/>
    </w:p>
    <w:p w14:paraId="73E5D159"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6B75F1E" w14:textId="4E123154">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Rientra nella categoria dei "servizi della società dell'informazione" un servizio di intermediazione che si limita a mettere in contatto clienti con conducenti già autorizzati — senza organizzare il servizio di trasporto stesso, selezionare i conducenti, fissare le tariffe o esercitare il controllo su veicoli o conducenti.</w:t>
      </w:r>
    </w:p>
    <w:p w14:paraId="53C8E268" w14:textId="77777777">
      <w:pPr>
        <w:widowControl w:val="0"/>
        <w:tabs>
          <w:tab w:val="left" w:pos="437"/>
        </w:tabs>
        <w:autoSpaceDE w:val="0"/>
        <w:autoSpaceDN w:val="0"/>
        <w:spacing w:after="0" w:line="240" w:lineRule="auto"/>
        <w:ind w:hanging="142"/>
        <w:jc w:val="both"/>
        <w:rPr>
          <w:rFonts w:ascii="Times New Roman" w:hAnsi="Times New Roman" w:cs="Times New Roman" w:eastAsia="Times New Roman"/>
          <w:szCs w:val="20"/>
        </w:rPr>
      </w:pPr>
    </w:p>
    <w:p w14:paraId="6B04D4DF" w14:textId="22C1A495">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Inoltre, una normativa che non riguardi specificamente tali servizi, ma si applichi indistintamente a tutte le forme di dispacciamento, anche per telefono o tramite applicazione, non può essere qualificata come "regola relativa ai servizi".</w:t>
      </w:r>
    </w:p>
    <w:p w14:paraId="03141058"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47BBE402" w14:textId="02641065">
      <w:pPr>
        <w:pStyle w:val="P68B1DB1-Normal15"/>
        <w:widowControl w:val="0"/>
        <w:tabs>
          <w:tab w:val="left" w:pos="437"/>
        </w:tabs>
        <w:autoSpaceDE w:val="0"/>
        <w:autoSpaceDN w:val="0"/>
        <w:spacing w:after="0" w:line="240" w:lineRule="auto"/>
        <w:ind w:left="567"/>
        <w:jc w:val="both"/>
      </w:pPr>
      <w:r>
        <w:t xml:space="preserve">"52. In primo luogo, dalla decisione di rinvio risulta che, a differenza del servizio di intermediazione di cui trattasi nella causa che ha dato luogo alla sentenza del 20 dicembre 2017, Asociación Profesional Elite Taxi (C-434/15), che ha offerto e reso accessibili servizi di trasporto urbano gestiti da conducenti non professionisti precedentemente assenti dal mercato, il servizio di cui trattasi nel procedimento principale si limita, come rilevato dall'avvocato generale al paragrafo 49 delle sue conclusioni, a mettere in contatto unicamente le persone che intendono effettuare viaggi urbani con i tassisti autorizzati già impegnati in tale attività e per i quali il servizio di intermediazione è solo uno dei vari metodi di acquisto dei clienti, e non uno, peraltro, che essi sono comunque tenuti a utilizzare.</w:t>
      </w:r>
    </w:p>
    <w:p w14:paraId="0E270EA6" w14:textId="77777777">
      <w:pPr>
        <w:pStyle w:val="P68B1DB1-Normal15"/>
        <w:widowControl w:val="0"/>
        <w:tabs>
          <w:tab w:val="left" w:pos="437"/>
        </w:tabs>
        <w:autoSpaceDE w:val="0"/>
        <w:autoSpaceDN w:val="0"/>
        <w:spacing w:after="0" w:line="240" w:lineRule="auto"/>
        <w:ind w:left="567"/>
        <w:jc w:val="both"/>
      </w:pPr>
    </w:p>
    <w:p w14:paraId="0B69BBB1" w14:textId="47B62163">
      <w:pPr>
        <w:pStyle w:val="P68B1DB1-Normal15"/>
        <w:widowControl w:val="0"/>
        <w:tabs>
          <w:tab w:val="left" w:pos="437"/>
        </w:tabs>
        <w:autoSpaceDE w:val="0"/>
        <w:autoSpaceDN w:val="0"/>
        <w:spacing w:after="0" w:line="240" w:lineRule="auto"/>
        <w:ind w:left="567"/>
        <w:jc w:val="both"/>
      </w:pPr>
      <w:r>
        <w:t xml:space="preserve">53. In secondo luogo, non si può ritenere che un siffatto servizio di intermediazione organizzi il funzionamento generale del servizio susseguente di spostamento nell'area urbana, dal momento che il prestatore non seleziona i tassisti, né fissa o percepisce il prezzo della corsa e nemmeno esercita un controllo sulla qualità dei veicoli e dei loro conducenti né sul comportamento di questi ultimi.</w:t>
      </w:r>
    </w:p>
    <w:p w14:paraId="7252306B" w14:textId="77777777">
      <w:pPr>
        <w:pStyle w:val="P68B1DB1-Normal15"/>
        <w:widowControl w:val="0"/>
        <w:tabs>
          <w:tab w:val="left" w:pos="437"/>
        </w:tabs>
        <w:autoSpaceDE w:val="0"/>
        <w:autoSpaceDN w:val="0"/>
        <w:spacing w:after="0" w:line="240" w:lineRule="auto"/>
        <w:ind w:left="567"/>
        <w:jc w:val="both"/>
      </w:pPr>
    </w:p>
    <w:p w14:paraId="40C8D3C8" w14:textId="75B913AD">
      <w:pPr>
        <w:pStyle w:val="P68B1DB1-Normal15"/>
        <w:widowControl w:val="0"/>
        <w:tabs>
          <w:tab w:val="left" w:pos="437"/>
        </w:tabs>
        <w:autoSpaceDE w:val="0"/>
        <w:autoSpaceDN w:val="0"/>
        <w:spacing w:after="0" w:line="240" w:lineRule="auto"/>
        <w:ind w:left="567"/>
        <w:jc w:val="both"/>
        <w:rPr>
          <w:iCs/>
        </w:rPr>
      </w:pPr>
      <w:r>
        <w:t xml:space="preserve">54. Ne consegue che un servizio di intermediazione come quello fornito dalla Star Taxi App non può essere considerato parte integrante di un servizio globale la cui componente principale è un servizio di trasporto e deve, pertanto, essere qualificato come "servizio della società dell'informazione", ai sensi dell'articolo 2, lettera a), della direttiva 2000/31."</w:t>
      </w:r>
    </w:p>
    <w:p w14:paraId="737174FF" w14:textId="77777777">
      <w:pPr>
        <w:widowControl w:val="0"/>
        <w:tabs>
          <w:tab w:val="left" w:pos="437"/>
        </w:tabs>
        <w:autoSpaceDE w:val="0"/>
        <w:autoSpaceDN w:val="0"/>
        <w:spacing w:after="0" w:line="240" w:lineRule="auto"/>
        <w:ind w:left="567" w:hanging="142"/>
        <w:jc w:val="both"/>
        <w:rPr>
          <w:rFonts w:ascii="Times New Roman" w:hAnsi="Times New Roman" w:cs="Times New Roman" w:eastAsia="Times New Roman"/>
          <w:i/>
          <w:iCs/>
          <w:sz w:val="20"/>
          <w:szCs w:val="16"/>
        </w:rPr>
      </w:pPr>
    </w:p>
    <w:p w14:paraId="2D6C8DFE" w14:textId="7A0EB2A0">
      <w:pPr>
        <w:pStyle w:val="P68B1DB1-Normal15"/>
        <w:widowControl w:val="0"/>
        <w:tabs>
          <w:tab w:val="left" w:pos="437"/>
        </w:tabs>
        <w:autoSpaceDE w:val="0"/>
        <w:autoSpaceDN w:val="0"/>
        <w:spacing w:after="0" w:line="240" w:lineRule="auto"/>
        <w:ind w:left="567"/>
        <w:jc w:val="both"/>
      </w:pPr>
      <w:r>
        <w:t xml:space="preserve">"64. Nel caso di specie, dalla decisione di rinvio emerge che la normativa rumena di cui al procedimento principale, che si tratti della legge n. 38/2003 o della delibera n. 178/2008, non menziona affatto i servizi della società dell'informazione. Inoltre, l'articolo 3, l'articolo 21, paragrafo 1, e (31), nonché l'articolo 41, paragrafo 21, dell'allegato I della decisione n. 178/2008 riguardano indistintamente tutti i tipi di servizi di dispacciamento, forniti per telefono o con qualsiasi altro mezzo, come un'applicazione software.</w:t>
      </w:r>
    </w:p>
    <w:p w14:paraId="38902729" w14:textId="77777777">
      <w:pPr>
        <w:pStyle w:val="P68B1DB1-Normal15"/>
        <w:widowControl w:val="0"/>
        <w:tabs>
          <w:tab w:val="left" w:pos="437"/>
        </w:tabs>
        <w:autoSpaceDE w:val="0"/>
        <w:autoSpaceDN w:val="0"/>
        <w:spacing w:after="0" w:line="240" w:lineRule="auto"/>
        <w:ind w:left="567"/>
        <w:jc w:val="both"/>
      </w:pPr>
    </w:p>
    <w:p w14:paraId="0D3B1A3A" w14:textId="72AECFA4">
      <w:pPr>
        <w:pStyle w:val="P68B1DB1-Normal15"/>
        <w:widowControl w:val="0"/>
        <w:tabs>
          <w:tab w:val="left" w:pos="437"/>
        </w:tabs>
        <w:autoSpaceDE w:val="0"/>
        <w:autoSpaceDN w:val="0"/>
        <w:spacing w:after="0" w:line="240" w:lineRule="auto"/>
        <w:ind w:left="567"/>
        <w:jc w:val="both"/>
      </w:pPr>
      <w:r>
        <w:t xml:space="preserve">65. Inoltre, come rilevato dall'avvocato generale al paragrafo 108 delle sue conclusioni, la legge n. 38/2003 impone ai prestatori di servizi di dispacciamento che esercitano la loro attività mediante un'applicazione per smartphone, al pari di tutti gli altri operatori che forniscono un servizio di dispacciamento, il possesso di apparecchiature — nella fattispecie radioricetrasmettitori — sprovviste di qualsiasi utilità a motivo delle modalità tecniche di prestazione di tale servizio.</w:t>
      </w:r>
    </w:p>
    <w:p w14:paraId="2F69DDBE" w14:textId="77777777">
      <w:pPr>
        <w:pStyle w:val="P68B1DB1-Normal15"/>
        <w:widowControl w:val="0"/>
        <w:tabs>
          <w:tab w:val="left" w:pos="437"/>
        </w:tabs>
        <w:autoSpaceDE w:val="0"/>
        <w:autoSpaceDN w:val="0"/>
        <w:spacing w:after="0" w:line="240" w:lineRule="auto"/>
        <w:ind w:left="567"/>
        <w:jc w:val="both"/>
      </w:pPr>
    </w:p>
    <w:p w14:paraId="7495A598" w14:textId="143B7510">
      <w:pPr>
        <w:pStyle w:val="P68B1DB1-Normal15"/>
        <w:widowControl w:val="0"/>
        <w:tabs>
          <w:tab w:val="left" w:pos="437"/>
        </w:tabs>
        <w:autoSpaceDE w:val="0"/>
        <w:autoSpaceDN w:val="0"/>
        <w:spacing w:after="0" w:line="240" w:lineRule="auto"/>
        <w:ind w:left="567"/>
        <w:jc w:val="both"/>
        <w:rPr>
          <w:iCs/>
        </w:rPr>
      </w:pPr>
      <w:r>
        <w:t xml:space="preserve">66. Pertanto, non concernendo specificamente i servizi della società dell'informazione, una normativa come quella di cui al procedimento principale riguarda tali servizi solo in modo implicito o incidentale. Una siffatta regola non può quindi essere considerata una "regola relativa ai servizi", ai sensi dell'articolo 1, paragrafo 1, lettera e), della direttiva 2015/1535, né, di conseguenza, una "regola tecnica", ai sensi dell'articolo 1, paragrafo 1, lettera f), di tale direttiva."</w:t>
      </w:r>
    </w:p>
    <w:p w14:paraId="74769673" w14:textId="77777777">
      <w:pPr>
        <w:widowControl w:val="0"/>
        <w:tabs>
          <w:tab w:val="left" w:pos="437"/>
        </w:tabs>
        <w:autoSpaceDE w:val="0"/>
        <w:autoSpaceDN w:val="0"/>
        <w:spacing w:after="0" w:line="240" w:lineRule="auto"/>
        <w:jc w:val="both"/>
        <w:rPr>
          <w:rFonts w:ascii="Times New Roman" w:hAnsi="Times New Roman" w:cs="Times New Roman" w:eastAsia="Times New Roman"/>
          <w:i/>
          <w:iCs/>
          <w:sz w:val="20"/>
          <w:szCs w:val="16"/>
        </w:rPr>
      </w:pPr>
    </w:p>
    <w:p w14:paraId="4ECE591C" w14:textId="291CA601">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57" w:history="1">
        <w:r>
          <w:rPr>
            <w:rStyle w:val="Hyperlink"/>
            <w:rFonts w:ascii="Times New Roman" w:hAnsi="Times New Roman" w:cs="Times New Roman" w:eastAsia="Times New Roman"/>
            <w:b/>
            <w:i/>
            <w:color w:val="0000FF"/>
            <w:szCs w:val="20"/>
          </w:rPr>
          <w:t xml:space="preserve">Sentenza del 29 febbraio 2024</w:t>
        </w:r>
      </w:hyperlink>
      <w:r>
        <w:rPr>
          <w:rFonts w:ascii="Times New Roman" w:hAnsi="Times New Roman" w:cs="Times New Roman" w:eastAsia="Times New Roman"/>
          <w:b/>
          <w:i/>
          <w:szCs w:val="20"/>
        </w:rPr>
        <w:t xml:space="preserve">, Doctipharma SAS, C-606/21, punti da 26 a 30 e da 34 a 36</w:t>
      </w:r>
      <w:bookmarkEnd w:id="88"/>
    </w:p>
    <w:p w14:paraId="5D3D60EF"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3D0A5D9F" w14:textId="5B25CF88">
      <w:pPr>
        <w:pStyle w:val="P68B1DB1-BodyText22"/>
      </w:pPr>
      <w:r>
        <w:t xml:space="preserve">La remunerazione di un servizio fornito da un prestatore di servizi nell'ambito di un'attività economica non deve necessariamente essere pagata dai beneficiari. Ciò vale per un servizio fornito su un sito Internet, consistente nel mettere in contatto farmacisti e clienti per la vendita di medicinali, quando il servizio è remunerato dai farmacisti che hanno sottoscritto la sua piattaforma sulla base di un corrispettivo fisso.</w:t>
      </w:r>
    </w:p>
    <w:p w14:paraId="60E238C1" w14:textId="77777777">
      <w:pPr>
        <w:pStyle w:val="P68B1DB1-BodyText22"/>
      </w:pPr>
    </w:p>
    <w:p w14:paraId="16BCA1E5" w14:textId="5221BD03">
      <w:pPr>
        <w:pStyle w:val="P68B1DB1-BodyText22"/>
      </w:pPr>
      <w:r>
        <w:t xml:space="preserve">Un servizio del genere non fa parte di un servizio globale il cui elemento principale è soggetto a una qualificazione giuridica diversa da quella di "servizio della società dell'informazione".</w:t>
      </w:r>
    </w:p>
    <w:p w14:paraId="5D9B8556" w14:textId="77777777">
      <w:pPr>
        <w:pStyle w:val="BodyText"/>
      </w:pPr>
      <w:r>
        <w:t xml:space="preserve"> </w:t>
      </w:r>
    </w:p>
    <w:p w14:paraId="06EE7590" w14:textId="40E0F47A">
      <w:pPr>
        <w:pStyle w:val="P68B1DB1-Normal20"/>
        <w:widowControl w:val="0"/>
        <w:autoSpaceDE w:val="0"/>
        <w:autoSpaceDN w:val="0"/>
        <w:spacing w:after="0" w:line="240" w:lineRule="auto"/>
        <w:ind w:left="567"/>
        <w:jc w:val="both"/>
        <w:outlineLvl w:val="1"/>
        <w:rPr>
          <w:iCs/>
        </w:rPr>
      </w:pPr>
      <w:bookmarkStart w:id="89" w:name="_Toc198043843"/>
      <w:r>
        <w:t xml:space="preserve">"26. [...] L'articolo 1, paragrafo 2, della direttiva 98/34 e l'articolo 1, paragrafo 1, lettera b), della direttiva 2015/1535 definiscono la nozione di "servizio della società dell'informazione" come "qualsiasi servizio prestato normalmente dietro retribuzione, a distanza, per via elettronica e a richiesta individuale di un destinatario di servizi".</w:t>
      </w:r>
      <w:bookmarkEnd w:id="89"/>
    </w:p>
    <w:p w14:paraId="0520C499" w14:textId="77777777">
      <w:pPr>
        <w:pStyle w:val="P68B1DB1-Normal20"/>
        <w:widowControl w:val="0"/>
        <w:autoSpaceDE w:val="0"/>
        <w:autoSpaceDN w:val="0"/>
        <w:spacing w:after="0" w:line="240" w:lineRule="auto"/>
        <w:ind w:left="567"/>
        <w:jc w:val="both"/>
        <w:outlineLvl w:val="1"/>
        <w:rPr>
          <w:iCs/>
        </w:rPr>
      </w:pPr>
    </w:p>
    <w:p w14:paraId="5522C64C" w14:textId="2B939575">
      <w:pPr>
        <w:pStyle w:val="P68B1DB1-Normal20"/>
        <w:widowControl w:val="0"/>
        <w:autoSpaceDE w:val="0"/>
        <w:autoSpaceDN w:val="0"/>
        <w:spacing w:after="0" w:line="240" w:lineRule="auto"/>
        <w:ind w:left="567"/>
        <w:jc w:val="both"/>
        <w:outlineLvl w:val="1"/>
        <w:rPr>
          <w:iCs/>
        </w:rPr>
      </w:pPr>
      <w:bookmarkStart w:id="90" w:name="_Toc198043844"/>
      <w:r>
        <w:t xml:space="preserve">27. Nel caso di specie, per quanto riguarda la prima condizione enunciata in tali disposizioni, occorre ricordare che, secondo una giurisprudenza costante, la remunerazione di un servizio fornito da un prestatore nell'ambito di un'attività economica non deve necessariamente essere versata dai beneficiari (v., in tal senso, sentenze del 15 settembre 2016, Mc Fadden, C-484/14, ecueil, punto 41, e del 4 maggio 2017, Vanderborght, C-339/15, punto 36).</w:t>
      </w:r>
      <w:bookmarkEnd w:id="90"/>
    </w:p>
    <w:p w14:paraId="321E2B99" w14:textId="77777777">
      <w:pPr>
        <w:pStyle w:val="P68B1DB1-Normal20"/>
        <w:widowControl w:val="0"/>
        <w:autoSpaceDE w:val="0"/>
        <w:autoSpaceDN w:val="0"/>
        <w:spacing w:after="0" w:line="240" w:lineRule="auto"/>
        <w:ind w:left="567"/>
        <w:jc w:val="both"/>
        <w:outlineLvl w:val="1"/>
        <w:rPr>
          <w:iCs/>
        </w:rPr>
      </w:pPr>
    </w:p>
    <w:p w14:paraId="4A7B6C31" w14:textId="12F86ADD">
      <w:pPr>
        <w:pStyle w:val="P68B1DB1-Normal20"/>
        <w:widowControl w:val="0"/>
        <w:autoSpaceDE w:val="0"/>
        <w:autoSpaceDN w:val="0"/>
        <w:spacing w:after="0" w:line="240" w:lineRule="auto"/>
        <w:ind w:left="567"/>
        <w:jc w:val="both"/>
        <w:outlineLvl w:val="1"/>
        <w:rPr>
          <w:iCs/>
        </w:rPr>
      </w:pPr>
      <w:bookmarkStart w:id="91" w:name="_Toc198043845"/>
      <w:r>
        <w:t xml:space="preserve">28. Pertanto, ai fini della qualificazione di un servizio come quello di cui trattasi nel procedimento principale come rientrante nella nozione di "servizio della società dell'informazione", ai sensi dell'articolo 1, paragrafo 2, della direttiva 98/34 e dell'articolo 1, paragrafo 1, lettera b), della direttiva 2015/1535, è irrilevante che tale servizio sia fornito gratuitamente al soggetto che acquista il medicinale non soggetto a prescrizione medica, qualora porti alla conclusione, tra il prestatore di tale servizio e ciascun farmacista che lo utilizza, di un contratto di prestazione di servizi a pagamento.</w:t>
      </w:r>
      <w:bookmarkEnd w:id="91"/>
    </w:p>
    <w:p w14:paraId="7BF264F2" w14:textId="77777777">
      <w:pPr>
        <w:pStyle w:val="P68B1DB1-Normal20"/>
        <w:widowControl w:val="0"/>
        <w:autoSpaceDE w:val="0"/>
        <w:autoSpaceDN w:val="0"/>
        <w:spacing w:after="0" w:line="240" w:lineRule="auto"/>
        <w:ind w:left="567"/>
        <w:jc w:val="both"/>
        <w:outlineLvl w:val="1"/>
        <w:rPr>
          <w:iCs/>
        </w:rPr>
      </w:pPr>
    </w:p>
    <w:p w14:paraId="1D178D41" w14:textId="602A287A">
      <w:pPr>
        <w:pStyle w:val="P68B1DB1-Normal20"/>
        <w:widowControl w:val="0"/>
        <w:autoSpaceDE w:val="0"/>
        <w:autoSpaceDN w:val="0"/>
        <w:spacing w:after="0" w:line="240" w:lineRule="auto"/>
        <w:ind w:left="567"/>
        <w:jc w:val="both"/>
        <w:outlineLvl w:val="1"/>
        <w:rPr>
          <w:iCs/>
        </w:rPr>
      </w:pPr>
      <w:bookmarkStart w:id="92" w:name="_Toc198043846"/>
      <w:r>
        <w:t xml:space="preserve">29. Parimenti, sarebbe irrilevante a tale riguardo il fatto che, come indicato dalla Doctipharma, essa, in forza delle condizioni generali di vendita, fosse retribuita dai farmacisti che aderivano alla sua piattaforma, sulla base di una somma forfetaria o ancora, come indicato dal governo francese, il fatto che il servizio fornito dalla Doctipharma fosse oggetto di un abbonamento mensile versato alla Doctipharma dai farmacisti clienti e di una restituzione di una percentuale dell'importo delle vendite, trattenuta dalla piattaforma.</w:t>
      </w:r>
      <w:bookmarkEnd w:id="92"/>
    </w:p>
    <w:p w14:paraId="2B92BB79" w14:textId="77777777">
      <w:pPr>
        <w:pStyle w:val="P68B1DB1-Normal20"/>
        <w:widowControl w:val="0"/>
        <w:autoSpaceDE w:val="0"/>
        <w:autoSpaceDN w:val="0"/>
        <w:spacing w:after="0" w:line="240" w:lineRule="auto"/>
        <w:ind w:left="567"/>
        <w:jc w:val="both"/>
        <w:outlineLvl w:val="1"/>
        <w:rPr>
          <w:iCs/>
        </w:rPr>
      </w:pPr>
    </w:p>
    <w:p w14:paraId="7E01A0AB" w14:textId="05C25972">
      <w:pPr>
        <w:pStyle w:val="P68B1DB1-Normal20"/>
        <w:widowControl w:val="0"/>
        <w:autoSpaceDE w:val="0"/>
        <w:autoSpaceDN w:val="0"/>
        <w:spacing w:after="0" w:line="240" w:lineRule="auto"/>
        <w:ind w:left="567"/>
        <w:jc w:val="both"/>
        <w:outlineLvl w:val="1"/>
        <w:rPr>
          <w:iCs/>
        </w:rPr>
      </w:pPr>
      <w:bookmarkStart w:id="93" w:name="_Toc198043847"/>
      <w:r>
        <w:t xml:space="preserve">30. Ne consegue che, fatte salve le verifiche che il giudice del rinvio deve effettuare, la prestazione di cui trattasi nel procedimento principale deve, in ogni caso, essere considerata fornita dietro retribuzione".</w:t>
      </w:r>
      <w:bookmarkEnd w:id="93"/>
    </w:p>
    <w:p w14:paraId="1F7DABA5" w14:textId="77777777">
      <w:pPr>
        <w:widowControl w:val="0"/>
        <w:autoSpaceDE w:val="0"/>
        <w:autoSpaceDN w:val="0"/>
        <w:spacing w:after="0" w:line="240" w:lineRule="auto"/>
        <w:ind w:left="567"/>
        <w:jc w:val="both"/>
        <w:outlineLvl w:val="1"/>
        <w:rPr>
          <w:rFonts w:ascii="Times New Roman" w:hAnsi="Times New Roman" w:cs="Times New Roman"/>
          <w:i/>
          <w:iCs/>
          <w:sz w:val="20"/>
          <w:szCs w:val="20"/>
        </w:rPr>
      </w:pPr>
    </w:p>
    <w:p w14:paraId="01B24EB0" w14:textId="2D56DEB8">
      <w:pPr>
        <w:pStyle w:val="P68B1DB1-Normal20"/>
        <w:widowControl w:val="0"/>
        <w:autoSpaceDE w:val="0"/>
        <w:autoSpaceDN w:val="0"/>
        <w:spacing w:after="0" w:line="240" w:lineRule="auto"/>
        <w:ind w:left="567"/>
        <w:jc w:val="both"/>
        <w:outlineLvl w:val="1"/>
      </w:pPr>
      <w:bookmarkStart w:id="94" w:name="_Toc198043848"/>
      <w:r>
        <w:t xml:space="preserve">"34. Tale conclusione non è rimessa in discussione dalla giurisprudenza elaborata dalla Corte nelle sentenze del 20 dicembre 2017, Asociación Profesional Elite Taxi (C-434/15), del 19 dicembre 2019, Airbnb Ireland (C-390/18), e del 3 dicembre 2020, Star Taxi App (C-62/19).</w:t>
      </w:r>
      <w:bookmarkEnd w:id="94"/>
    </w:p>
    <w:p w14:paraId="30816B83" w14:textId="77777777">
      <w:pPr>
        <w:pStyle w:val="P68B1DB1-Normal20"/>
        <w:widowControl w:val="0"/>
        <w:autoSpaceDE w:val="0"/>
        <w:autoSpaceDN w:val="0"/>
        <w:spacing w:after="0" w:line="240" w:lineRule="auto"/>
        <w:ind w:left="567"/>
        <w:jc w:val="both"/>
        <w:outlineLvl w:val="1"/>
      </w:pPr>
    </w:p>
    <w:p w14:paraId="7006558F" w14:textId="15BDEB5C">
      <w:pPr>
        <w:pStyle w:val="P68B1DB1-Normal20"/>
        <w:widowControl w:val="0"/>
        <w:autoSpaceDE w:val="0"/>
        <w:autoSpaceDN w:val="0"/>
        <w:spacing w:after="0" w:line="240" w:lineRule="auto"/>
        <w:ind w:left="567"/>
        <w:jc w:val="both"/>
        <w:outlineLvl w:val="1"/>
      </w:pPr>
      <w:bookmarkStart w:id="95" w:name="_Toc198043849"/>
      <w:r>
        <w:t xml:space="preserve">35. Da tale giurisprudenza risulta che un servizio che ha lo scopo di mettere in contatto clienti con prestatori di un altro servizio di natura diversa e che soddisfa tutte le condizioni di cui all'articolo 1, paragrafo 2, della direttiva 98/34 e all'articolo 1, paragrafo 1, lettera b), della direttiva 2015/1535 deve essere qualificato come "servizio della società dell'informazione" qualora un siffatto servizio sia distinto da quello di natura diversa fornito da tali prestatori. Tuttavia, la situazione deve essere diversa qualora risulti che tale servizio, che collega i venditori ai clienti, costituisce parte integrante di un servizio globale il cui elemento principale è oggetto di una qualificazione giuridica diversa da quella di "servizio della società dell'informazione" (sentenza del 3 dicembre 2020, Star Taxi App, C-62/19, punto 49 e giurisprudenza ivi citata).</w:t>
      </w:r>
      <w:bookmarkEnd w:id="95"/>
    </w:p>
    <w:p w14:paraId="3E0D3F0B" w14:textId="77777777">
      <w:pPr>
        <w:pStyle w:val="P68B1DB1-Normal20"/>
        <w:widowControl w:val="0"/>
        <w:autoSpaceDE w:val="0"/>
        <w:autoSpaceDN w:val="0"/>
        <w:spacing w:after="0" w:line="240" w:lineRule="auto"/>
        <w:ind w:left="567"/>
        <w:jc w:val="both"/>
        <w:outlineLvl w:val="1"/>
      </w:pPr>
    </w:p>
    <w:p w14:paraId="236402DB" w14:textId="039485E5">
      <w:pPr>
        <w:pStyle w:val="P68B1DB1-Normal20"/>
        <w:widowControl w:val="0"/>
        <w:autoSpaceDE w:val="0"/>
        <w:autoSpaceDN w:val="0"/>
        <w:spacing w:after="0" w:line="240" w:lineRule="auto"/>
        <w:ind w:left="567"/>
        <w:jc w:val="both"/>
        <w:outlineLvl w:val="1"/>
      </w:pPr>
      <w:bookmarkStart w:id="96" w:name="_Toc198043850"/>
      <w:r>
        <w:t xml:space="preserve">36. Come rilevato dall'avvocato generale ai paragrafi 28 e 29 delle sue conclusioni, un servizio di collegamento tra farmacisti e clienti ai fini della vendita di medicinali non soggetti a prescrizione medica provenienti dai siti Internet delle farmacie che hanno sottoscritto tale servizio non può costituire parte integrante di un servizio globale, il cui elemento principale non è qualificato come "servizio della società dell'informazione"."</w:t>
      </w:r>
      <w:bookmarkEnd w:id="96"/>
    </w:p>
    <w:p w14:paraId="066794C6" w14:textId="77777777">
      <w:pPr>
        <w:pStyle w:val="P68B1DB1-Normal20"/>
        <w:widowControl w:val="0"/>
        <w:autoSpaceDE w:val="0"/>
        <w:autoSpaceDN w:val="0"/>
        <w:spacing w:after="0" w:line="240" w:lineRule="auto"/>
        <w:jc w:val="both"/>
        <w:outlineLvl w:val="1"/>
      </w:pPr>
    </w:p>
    <w:p w14:paraId="3456AF7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58" w:history="1">
        <w:r>
          <w:rPr>
            <w:rStyle w:val="Hyperlink"/>
            <w:rFonts w:ascii="Times New Roman" w:hAnsi="Times New Roman" w:cs="Times New Roman" w:eastAsia="Times New Roman"/>
            <w:b/>
            <w:i/>
            <w:color w:val="0000FF"/>
            <w:szCs w:val="20"/>
          </w:rPr>
          <w:t xml:space="preserve">Sentenza della Corte di giustizia del 13 marzo 2025</w:t>
        </w:r>
      </w:hyperlink>
      <w:r>
        <w:rPr>
          <w:rFonts w:ascii="Times New Roman" w:hAnsi="Times New Roman" w:cs="Times New Roman" w:eastAsia="Times New Roman"/>
          <w:b/>
          <w:i/>
          <w:szCs w:val="20"/>
        </w:rPr>
        <w:t xml:space="preserve">, Unigames UAB</w:t>
        <w:noBreakHyphen/>
        <w:t xml:space="preserve">, C 120/24, punti da 38 a 42.</w:t>
      </w:r>
      <w:bookmarkEnd w:id="97"/>
    </w:p>
    <w:p w14:paraId="7C957596" w14:textId="77777777">
      <w:pPr>
        <w:widowControl w:val="0"/>
        <w:tabs>
          <w:tab w:val="left" w:pos="437"/>
        </w:tabs>
        <w:autoSpaceDE w:val="0"/>
        <w:autoSpaceDN w:val="0"/>
        <w:spacing w:after="0" w:line="240" w:lineRule="auto"/>
        <w:jc w:val="both"/>
        <w:rPr>
          <w:rFonts w:ascii="Times New Roman" w:hAnsi="Times New Roman" w:cs="Times New Roman" w:eastAsia="Times New Roman"/>
          <w:b/>
          <w:i/>
          <w:szCs w:val="20"/>
        </w:rPr>
      </w:pPr>
    </w:p>
    <w:p w14:paraId="0CCCFF25"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Il divieto di pubblicizzare giochi d'azzardo sui siti di gioco d'azzardo non riguarda un servizio pubblicitario indipendente dal servizio di gioco d'azzardo, bensì un servizio inscindibile dal servizio di gioco d'azzardo online. Di conseguenza, per stabilire se essa costituisca una "regola relativa ai servizi", occorre anzitutto esaminare la qualificazione dei servizi di gioco online come "servizi della società dell'informazione".</w:t>
      </w:r>
    </w:p>
    <w:p w14:paraId="2F64E777"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4D107C79" w14:textId="74EE0F8E">
      <w:pPr>
        <w:pStyle w:val="P68B1DB1-Normal15"/>
        <w:widowControl w:val="0"/>
        <w:tabs>
          <w:tab w:val="left" w:pos="437"/>
        </w:tabs>
        <w:autoSpaceDE w:val="0"/>
        <w:autoSpaceDN w:val="0"/>
        <w:spacing w:after="0" w:line="240" w:lineRule="auto"/>
        <w:ind w:left="567"/>
        <w:jc w:val="both"/>
        <w:rPr>
          <w:iCs/>
        </w:rPr>
      </w:pPr>
      <w:r>
        <w:t xml:space="preserve">"38. Le considerazioni esposte ai punti 36 e 37 della presente sentenza</w:t>
      </w:r>
      <w:r>
        <w:rPr>
          <w:i w:val="0"/>
        </w:rPr>
        <w:t xml:space="preserve"> [secondo cui i servizi di gioco d'azzardo on line devono essere considerati "servizi della società dell'informazione"] </w:t>
      </w:r>
      <w:r>
        <w:t xml:space="preserve">non sono rimesse in discussione dal fatto che le informazioni sui giochi d'azzardo pubblicate dall'operatore del gioco d'azzardo sul suo sito Internet non sono necessariamente fornite "su richiesta individuale di un destinatario di servizi". Tale pubblicazione di informazioni non può, in circostanze come quelle di cui al procedimento principale, essere considerata un servizio pubblicitario o un altro servizio fornito ai destinatari dei servizi di gioco d'azzardo a distanza, ma costituisce un'attività accessoria e inscindibile dai servizi di gioco d'azzardo a distanza di cui trattasi, dalla quale essa trae tutto il suo significato economico [v., per analogia, sentenza del 1º ottobre 2020, A (Pubblicità e vendita di medicinali online), C-649/18, ed., punto 56]. Pertanto, solo i servizi di gioco d'azzardo stessi devono soddisfare le condizioni pertinenti per rientrare nella nozione di "servizio", ai sensi dell'articolo 1, paragrafo 1, lettera b), della direttiva 2015/1535, e il divieto di cui trattasi nel procedimento principale, che verte su una siffatta pubblicazione di informazioni, deve, dal canto suo, soddisfare i criteri specifici previsti all'articolo 1, paragrafo 1, lettera e), di tale direttiva per poter essere considerato una "regola" relativa a tali servizi, ai sensi di quest'ultima disposizione.</w:t>
      </w:r>
    </w:p>
    <w:p w14:paraId="0C84094C" w14:textId="77777777">
      <w:pPr>
        <w:pStyle w:val="P68B1DB1-Normal15"/>
        <w:widowControl w:val="0"/>
        <w:tabs>
          <w:tab w:val="left" w:pos="437"/>
        </w:tabs>
        <w:autoSpaceDE w:val="0"/>
        <w:autoSpaceDN w:val="0"/>
        <w:spacing w:after="0" w:line="240" w:lineRule="auto"/>
        <w:ind w:left="567"/>
        <w:jc w:val="both"/>
        <w:rPr>
          <w:iCs/>
        </w:rPr>
      </w:pPr>
    </w:p>
    <w:p w14:paraId="40656C32" w14:textId="179B1E83">
      <w:pPr>
        <w:pStyle w:val="P68B1DB1-Normal15"/>
        <w:widowControl w:val="0"/>
        <w:tabs>
          <w:tab w:val="left" w:pos="437"/>
        </w:tabs>
        <w:autoSpaceDE w:val="0"/>
        <w:autoSpaceDN w:val="0"/>
        <w:spacing w:after="0" w:line="240" w:lineRule="auto"/>
        <w:ind w:left="567"/>
        <w:jc w:val="both"/>
        <w:rPr>
          <w:iCs/>
        </w:rPr>
      </w:pPr>
      <w:r>
        <w:t xml:space="preserve">39. A quest'ultimo riguardo, sebbene sia pacifico che il divieto di cui trattasi nel procedimento principale costituisce un "requisito di carattere generale", ai sensi dell'articolo 1, paragrafo 1, lettera e), della direttiva 2015/1535, occorre ancora esaminare, da un lato, se esso possa essere considerato "relativo all'accesso alle attività di servizi e al loro esercizio", laddove tale disposizione precisa che ciò si verifica, in particolare, per quanto riguarda le disposizioni relative al prestatore di servizi, ai servizi e al destinatario di servizi.</w:t>
      </w:r>
    </w:p>
    <w:p w14:paraId="0DF48DDD" w14:textId="77777777">
      <w:pPr>
        <w:pStyle w:val="P68B1DB1-Normal15"/>
        <w:widowControl w:val="0"/>
        <w:tabs>
          <w:tab w:val="left" w:pos="437"/>
        </w:tabs>
        <w:autoSpaceDE w:val="0"/>
        <w:autoSpaceDN w:val="0"/>
        <w:spacing w:after="0" w:line="240" w:lineRule="auto"/>
        <w:ind w:left="567"/>
        <w:jc w:val="both"/>
        <w:rPr>
          <w:iCs/>
        </w:rPr>
      </w:pPr>
    </w:p>
    <w:p w14:paraId="79F306A3" w14:textId="7430EFC3">
      <w:pPr>
        <w:pStyle w:val="P68B1DB1-Normal15"/>
        <w:widowControl w:val="0"/>
        <w:tabs>
          <w:tab w:val="left" w:pos="437"/>
        </w:tabs>
        <w:autoSpaceDE w:val="0"/>
        <w:autoSpaceDN w:val="0"/>
        <w:spacing w:after="0" w:line="240" w:lineRule="auto"/>
        <w:ind w:left="567"/>
        <w:jc w:val="both"/>
        <w:rPr>
          <w:iCs/>
        </w:rPr>
      </w:pPr>
      <w:r>
        <w:t xml:space="preserve">40. A tal riguardo, occorre rilevare che l'articolo 10, paragrafo 19, della legge sui giochi d'azzardo può rientrare nella nozione di "regola relativa ai servizi", in quanto prevede un divieto di incoraggiare, in particolare, la partecipazione al gioco a distanza e, in particolare, di pubblicare informazioni relative ai giochi d'azzardo sul sito Internet di un operatore di giochi d'azzardo o di compiere atti che incoraggiano la partecipazione a giochi d'azzardo (v., in tal senso, sentenza del 22 ottobre 2020, Sportingbet e Internet Opportunity Entertainment, C-275/19, punto 48 e giurisprudenza ivi citata).</w:t>
      </w:r>
    </w:p>
    <w:p w14:paraId="7B52939F" w14:textId="77777777">
      <w:pPr>
        <w:pStyle w:val="P68B1DB1-Normal15"/>
        <w:widowControl w:val="0"/>
        <w:tabs>
          <w:tab w:val="left" w:pos="437"/>
        </w:tabs>
        <w:autoSpaceDE w:val="0"/>
        <w:autoSpaceDN w:val="0"/>
        <w:spacing w:after="0" w:line="240" w:lineRule="auto"/>
        <w:ind w:left="567"/>
        <w:jc w:val="both"/>
        <w:rPr>
          <w:iCs/>
        </w:rPr>
      </w:pPr>
    </w:p>
    <w:p w14:paraId="29F63712" w14:textId="4449F712">
      <w:pPr>
        <w:pStyle w:val="P68B1DB1-Normal15"/>
        <w:widowControl w:val="0"/>
        <w:tabs>
          <w:tab w:val="left" w:pos="437"/>
        </w:tabs>
        <w:autoSpaceDE w:val="0"/>
        <w:autoSpaceDN w:val="0"/>
        <w:spacing w:after="0" w:line="240" w:lineRule="auto"/>
        <w:ind w:left="567"/>
        <w:jc w:val="both"/>
        <w:rPr>
          <w:iCs/>
        </w:rPr>
      </w:pPr>
      <w:r>
        <w:t xml:space="preserve">41. Dall'altro lato, come risulta dalla formulazione stessa dell'articolo 1, paragrafo 1, lettera e), della direttiva 2015/1535, per essere qualificato come "regola relativa ai servizi", il divieto di cui trattasi nel procedimento principale deve riguardare "specificamente" i servizi della società dell'informazione (v., in tal senso, sentenza del 12 settembre 2019, VG Media, C-299/17, ed., punto 31).</w:t>
      </w:r>
    </w:p>
    <w:p w14:paraId="65AB6E33" w14:textId="77777777">
      <w:pPr>
        <w:pStyle w:val="P68B1DB1-Normal15"/>
        <w:widowControl w:val="0"/>
        <w:tabs>
          <w:tab w:val="left" w:pos="437"/>
        </w:tabs>
        <w:autoSpaceDE w:val="0"/>
        <w:autoSpaceDN w:val="0"/>
        <w:spacing w:after="0" w:line="240" w:lineRule="auto"/>
        <w:ind w:left="567"/>
        <w:jc w:val="both"/>
        <w:rPr>
          <w:iCs/>
        </w:rPr>
      </w:pPr>
    </w:p>
    <w:p w14:paraId="3176C455" w14:textId="3F47F94F">
      <w:pPr>
        <w:pStyle w:val="P68B1DB1-Normal15"/>
        <w:widowControl w:val="0"/>
        <w:tabs>
          <w:tab w:val="left" w:pos="437"/>
        </w:tabs>
        <w:autoSpaceDE w:val="0"/>
        <w:autoSpaceDN w:val="0"/>
        <w:spacing w:after="0" w:line="240" w:lineRule="auto"/>
        <w:ind w:left="567"/>
        <w:jc w:val="both"/>
        <w:rPr>
          <w:iCs/>
        </w:rPr>
      </w:pPr>
      <w:r>
        <w:t xml:space="preserve">42. A tal riguardo, dall'articolo 1, paragrafo 1, lettera e), secondo comma, punto i), della direttiva 2015/1535 risulta che la verifica che una norma riguardi specificamente i servizi della società dell'informazione deve essere effettuata alla luce sia del tenore letterale di tale norma sia dello scopo da essa perseguito. Inoltre, ai sensi di tale disposizione, non è necessario che "lo scopo e l'oggetto specifici" dell'insieme della norma di cui trattasi sia quello di disciplinare i servizi della società dell'informazione, ma è sufficiente che essa persegua tale scopo o tale obiettivo mediante alcune delle sue disposizioni (v., in tal senso, sentenza del 12 settembre 2019, VG Media, C-299/17, ecueil punto 32 e giurisprudenza ivi citata). Infine, conformemente all'articolo 1, paragrafo 1, lettera e), secondo comma, punto ii), di tale direttiva, una norma non deve essere considerata riguardante specificamente i servizi della società dell'informazione se riguarda tali servizi solo in modo implicito o incidentale."</w:t>
      </w:r>
    </w:p>
    <w:p w14:paraId="755B8A78" w14:textId="53DC1D1F">
      <w:pPr>
        <w:spacing w:after="0" w:line="278" w:lineRule="auto"/>
      </w:pPr>
      <w:r>
        <w:br w:type="page"/>
      </w:r>
    </w:p>
    <w:p w14:paraId="66BD9244" w14:textId="7BFF7921">
      <w:pPr>
        <w:pStyle w:val="P68B1DB1-Heading24"/>
        <w:numPr>
          <w:ilvl w:val="0"/>
          <w:numId w:val="35"/>
        </w:numPr>
        <w:spacing w:before="0" w:after="0"/>
        <w:jc w:val="center"/>
        <w:rPr>
          <w:bCs/>
          <w:color w:val="auto"/>
        </w:rPr>
      </w:pPr>
      <w:bookmarkStart w:id="98" w:name="_Ref194484584"/>
      <w:bookmarkStart w:id="99" w:name="_Toc203035670"/>
      <w:r>
        <w:t xml:space="preserve">Disposizioni relative al divieto</w:t>
      </w:r>
      <w:bookmarkEnd w:id="98"/>
      <w:bookmarkEnd w:id="99"/>
    </w:p>
    <w:p w14:paraId="11A12362" w14:textId="77777777">
      <w:pPr>
        <w:pStyle w:val="BodyText"/>
      </w:pPr>
    </w:p>
    <w:p w14:paraId="6DD7108F" w14:textId="22E84863">
      <w:pPr>
        <w:pStyle w:val="P68B1DB1-BodyText11"/>
        <w:ind w:left="567"/>
        <w:rPr>
          <w:iCs/>
        </w:rPr>
      </w:pPr>
      <w:r>
        <w:t xml:space="preserve">""regola tecnica": [...] le disposizioni legislative, regolamentari o amministrative degli Stati membri, escluse quelle di cui all'articolo 7, che vietano la fabbricazione, l'importazione, la commercializzazione o l'uso di un prodotto o la prestazione o l'uso di un servizio o lo stabilimento come prestatore di servizi."</w:t>
      </w:r>
    </w:p>
    <w:p w14:paraId="6EA3335C" w14:textId="77777777">
      <w:pPr>
        <w:pStyle w:val="BodyText"/>
        <w:ind w:left="567"/>
        <w:rPr>
          <w:i/>
          <w:iCs/>
        </w:rPr>
      </w:pPr>
    </w:p>
    <w:p w14:paraId="05F6428B" w14:textId="3C27EE7A">
      <w:pPr>
        <w:pStyle w:val="BodyText"/>
        <w:ind w:left="1440"/>
        <w:jc w:val="right"/>
      </w:pPr>
      <w:r>
        <w:t xml:space="preserve">[articolo 1, paragrafo 1, lettera f), prima frase, della direttiva (UE) 2015/1535]</w:t>
      </w:r>
    </w:p>
    <w:p w14:paraId="38D8F2AB" w14:textId="77777777">
      <w:pPr>
        <w:spacing w:after="0" w:line="240" w:lineRule="auto"/>
      </w:pPr>
    </w:p>
    <w:p w14:paraId="0D9AB62C" w14:textId="1C629A78">
      <w:pPr>
        <w:pStyle w:val="P68B1DB1-Normal13"/>
        <w:widowControl w:val="0"/>
        <w:autoSpaceDE w:val="0"/>
        <w:autoSpaceDN w:val="0"/>
        <w:spacing w:after="0" w:line="240" w:lineRule="auto"/>
        <w:jc w:val="both"/>
        <w:outlineLvl w:val="1"/>
      </w:pPr>
      <w:hyperlink r:id="rId59" w:history="1">
        <w:r>
          <w:rPr>
            <w:color w:val="0000FF"/>
            <w:u w:val="single"/>
          </w:rPr>
          <w:t xml:space="preserve">Sentenza della Corte di giustizia del 16 settembre 1996</w:t>
        </w:r>
      </w:hyperlink>
      <w:r>
        <w:t xml:space="preserve">, Commissione/Italia, C-279/94, non ancora pubblicata nella Raccolta, punto 30.</w:t>
      </w:r>
      <w:bookmarkEnd w:id="100"/>
    </w:p>
    <w:p w14:paraId="034B7933" w14:textId="77777777">
      <w:pPr>
        <w:widowControl w:val="0"/>
        <w:tabs>
          <w:tab w:val="left" w:pos="396"/>
          <w:tab w:val="left" w:pos="461"/>
        </w:tabs>
        <w:autoSpaceDE w:val="0"/>
        <w:autoSpaceDN w:val="0"/>
        <w:spacing w:after="0" w:line="240" w:lineRule="auto"/>
        <w:ind w:hanging="142"/>
        <w:jc w:val="both"/>
        <w:rPr>
          <w:rFonts w:ascii="Times New Roman" w:hAnsi="Times New Roman" w:cs="Times New Roman" w:eastAsia="Times New Roman"/>
          <w:szCs w:val="20"/>
        </w:rPr>
      </w:pPr>
    </w:p>
    <w:p w14:paraId="01754A62" w14:textId="3AFCB111">
      <w:pPr>
        <w:pStyle w:val="P68B1DB1-Normal14"/>
        <w:widowControl w:val="0"/>
        <w:tabs>
          <w:tab w:val="left" w:pos="396"/>
          <w:tab w:val="left" w:pos="461"/>
        </w:tabs>
        <w:autoSpaceDE w:val="0"/>
        <w:autoSpaceDN w:val="0"/>
        <w:spacing w:after="0" w:line="240" w:lineRule="auto"/>
        <w:jc w:val="both"/>
      </w:pPr>
      <w:r>
        <w:t xml:space="preserve">Il divieto di immissione sul mercato e di utilizzo dell'amianto è una "regola tecnica" soggetta a notifica che deve essere notificata in quanto vieta la commercializzazione e l'uso di un prodotto.</w:t>
      </w:r>
    </w:p>
    <w:p w14:paraId="0BB35591" w14:textId="77777777">
      <w:pPr>
        <w:widowControl w:val="0"/>
        <w:tabs>
          <w:tab w:val="left" w:pos="396"/>
          <w:tab w:val="left" w:pos="461"/>
        </w:tabs>
        <w:autoSpaceDE w:val="0"/>
        <w:autoSpaceDN w:val="0"/>
        <w:spacing w:after="0" w:line="240" w:lineRule="auto"/>
        <w:jc w:val="both"/>
        <w:rPr>
          <w:rFonts w:ascii="Times New Roman" w:hAnsi="Times New Roman" w:cs="Times New Roman" w:eastAsia="Times New Roman"/>
          <w:szCs w:val="20"/>
        </w:rPr>
      </w:pPr>
    </w:p>
    <w:p w14:paraId="79E65C7B" w14:textId="4734296F">
      <w:pPr>
        <w:pStyle w:val="P68B1DB1-Normal15"/>
        <w:widowControl w:val="0"/>
        <w:tabs>
          <w:tab w:val="left" w:pos="396"/>
          <w:tab w:val="left" w:pos="461"/>
        </w:tabs>
        <w:autoSpaceDE w:val="0"/>
        <w:autoSpaceDN w:val="0"/>
        <w:spacing w:after="0" w:line="240" w:lineRule="auto"/>
        <w:ind w:left="567"/>
        <w:jc w:val="both"/>
        <w:rPr>
          <w:iCs/>
        </w:rPr>
      </w:pPr>
      <w:r>
        <w:t xml:space="preserve">"30. Per quanto riguarda l'articolo 1, paragrafo 2, della legge n. 257/92, tale disposizione vieta l'estrazione, l'importazione, l'esportazione, la commercializzazione e la produzione di amianto, prodotti a base di amianto e prodotti contenenti amianto dopo un anno dalla data di entrata in vigore della legge. Tale disposizione, vietando la commercializzazione e l'uso dell'amianto, costituisce una regola tecnica che il governo italiano avrebbe dovuto notificare ai sensi dell'articolo 8, paragrafo 1, primo comma, della direttiva."</w:t>
      </w:r>
    </w:p>
    <w:p w14:paraId="4C0F9A2E" w14:textId="77777777">
      <w:pPr>
        <w:spacing w:after="0" w:line="240" w:lineRule="auto"/>
      </w:pPr>
    </w:p>
    <w:p w14:paraId="6933A43F" w14:textId="3FDFB590">
      <w:pPr>
        <w:pStyle w:val="P68B1DB1-Normal13"/>
        <w:widowControl w:val="0"/>
        <w:autoSpaceDE w:val="0"/>
        <w:autoSpaceDN w:val="0"/>
        <w:spacing w:after="0" w:line="240" w:lineRule="auto"/>
        <w:jc w:val="both"/>
        <w:outlineLvl w:val="1"/>
      </w:pPr>
      <w:hyperlink r:id="rId60" w:history="1">
        <w:r>
          <w:rPr>
            <w:rStyle w:val="Hyperlink"/>
            <w:color w:val="0000FF"/>
          </w:rPr>
          <w:t xml:space="preserve">Sentenza della Corte di giustizia del 21 aprile 2005</w:t>
        </w:r>
      </w:hyperlink>
      <w:r>
        <w:t xml:space="preserve">, Lindberg, C-267/03, punti da 75 a 77.</w:t>
      </w:r>
      <w:bookmarkEnd w:id="101"/>
    </w:p>
    <w:p w14:paraId="7D30FB0C"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B1BE65B" w14:textId="4B7342F7">
      <w:pPr>
        <w:pStyle w:val="P68B1DB1-Normal14"/>
        <w:widowControl w:val="0"/>
        <w:tabs>
          <w:tab w:val="left" w:pos="396"/>
          <w:tab w:val="left" w:pos="425"/>
        </w:tabs>
        <w:autoSpaceDE w:val="0"/>
        <w:autoSpaceDN w:val="0"/>
        <w:spacing w:after="0" w:line="240" w:lineRule="auto"/>
        <w:jc w:val="both"/>
      </w:pPr>
      <w:r>
        <w:t xml:space="preserve">Un divieto nazionale riguardante taluni giochi d'azzardo può essere qualificato come disposizione di divieto se non lascia spazio ad alcun uso che possa ragionevolmente essere fatto del prodotto di cui trattasi se non un uso puramente marginale. Per contro, la qualificazione come divieto non dipende dall'effetto del divieto sulla composizione, sulla natura o sulla commercializzazione dei prodotti di cui trattasi.</w:t>
      </w:r>
    </w:p>
    <w:p w14:paraId="58611995"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3EBF5D94" w14:textId="0BC411D8">
      <w:pPr>
        <w:pStyle w:val="P68B1DB1-Normal15"/>
        <w:widowControl w:val="0"/>
        <w:tabs>
          <w:tab w:val="left" w:pos="396"/>
          <w:tab w:val="left" w:pos="425"/>
        </w:tabs>
        <w:autoSpaceDE w:val="0"/>
        <w:autoSpaceDN w:val="0"/>
        <w:spacing w:after="0" w:line="240" w:lineRule="auto"/>
        <w:ind w:left="567"/>
        <w:jc w:val="both"/>
      </w:pPr>
      <w:r>
        <w:t xml:space="preserve">"75. A tal riguardo, è significativo che, a differenza della seconda categoria costituita da altri requisiti ai sensi di tale articolo 1, paragrafo 3, tale terza categoria di regola tecnica definita all'articolo 1, paragrafo 9, della direttiva 83/189 non includa la condizione secondo cui il divieto di cui trattasi deve essere tale da influenzare in modo significativo la composizione o la natura del prodotto o la sua commercializzazione.</w:t>
      </w:r>
    </w:p>
    <w:p w14:paraId="4E75D46D" w14:textId="77777777">
      <w:pPr>
        <w:pStyle w:val="P68B1DB1-Normal15"/>
        <w:widowControl w:val="0"/>
        <w:tabs>
          <w:tab w:val="left" w:pos="396"/>
          <w:tab w:val="left" w:pos="425"/>
        </w:tabs>
        <w:autoSpaceDE w:val="0"/>
        <w:autoSpaceDN w:val="0"/>
        <w:spacing w:after="0" w:line="240" w:lineRule="auto"/>
        <w:ind w:left="567"/>
        <w:jc w:val="both"/>
      </w:pPr>
    </w:p>
    <w:p w14:paraId="19633563" w14:textId="56C5A4E5">
      <w:pPr>
        <w:pStyle w:val="P68B1DB1-Normal15"/>
        <w:widowControl w:val="0"/>
        <w:tabs>
          <w:tab w:val="left" w:pos="396"/>
          <w:tab w:val="left" w:pos="425"/>
        </w:tabs>
        <w:autoSpaceDE w:val="0"/>
        <w:autoSpaceDN w:val="0"/>
        <w:spacing w:after="0" w:line="240" w:lineRule="auto"/>
        <w:ind w:left="567"/>
        <w:jc w:val="both"/>
      </w:pPr>
      <w:r>
        <w:t xml:space="preserve">76. Poiché questa terza categoria di regole tecniche fa riferimento, segnatamente, ad un divieto di utilizzazione, deve trattarsi di misure che abbiano una portata evidentemente più ampia di una limitazione a taluni usi possibili del prodotto in questione, e che non si limitino pertanto ad una semplice restrizione dell'utilizzo di quest'ultimo.</w:t>
      </w:r>
    </w:p>
    <w:p w14:paraId="0E03DE00" w14:textId="77777777">
      <w:pPr>
        <w:pStyle w:val="P68B1DB1-Normal15"/>
        <w:widowControl w:val="0"/>
        <w:tabs>
          <w:tab w:val="left" w:pos="396"/>
          <w:tab w:val="left" w:pos="425"/>
        </w:tabs>
        <w:autoSpaceDE w:val="0"/>
        <w:autoSpaceDN w:val="0"/>
        <w:spacing w:after="0" w:line="240" w:lineRule="auto"/>
        <w:ind w:left="567"/>
        <w:jc w:val="both"/>
      </w:pPr>
    </w:p>
    <w:p w14:paraId="2FD32D99" w14:textId="6701B778">
      <w:pPr>
        <w:pStyle w:val="P68B1DB1-Normal15"/>
        <w:widowControl w:val="0"/>
        <w:tabs>
          <w:tab w:val="left" w:pos="396"/>
          <w:tab w:val="left" w:pos="425"/>
        </w:tabs>
        <w:autoSpaceDE w:val="0"/>
        <w:autoSpaceDN w:val="0"/>
        <w:spacing w:after="0" w:line="240" w:lineRule="auto"/>
        <w:ind w:left="567"/>
        <w:jc w:val="both"/>
        <w:rPr>
          <w:iCs/>
        </w:rPr>
      </w:pPr>
      <w:r>
        <w:t xml:space="preserve">77. Come rilevato dall'avvocato generale al punto 70 delle sue conclusioni, tale categoria di regole tecniche fa riferimento, in particolare, a misure nazionali che consentono solamente un utilizzo puramente marginale del prodotto in questione rispetto ai vari utilizzi ragionevolmente ipotizzabili dello stesso. Spetta al giudice nazionale verificare se il divieto imposto dalla disposizione nazionale di cui trattasi nella causa principale costituisca una misura di tal genere".</w:t>
      </w:r>
    </w:p>
    <w:p w14:paraId="67FF74EE"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68FE6490" w14:textId="328430DD">
      <w:pPr>
        <w:pStyle w:val="P68B1DB1-Normal13"/>
        <w:widowControl w:val="0"/>
        <w:autoSpaceDE w:val="0"/>
        <w:autoSpaceDN w:val="0"/>
        <w:spacing w:after="0" w:line="240" w:lineRule="auto"/>
        <w:jc w:val="both"/>
        <w:outlineLvl w:val="1"/>
      </w:pPr>
      <w:hyperlink r:id="rId61" w:history="1">
        <w:r>
          <w:rPr>
            <w:color w:val="0000FF"/>
            <w:u w:val="single"/>
          </w:rPr>
          <w:t xml:space="preserve">Sentenza della Corte di giustizia dell'8 settembre 2005</w:t>
        </w:r>
      </w:hyperlink>
      <w:r>
        <w:t xml:space="preserve">, Lidl Italia, C-303/04, punti 12 e 13.</w:t>
      </w:r>
      <w:bookmarkEnd w:id="102"/>
    </w:p>
    <w:p w14:paraId="0264E5E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3D45D27" w14:textId="04452AA9">
      <w:pPr>
        <w:pStyle w:val="P68B1DB1-Normal14"/>
        <w:widowControl w:val="0"/>
        <w:tabs>
          <w:tab w:val="left" w:pos="393"/>
        </w:tabs>
        <w:autoSpaceDE w:val="0"/>
        <w:autoSpaceDN w:val="0"/>
        <w:spacing w:after="0" w:line="240" w:lineRule="auto"/>
        <w:jc w:val="both"/>
      </w:pPr>
      <w:r>
        <w:t xml:space="preserve">Un divieto nazionale di commercializzazione di prodotti non fabbricati a partire da determinati materiali costituisce una disposizione che vieta la fabbricazione e la commercializzazione di prodotti.</w:t>
      </w:r>
    </w:p>
    <w:p w14:paraId="35068EA4" w14:textId="77777777">
      <w:pPr>
        <w:widowControl w:val="0"/>
        <w:tabs>
          <w:tab w:val="left" w:pos="393"/>
        </w:tabs>
        <w:autoSpaceDE w:val="0"/>
        <w:autoSpaceDN w:val="0"/>
        <w:spacing w:after="0" w:line="240" w:lineRule="auto"/>
        <w:jc w:val="both"/>
        <w:rPr>
          <w:rFonts w:ascii="Times New Roman" w:hAnsi="Times New Roman" w:cs="Times New Roman" w:eastAsia="Times New Roman"/>
          <w:szCs w:val="20"/>
        </w:rPr>
      </w:pPr>
    </w:p>
    <w:p w14:paraId="4997783D" w14:textId="60D54546">
      <w:pPr>
        <w:pStyle w:val="P68B1DB1-Normal15"/>
        <w:widowControl w:val="0"/>
        <w:tabs>
          <w:tab w:val="left" w:pos="393"/>
        </w:tabs>
        <w:autoSpaceDE w:val="0"/>
        <w:autoSpaceDN w:val="0"/>
        <w:spacing w:after="0" w:line="240" w:lineRule="auto"/>
        <w:ind w:left="567"/>
        <w:jc w:val="both"/>
      </w:pPr>
      <w:r>
        <w:t xml:space="preserve">"12. ai sensi dell'articolo 1, paragrafo 11, della direttiva 98/34, una disposizione nazionale di uno Stato membro che vieti la fabbricazione, l'importazione, la commercializzazione o l'uso di un prodotto deve essere considerata una categoria di regola tecnica (v. sentenza del 2005 luglio 0000, Lindberg, C-267/03, non ancora pubblicata nella Raccolta, punto 54).</w:t>
      </w:r>
    </w:p>
    <w:p w14:paraId="52ECA4AF" w14:textId="77777777">
      <w:pPr>
        <w:pStyle w:val="P68B1DB1-Normal15"/>
        <w:widowControl w:val="0"/>
        <w:tabs>
          <w:tab w:val="left" w:pos="393"/>
        </w:tabs>
        <w:autoSpaceDE w:val="0"/>
        <w:autoSpaceDN w:val="0"/>
        <w:spacing w:after="0" w:line="240" w:lineRule="auto"/>
        <w:ind w:left="567"/>
        <w:jc w:val="both"/>
      </w:pPr>
    </w:p>
    <w:p w14:paraId="08984434" w14:textId="6B561E58">
      <w:pPr>
        <w:pStyle w:val="P68B1DB1-Normal15"/>
        <w:widowControl w:val="0"/>
        <w:tabs>
          <w:tab w:val="left" w:pos="393"/>
        </w:tabs>
        <w:autoSpaceDE w:val="0"/>
        <w:autoSpaceDN w:val="0"/>
        <w:spacing w:after="0" w:line="240" w:lineRule="auto"/>
        <w:ind w:left="567"/>
        <w:jc w:val="both"/>
        <w:rPr>
          <w:iCs/>
        </w:rPr>
      </w:pPr>
      <w:r>
        <w:t xml:space="preserve">13. Nel caso di specie, è sufficiente constatare che l'articolo 19, paragrafo 2, della legge n. 93/2001 costituisce una disposizione di questo tipo. Ai sensi di tale disposizione, la produzione e la commercializzazione di gemme di cotone che non presentano le caratteristiche menzionate, vale a dire quelle che non sono interamente fabbricate con materiali biodegradabili conformemente alle norme UNI 10785, costituiscono violazioni passibili di sanzioni amministrative."</w:t>
      </w:r>
    </w:p>
    <w:p w14:paraId="7E80215F"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6717B4ED" w14:textId="65166FE4">
      <w:pPr>
        <w:pStyle w:val="P68B1DB1-Normal13"/>
        <w:widowControl w:val="0"/>
        <w:autoSpaceDE w:val="0"/>
        <w:autoSpaceDN w:val="0"/>
        <w:spacing w:after="0" w:line="240" w:lineRule="auto"/>
        <w:jc w:val="both"/>
        <w:outlineLvl w:val="1"/>
      </w:pPr>
      <w:r>
        <w:t xml:space="preserve">Sentenza </w:t>
      </w:r>
      <w:hyperlink r:id="rId62" w:history="1">
        <w:r>
          <w:rPr>
            <w:color w:val="0000FF"/>
            <w:u w:val="single"/>
          </w:rPr>
          <w:t xml:space="preserve">della Corte di giustizia del 26 ottobre 2006</w:t>
        </w:r>
      </w:hyperlink>
      <w:r>
        <w:t xml:space="preserve">, Commissione/Grecia, C-65/05, non ancora pubblicata nella Raccolta, punto 61.</w:t>
      </w:r>
      <w:bookmarkEnd w:id="103"/>
    </w:p>
    <w:p w14:paraId="1384E76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CAE2532" w14:textId="2EC175AF">
      <w:pPr>
        <w:pStyle w:val="P68B1DB1-Normal14"/>
        <w:widowControl w:val="0"/>
        <w:tabs>
          <w:tab w:val="left" w:pos="415"/>
        </w:tabs>
        <w:autoSpaceDE w:val="0"/>
        <w:autoSpaceDN w:val="0"/>
        <w:spacing w:after="0" w:line="240" w:lineRule="auto"/>
        <w:jc w:val="both"/>
      </w:pPr>
      <w:r>
        <w:t xml:space="preserve">Devono essere considerate regole tecniche le misure che vietano l'installazione, al di fuori dei casinò, di tutti i dispositivi di gioco elettrici o elettronici e l'utilizzo di giochi per computer nelle imprese che forniscono servizi Internet, nonché che subordinano la gestione di tali imprese al rilascio di una licenza speciale.</w:t>
      </w:r>
    </w:p>
    <w:p w14:paraId="6FD5D3A4" w14:textId="77777777">
      <w:pPr>
        <w:widowControl w:val="0"/>
        <w:tabs>
          <w:tab w:val="left" w:pos="415"/>
        </w:tabs>
        <w:autoSpaceDE w:val="0"/>
        <w:autoSpaceDN w:val="0"/>
        <w:spacing w:after="0" w:line="240" w:lineRule="auto"/>
        <w:jc w:val="both"/>
        <w:rPr>
          <w:rFonts w:ascii="Times New Roman" w:hAnsi="Times New Roman" w:cs="Times New Roman" w:eastAsia="Times New Roman"/>
          <w:szCs w:val="20"/>
        </w:rPr>
      </w:pPr>
    </w:p>
    <w:p w14:paraId="79252ABE" w14:textId="0E924053">
      <w:pPr>
        <w:pStyle w:val="P68B1DB1-Normal15"/>
        <w:widowControl w:val="0"/>
        <w:tabs>
          <w:tab w:val="left" w:pos="415"/>
        </w:tabs>
        <w:autoSpaceDE w:val="0"/>
        <w:autoSpaceDN w:val="0"/>
        <w:spacing w:after="0" w:line="240" w:lineRule="auto"/>
        <w:ind w:left="567"/>
        <w:jc w:val="both"/>
        <w:rPr>
          <w:iCs/>
        </w:rPr>
      </w:pPr>
      <w:r>
        <w:t>"</w:t>
      </w:r>
      <w:bookmarkStart w:id="104" w:name="point61"/>
      <w:r>
        <w:t>61</w:t>
      </w:r>
      <w:bookmarkEnd w:id="104"/>
      <w:r>
        <w:t xml:space="preserve">. [...] misure come quelle di cui agli articoli 2 (1) e 3 della legge n. 3037/2002, nella parte in cui vietano l'installazione in Grecia di tutti i giochi elettrici, elettromeccanici ed elettronici, compresi tutti i giochi per computer, in tutti i locali pubblici e privati ad eccezione dei casinò, nonché l'utilizzo di giochi su computer nelle imprese che forniscono servizi Internet, e subordinano la gestione di tali imprese al rilascio di un'autorizzazione speciale, devono essere considerate regole tecniche ai sensi dell'articolo 1, paragrafo 11, della direttiva 98/34 (v., in tal senso,</w:t>
        <w:noBreakHyphen/>
        <w:t xml:space="preserve">causa C 267/03, Lindberg, Racc. 2005,</w:t>
        <w:noBreakHyphen/>
        <w:t xml:space="preserve">pag. I 3247)."</w:t>
      </w:r>
    </w:p>
    <w:p w14:paraId="0089E684"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03A587DA" w14:textId="394DDB7B">
      <w:pPr>
        <w:pStyle w:val="P68B1DB1-Normal13"/>
        <w:widowControl w:val="0"/>
        <w:autoSpaceDE w:val="0"/>
        <w:autoSpaceDN w:val="0"/>
        <w:spacing w:after="0" w:line="240" w:lineRule="auto"/>
        <w:jc w:val="both"/>
        <w:outlineLvl w:val="1"/>
      </w:pPr>
      <w:hyperlink r:id="rId63" w:history="1">
        <w:r>
          <w:rPr>
            <w:color w:val="0000FF"/>
            <w:u w:val="single"/>
          </w:rPr>
          <w:t xml:space="preserve">Sentenza del 19 luglio 2012</w:t>
        </w:r>
      </w:hyperlink>
      <w:r>
        <w:t xml:space="preserve">, Fortuna e altri, C-213/11, C-214/11 e C-217/11, punti 24 e 25.</w:t>
      </w:r>
      <w:bookmarkEnd w:id="105"/>
    </w:p>
    <w:p w14:paraId="005978D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37C6309" w14:textId="4A0E435F">
      <w:pPr>
        <w:pStyle w:val="P68B1DB1-Normal14"/>
        <w:widowControl w:val="0"/>
        <w:tabs>
          <w:tab w:val="left" w:pos="451"/>
        </w:tabs>
        <w:autoSpaceDE w:val="0"/>
        <w:autoSpaceDN w:val="0"/>
        <w:spacing w:after="0" w:line="240" w:lineRule="auto"/>
        <w:jc w:val="both"/>
      </w:pPr>
      <w:r>
        <w:t xml:space="preserve">Una misura che vieta l'uso di apparecchi automatici per il gioco al di fuori dei casinò deve essere qualificata come "regola tecnica".</w:t>
      </w:r>
    </w:p>
    <w:p w14:paraId="55F00ED6" w14:textId="77777777">
      <w:pPr>
        <w:widowControl w:val="0"/>
        <w:tabs>
          <w:tab w:val="left" w:pos="451"/>
        </w:tabs>
        <w:autoSpaceDE w:val="0"/>
        <w:autoSpaceDN w:val="0"/>
        <w:spacing w:after="0" w:line="240" w:lineRule="auto"/>
        <w:jc w:val="both"/>
        <w:rPr>
          <w:rFonts w:ascii="Times New Roman" w:hAnsi="Times New Roman" w:cs="Times New Roman" w:eastAsia="Times New Roman"/>
          <w:szCs w:val="20"/>
        </w:rPr>
      </w:pPr>
    </w:p>
    <w:p w14:paraId="4C7F2437" w14:textId="071474DD">
      <w:pPr>
        <w:pStyle w:val="P68B1DB1-Normal15"/>
        <w:widowControl w:val="0"/>
        <w:tabs>
          <w:tab w:val="left" w:pos="451"/>
        </w:tabs>
        <w:autoSpaceDE w:val="0"/>
        <w:autoSpaceDN w:val="0"/>
        <w:spacing w:after="0" w:line="240" w:lineRule="auto"/>
        <w:ind w:left="567"/>
        <w:jc w:val="both"/>
      </w:pPr>
      <w:r>
        <w:t xml:space="preserve">"24. [...] la Corte ha già dichiarato che le misure che vietano l'uso di tutti i giochi elettrici, elettromeccanici ed elettronici in tutti i locali pubblici e privati, esclusi i casinò, devono essere considerate regole tecniche ai sensi dell'articolo 1, paragrafo 11, della direttiva 98/34 (causa C-65/05, Commissione/Grecia, Racc. 2006, pag. I-10341, punto 61).</w:t>
      </w:r>
    </w:p>
    <w:p w14:paraId="449D41B3" w14:textId="77777777">
      <w:pPr>
        <w:pStyle w:val="P68B1DB1-Normal15"/>
        <w:widowControl w:val="0"/>
        <w:tabs>
          <w:tab w:val="left" w:pos="451"/>
        </w:tabs>
        <w:autoSpaceDE w:val="0"/>
        <w:autoSpaceDN w:val="0"/>
        <w:spacing w:after="0" w:line="240" w:lineRule="auto"/>
        <w:ind w:left="567"/>
        <w:jc w:val="both"/>
      </w:pPr>
    </w:p>
    <w:p w14:paraId="19795D70" w14:textId="79DBEA4A">
      <w:pPr>
        <w:pStyle w:val="P68B1DB1-Normal15"/>
        <w:widowControl w:val="0"/>
        <w:tabs>
          <w:tab w:val="left" w:pos="451"/>
        </w:tabs>
        <w:autoSpaceDE w:val="0"/>
        <w:autoSpaceDN w:val="0"/>
        <w:spacing w:after="0" w:line="240" w:lineRule="auto"/>
        <w:ind w:left="567"/>
        <w:jc w:val="both"/>
        <w:rPr>
          <w:iCs/>
        </w:rPr>
      </w:pPr>
      <w:r>
        <w:t xml:space="preserve">25. Pertanto, una misura, come l'articolo 14, paragrafo 1, della legge sui giochi d'azzardo, che consente solo ai casinò di organizzare giochi automatici deve essere qualificata come "regola tecnica" ai sensi dell'articolo 1, paragrafo 11, della direttiva 98/34."</w:t>
      </w:r>
    </w:p>
    <w:p w14:paraId="4A0CD426" w14:textId="77777777">
      <w:pPr>
        <w:spacing w:after="0" w:line="240" w:lineRule="auto"/>
      </w:pPr>
    </w:p>
    <w:p w14:paraId="1675A539" w14:textId="6C824499">
      <w:pPr>
        <w:pStyle w:val="P68B1DB1-Normal13"/>
        <w:widowControl w:val="0"/>
        <w:autoSpaceDE w:val="0"/>
        <w:autoSpaceDN w:val="0"/>
        <w:spacing w:after="0" w:line="240" w:lineRule="auto"/>
        <w:jc w:val="both"/>
        <w:outlineLvl w:val="1"/>
      </w:pPr>
      <w:hyperlink r:id="rId64" w:history="1">
        <w:r>
          <w:rPr>
            <w:color w:val="0000FF"/>
            <w:u w:val="single"/>
          </w:rPr>
          <w:t xml:space="preserve">Sentenza della Corte di giustizia del 27 ottobre 2016</w:t>
        </w:r>
      </w:hyperlink>
      <w:r>
        <w:t xml:space="preserve">, James Elliott Construction, C-613/14, punto 70.</w:t>
      </w:r>
      <w:bookmarkEnd w:id="106"/>
    </w:p>
    <w:p w14:paraId="3A50454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3D45187" w14:textId="07CFD998">
      <w:pPr>
        <w:widowControl w:val="0"/>
        <w:tabs>
          <w:tab w:val="left" w:pos="430"/>
        </w:tabs>
        <w:autoSpaceDE w:val="0"/>
        <w:autoSpaceDN w:val="0"/>
        <w:spacing w:after="0" w:line="240" w:lineRule="auto"/>
        <w:jc w:val="both"/>
        <w:rPr>
          <w:rFonts w:ascii="Times New Roman" w:hAnsi="Times New Roman" w:cs="Times New Roman" w:eastAsia="Times New Roman"/>
          <w:szCs w:val="20"/>
        </w:rPr>
        <w:pStyle w:val="P68B1DB1-Normal14"/>
      </w:pPr>
      <w:r>
        <w:t xml:space="preserve">Le disposizioni nazionali che stabiliscono condizioni contrattuali implicite relative alla qualità mercantile, all'idoneità all'uso o alla qualità generale dei prodotti venduti non costituiscono disposizioni di divieto.</w:t>
      </w:r>
    </w:p>
    <w:p w14:paraId="399B39AC" w14:textId="77777777">
      <w:pPr>
        <w:widowControl w:val="0"/>
        <w:tabs>
          <w:tab w:val="left" w:pos="430"/>
        </w:tabs>
        <w:autoSpaceDE w:val="0"/>
        <w:autoSpaceDN w:val="0"/>
        <w:spacing w:after="0" w:line="240" w:lineRule="auto"/>
        <w:jc w:val="both"/>
        <w:rPr>
          <w:rFonts w:ascii="Times New Roman" w:hAnsi="Times New Roman" w:cs="Times New Roman" w:eastAsia="Times New Roman"/>
          <w:i/>
          <w:iCs/>
          <w:sz w:val="20"/>
          <w:szCs w:val="16"/>
        </w:rPr>
      </w:pPr>
    </w:p>
    <w:p w14:paraId="03484B57" w14:textId="639C0DF2">
      <w:pPr>
        <w:pStyle w:val="P68B1DB1-Normal15"/>
        <w:widowControl w:val="0"/>
        <w:tabs>
          <w:tab w:val="left" w:pos="430"/>
        </w:tabs>
        <w:autoSpaceDE w:val="0"/>
        <w:autoSpaceDN w:val="0"/>
        <w:spacing w:after="0" w:line="240" w:lineRule="auto"/>
        <w:ind w:left="567"/>
        <w:jc w:val="both"/>
        <w:rPr>
          <w:iCs/>
        </w:rPr>
      </w:pPr>
      <w:r>
        <w:t>"</w:t>
      </w:r>
      <w:bookmarkStart w:id="107" w:name="point70"/>
      <w:r>
        <w:t>70</w:t>
      </w:r>
      <w:bookmarkEnd w:id="107"/>
      <w:r>
        <w:t xml:space="preserve">. [...] la normativa di cui trattasi nel procedimento principale non rientra nell'ambito di applicazione delle regole tecniche di cui all'articolo 1, paragrafo 11, della direttiva 98/34, in quanto, limitandosi ad enunciare prescrizioni contrattuali implicite, essa non contiene alcun divieto, ai sensi di tale direttiva, di fabbricazione, importazione, commercializzazione o utilizzo di un prodotto, di prestazione o di utilizzo di un servizio o di stabilimento in qualità di prestatore di servizi."</w:t>
      </w:r>
    </w:p>
    <w:p w14:paraId="444E99F8" w14:textId="77777777">
      <w:pPr>
        <w:spacing w:after="0" w:line="240" w:lineRule="auto"/>
      </w:pPr>
    </w:p>
    <w:p w14:paraId="178807FF" w14:textId="18545DE8">
      <w:pPr>
        <w:pStyle w:val="P68B1DB1-Normal13"/>
        <w:widowControl w:val="0"/>
        <w:autoSpaceDE w:val="0"/>
        <w:autoSpaceDN w:val="0"/>
        <w:spacing w:after="0" w:line="240" w:lineRule="auto"/>
        <w:jc w:val="both"/>
        <w:outlineLvl w:val="1"/>
      </w:pPr>
      <w:hyperlink r:id="rId65" w:anchor="ctx1" w:history="1">
        <w:r>
          <w:rPr>
            <w:color w:val="0000FF"/>
            <w:u w:val="single"/>
          </w:rPr>
          <w:t xml:space="preserve">Sentenza della Corte di giustizia del 28 maggio 2020</w:t>
        </w:r>
      </w:hyperlink>
      <w:r>
        <w:t xml:space="preserve">, ECO-WIND Construction, C-727/17, punti da 45 a 47.</w:t>
      </w:r>
      <w:bookmarkEnd w:id="108"/>
    </w:p>
    <w:p w14:paraId="58A77184" w14:textId="77777777">
      <w:pPr>
        <w:widowControl w:val="0"/>
        <w:autoSpaceDE w:val="0"/>
        <w:autoSpaceDN w:val="0"/>
        <w:spacing w:after="0" w:line="240" w:lineRule="auto"/>
        <w:jc w:val="both"/>
        <w:rPr>
          <w:rFonts w:ascii="Times New Roman" w:hAnsi="Times New Roman" w:cs="Times New Roman" w:eastAsia="Times New Roman"/>
          <w:szCs w:val="20"/>
        </w:rPr>
      </w:pPr>
    </w:p>
    <w:p w14:paraId="2ABAB16B" w14:textId="5B45D2BF">
      <w:pPr>
        <w:pStyle w:val="P68B1DB1-Normal14"/>
        <w:widowControl w:val="0"/>
        <w:autoSpaceDE w:val="0"/>
        <w:autoSpaceDN w:val="0"/>
        <w:spacing w:after="0" w:line="240" w:lineRule="auto"/>
        <w:jc w:val="both"/>
      </w:pPr>
      <w:r>
        <w:t xml:space="preserve">Una normativa che impone una distanza minima per l'installazione di turbine eoliche non costituisce un divieto di fabbricazione, importazione, commercializzazione o utilizzo di un prodotto, a meno che non comporti di fatto un divieto di commercializzazione delle turbine eoliche, che non lasci spazio ad alcun uso di turbine eoliche se non ad uno puramente marginale.</w:t>
      </w:r>
    </w:p>
    <w:p w14:paraId="57350EE4" w14:textId="77777777">
      <w:pPr>
        <w:pStyle w:val="BodyText"/>
        <w:jc w:val="left"/>
      </w:pPr>
    </w:p>
    <w:p w14:paraId="671DACC6" w14:textId="1CB89713">
      <w:pPr>
        <w:pStyle w:val="P68B1DB1-BodyText19"/>
        <w:ind w:left="567"/>
        <w:rPr>
          <w:iCs/>
        </w:rPr>
      </w:pPr>
      <w:r>
        <w:t xml:space="preserve">"45. Tale categoria presuppone che la misura di cui trattasi abbia una portata che va chiaramente al di là di una limitazione a taluni usi del prodotto di cui trattasi e che non si limiti a una semplice restrizione del suo uso (sentenze del 21 aprile 2005, Lindberg, C-267/03, ecueil, punto 76, e del 19 luglio 2012, Fortuna e a., C-213/11, C-214/11 e C-217/11, punto 31).</w:t>
      </w:r>
    </w:p>
    <w:p w14:paraId="787A0A4F" w14:textId="77777777">
      <w:pPr>
        <w:pStyle w:val="P68B1DB1-BodyText19"/>
        <w:ind w:left="567"/>
        <w:rPr>
          <w:iCs/>
        </w:rPr>
      </w:pPr>
    </w:p>
    <w:p w14:paraId="7CEA657E" w14:textId="35F61E5B">
      <w:pPr>
        <w:pStyle w:val="P68B1DB1-BodyText19"/>
        <w:ind w:left="567"/>
        <w:rPr>
          <w:iCs/>
        </w:rPr>
      </w:pPr>
      <w:r>
        <w:t xml:space="preserve">46. Tale categoria è destinata, in particolare, a ricomprendere le misure nazionali che non lascino spazio ad alcun uso che possa ragionevolmente essere fatto del prodotto di cui trattasi se non un uso puramente marginale (sentenze del 21 aprile 2005, Lindberg, C-267/03, dure, punto 77, e del 19 luglio 2012, Fortuna e a., C-213/11, C-214/11 e C-217/11, punto 32).</w:t>
      </w:r>
    </w:p>
    <w:p w14:paraId="47448916" w14:textId="77777777">
      <w:pPr>
        <w:pStyle w:val="P68B1DB1-BodyText19"/>
        <w:ind w:left="567"/>
        <w:rPr>
          <w:iCs/>
        </w:rPr>
      </w:pPr>
    </w:p>
    <w:p w14:paraId="6508CA59" w14:textId="00D7F268">
      <w:pPr>
        <w:pStyle w:val="P68B1DB1-BodyText19"/>
        <w:ind w:left="567"/>
        <w:rPr>
          <w:iCs/>
        </w:rPr>
      </w:pPr>
      <w:r>
        <w:t xml:space="preserve">47. Nel caso di specie, se è vero che il requisito secondo cui l'installazione di una turbina eolica è subordinata al rispetto del requisito della distanza minima tra tale turbina eolica e gli edifici con funzione residenziale, imposto dalla normativa nazionale di cui trattasi nel procedimento principale, comporta certamente il divieto di installare una turbina eolica a una distanza minima inferiore a dieci volte l'altezza totale dell'impianto progettato da qualsiasi edificio avente una funzione residenziale, occorre rilevare che tale normativa non vieta tuttavia agli operatori economici di continuare a installare turbine eoliche e, pertanto, di utilizzare e commercializzare generatori eolici".</w:t>
      </w:r>
    </w:p>
    <w:p w14:paraId="17B77596" w14:textId="77777777">
      <w:pPr>
        <w:pStyle w:val="P68B1DB1-Normal4"/>
        <w:spacing w:after="0" w:line="240" w:lineRule="auto"/>
        <w:rPr>
          <w:rFonts w:ascii="Times New Roman" w:hAnsi="Times New Roman" w:cs="Times New Roman" w:eastAsia="Times New Roman"/>
          <w:i/>
          <w:iCs/>
          <w:szCs w:val="20"/>
        </w:rPr>
      </w:pPr>
      <w:r>
        <w:br w:type="page"/>
      </w:r>
    </w:p>
    <w:p w14:paraId="235FB3C0" w14:textId="44F6C5C7">
      <w:pPr>
        <w:pStyle w:val="P68B1DB1-Heading24"/>
        <w:numPr>
          <w:ilvl w:val="0"/>
          <w:numId w:val="35"/>
        </w:numPr>
        <w:spacing w:before="0" w:after="0"/>
        <w:jc w:val="center"/>
        <w:rPr>
          <w:bCs/>
          <w:color w:val="auto"/>
        </w:rPr>
      </w:pPr>
      <w:bookmarkStart w:id="109" w:name="_Ref194484603"/>
      <w:bookmarkStart w:id="110" w:name="_Toc203035671"/>
      <w:r>
        <w:t xml:space="preserve">De Facto Technical Regulations (Regolamentazioni tecniche)</w:t>
      </w:r>
      <w:bookmarkEnd w:id="109"/>
      <w:bookmarkEnd w:id="110"/>
    </w:p>
    <w:p w14:paraId="297F85EC" w14:textId="77777777">
      <w:pPr>
        <w:pStyle w:val="BodyText"/>
      </w:pPr>
    </w:p>
    <w:p w14:paraId="6C908457" w14:textId="3B825828">
      <w:pPr>
        <w:pStyle w:val="P68B1DB1-BodyText11"/>
        <w:ind w:left="567"/>
        <w:rPr>
          <w:i/>
        </w:rPr>
      </w:pPr>
      <w:r>
        <w:t xml:space="preserve">"Le regolamentazioni tecniche di fatto comprendono: </w:t>
      </w:r>
    </w:p>
    <w:p w14:paraId="277715A6" w14:textId="77777777">
      <w:pPr>
        <w:pStyle w:val="BodyText"/>
        <w:ind w:left="567"/>
        <w:rPr>
          <w:i/>
        </w:rPr>
      </w:pPr>
    </w:p>
    <w:p w14:paraId="28BCD2BD" w14:textId="757EEC79">
      <w:pPr>
        <w:pStyle w:val="P68B1DB1-BodyText11"/>
        <w:numPr>
          <w:ilvl w:val="0"/>
          <w:numId w:val="31"/>
        </w:numPr>
        <w:rPr>
          <w:i/>
        </w:rPr>
      </w:pPr>
      <w:r>
        <w:t xml:space="preserve">le disposizioni legislative, regolamentari o amministrative di uno Stato membro che fanno riferimento o a specificazioni tecniche o ad altri requisiti o a regole relative ai servizi, o a codici professionali o di buona prassi che si riferiscono a loro volta a specificazioni tecniche o ad altri requisiti ovvero a regole relative ai servizi e la cui osservanza conferisce una presunzione di conformità alle prescrizioni fissate dalle suddette disposizioni legislative, regolamentari o amministrative; </w:t>
      </w:r>
    </w:p>
    <w:p w14:paraId="32E4257D" w14:textId="77777777">
      <w:pPr>
        <w:pStyle w:val="BodyText"/>
        <w:ind w:left="1287"/>
        <w:rPr>
          <w:i/>
        </w:rPr>
      </w:pPr>
    </w:p>
    <w:p w14:paraId="5E0B6B62" w14:textId="2D5EF06C">
      <w:pPr>
        <w:pStyle w:val="P68B1DB1-BodyText11"/>
        <w:numPr>
          <w:ilvl w:val="0"/>
          <w:numId w:val="31"/>
        </w:numPr>
        <w:rPr>
          <w:i/>
        </w:rPr>
      </w:pPr>
      <w:r>
        <w:t xml:space="preserve">gli accordi facoltativi dei quali l'autorità pubblica è parte contraente e che, nell'interesse generale mirano al rispetto di specificazioni tecniche o di altri requisiti, o di regole relative ai servizi, ad eccezione del capitolato degli appalti pubblici; </w:t>
      </w:r>
    </w:p>
    <w:p w14:paraId="4BEF10A9" w14:textId="77777777">
      <w:pPr>
        <w:pStyle w:val="BodyText"/>
        <w:rPr>
          <w:i/>
        </w:rPr>
      </w:pPr>
    </w:p>
    <w:p w14:paraId="5C79F6B1" w14:textId="7967F579">
      <w:pPr>
        <w:pStyle w:val="P68B1DB1-BodyText11"/>
        <w:numPr>
          <w:ilvl w:val="0"/>
          <w:numId w:val="31"/>
        </w:numPr>
        <w:rPr>
          <w:i/>
        </w:rPr>
      </w:pPr>
      <w:r>
        <w:t xml:space="preserve">le specificazioni tecniche o altri requisiti o le regole relative ai servizi connessi con misure di carattere fiscale o finanziario che influenzano il consumo di prodotti o di servizi promuovendo l'osservanza di tali specificazioni tecniche o altri requisiti o regole relative ai servizi; non sono incluse le specifiche tecniche o altri requisiti o le regole relative ai servizi connessi ai sistemi nazionali di sicurezza sociale. </w:t>
      </w:r>
    </w:p>
    <w:p w14:paraId="712A28B1" w14:textId="77777777">
      <w:pPr>
        <w:pStyle w:val="BodyText"/>
        <w:rPr>
          <w:i/>
        </w:rPr>
      </w:pPr>
    </w:p>
    <w:p w14:paraId="24545D3F" w14:textId="615DFC82">
      <w:pPr>
        <w:pStyle w:val="P68B1DB1-BodyText11"/>
        <w:ind w:left="567"/>
        <w:rPr>
          <w:i/>
        </w:rPr>
      </w:pPr>
      <w:r>
        <w:t xml:space="preserve">Si tratta di regole tecniche imposte dalle autorità designate dagli Stati membri e figuranti in un elenco redatto e aggiornato, se del caso, dalla Commissione nell'ambito del comitato di cui all'articolo 2."</w:t>
      </w:r>
    </w:p>
    <w:p w14:paraId="5E87FB40" w14:textId="77777777">
      <w:pPr>
        <w:pStyle w:val="BodyText"/>
        <w:ind w:left="567"/>
        <w:rPr>
          <w:i/>
        </w:rPr>
      </w:pPr>
    </w:p>
    <w:p w14:paraId="5389ED96" w14:textId="0CBC1966">
      <w:pPr>
        <w:pStyle w:val="BodyText"/>
        <w:jc w:val="right"/>
      </w:pPr>
      <w:r>
        <w:t xml:space="preserve">[articolo 1, paragrafo 1, lettera f), seconda e terza frase, della direttiva (UE) 2015/1535]</w:t>
      </w:r>
    </w:p>
    <w:p w14:paraId="1343FCC6" w14:textId="77777777">
      <w:pPr>
        <w:pStyle w:val="BodyText"/>
        <w:ind w:left="567"/>
        <w:rPr>
          <w:i/>
          <w:iCs/>
          <w:sz w:val="20"/>
        </w:rPr>
      </w:pPr>
    </w:p>
    <w:p w14:paraId="46B01CEE" w14:textId="37C6A676">
      <w:pPr>
        <w:pStyle w:val="P68B1DB1-Normal13"/>
        <w:widowControl w:val="0"/>
        <w:autoSpaceDE w:val="0"/>
        <w:autoSpaceDN w:val="0"/>
        <w:spacing w:after="0" w:line="240" w:lineRule="auto"/>
        <w:jc w:val="both"/>
        <w:outlineLvl w:val="1"/>
      </w:pPr>
      <w:hyperlink r:id="rId66" w:history="1">
        <w:r>
          <w:rPr>
            <w:color w:val="0000FF"/>
            <w:u w:val="single"/>
          </w:rPr>
          <w:t xml:space="preserve">Sentenza della Corte di giustizia del 20 marzo 1997</w:t>
        </w:r>
      </w:hyperlink>
      <w:r>
        <w:t xml:space="preserve">, Bic Benelux, C-13/96, punti da 23 a 25.</w:t>
      </w:r>
      <w:bookmarkEnd w:id="111"/>
    </w:p>
    <w:p w14:paraId="6D52B9D0" w14:textId="77777777">
      <w:pPr>
        <w:widowControl w:val="0"/>
        <w:tabs>
          <w:tab w:val="left" w:pos="396"/>
          <w:tab w:val="left" w:pos="400"/>
        </w:tabs>
        <w:autoSpaceDE w:val="0"/>
        <w:autoSpaceDN w:val="0"/>
        <w:spacing w:after="0" w:line="240" w:lineRule="auto"/>
        <w:jc w:val="both"/>
        <w:rPr>
          <w:rFonts w:ascii="Times New Roman" w:hAnsi="Times New Roman" w:cs="Times New Roman" w:eastAsia="Times New Roman"/>
          <w:szCs w:val="20"/>
        </w:rPr>
      </w:pPr>
    </w:p>
    <w:p w14:paraId="19AF5B39" w14:textId="5DD94CEA">
      <w:pPr>
        <w:pStyle w:val="P68B1DB1-Normal14"/>
        <w:widowControl w:val="0"/>
        <w:tabs>
          <w:tab w:val="left" w:pos="396"/>
          <w:tab w:val="left" w:pos="400"/>
        </w:tabs>
        <w:autoSpaceDE w:val="0"/>
        <w:autoSpaceDN w:val="0"/>
        <w:spacing w:after="0" w:line="240" w:lineRule="auto"/>
        <w:jc w:val="both"/>
      </w:pPr>
      <w:r>
        <w:t xml:space="preserve">Un obbligo di marcatura inteso a informare il consumatore dell'impronta ambientale di determinati prodotti e collegato a una tassa, ma costituisce una specifica tecnica. Essa non può essere considerata esclusivamente "connessa ad una misura fiscale" e pertanto non rientra nella definizione di "regole tecniche di fatto".</w:t>
      </w:r>
    </w:p>
    <w:p w14:paraId="34416FD0" w14:textId="77777777">
      <w:pPr>
        <w:pStyle w:val="P68B1DB1-Normal15"/>
        <w:widowControl w:val="0"/>
        <w:autoSpaceDE w:val="0"/>
        <w:autoSpaceDN w:val="0"/>
        <w:spacing w:after="0" w:line="240" w:lineRule="auto"/>
        <w:jc w:val="both"/>
      </w:pPr>
    </w:p>
    <w:p w14:paraId="308DB606" w14:textId="777B30B5">
      <w:pPr>
        <w:pStyle w:val="P68B1DB1-Normal15"/>
        <w:widowControl w:val="0"/>
        <w:autoSpaceDE w:val="0"/>
        <w:autoSpaceDN w:val="0"/>
        <w:spacing w:after="0" w:line="240" w:lineRule="auto"/>
        <w:ind w:left="510"/>
        <w:jc w:val="both"/>
      </w:pPr>
      <w:r>
        <w:t xml:space="preserve">"23. [...] in primo luogo, l'obbligo di marchiatura di cui trattasi nel procedimento principale costituisce, secondo la definizione di cui all'articolo 1, paragrafo 5, della direttiva 83/189, una regola tecnica de jure in quanto "l'osservanza (...) è obbligatoria (...) in caso di commercializzazione" del prodotto di cui trattasi e costituisce, secondo la definizione di cui all'articolo 1, paragrafo 1, una specificazione tecnica, in quanto l'atto definisce "le caratteristiche richieste di un prodotto, quali (...) i requisiti applicabili al prodotto per quanto riguarda (...) la marcatura o l'etichettatura". </w:t>
      </w:r>
    </w:p>
    <w:p w14:paraId="05172C30" w14:textId="77777777">
      <w:pPr>
        <w:pStyle w:val="P68B1DB1-Normal15"/>
        <w:widowControl w:val="0"/>
        <w:autoSpaceDE w:val="0"/>
        <w:autoSpaceDN w:val="0"/>
        <w:spacing w:after="0" w:line="240" w:lineRule="auto"/>
        <w:ind w:left="510"/>
        <w:jc w:val="both"/>
      </w:pPr>
    </w:p>
    <w:p w14:paraId="136F7452" w14:textId="4C08810C">
      <w:pPr>
        <w:pStyle w:val="P68B1DB1-Normal15"/>
        <w:widowControl w:val="0"/>
        <w:autoSpaceDE w:val="0"/>
        <w:autoSpaceDN w:val="0"/>
        <w:spacing w:after="0" w:line="240" w:lineRule="auto"/>
        <w:ind w:left="510"/>
        <w:jc w:val="both"/>
      </w:pPr>
      <w:r>
        <w:t xml:space="preserve">24. In secondo luogo occorre rilevare che il contrassegno di cui trattasi ha in particolare lo scopo di informare il pubblico circa gli effetti dei prodotti sull'ambiente e che il governo belga ha confermato l'importanza che doveva attribuirsi a questo aspetto delle norme relative alla marchiatura. Il conseguimento dello scopo della tassa ecologica, la quale mira alla tutela dell'ambiente, è quindi rafforzato dal contrassegno, che, al pari di altri marchi ecologici connessi o no a tasse ecologiche, ricorda ai consumatori gli effetti nocivi dei prodotti considerati per l'ambiente. </w:t>
      </w:r>
    </w:p>
    <w:p w14:paraId="630640E3" w14:textId="77777777">
      <w:pPr>
        <w:pStyle w:val="P68B1DB1-Normal15"/>
        <w:widowControl w:val="0"/>
        <w:autoSpaceDE w:val="0"/>
        <w:autoSpaceDN w:val="0"/>
        <w:spacing w:after="0" w:line="240" w:lineRule="auto"/>
        <w:ind w:left="510"/>
        <w:jc w:val="both"/>
      </w:pPr>
    </w:p>
    <w:p w14:paraId="2F553F93" w14:textId="7D4B80F2">
      <w:pPr>
        <w:pStyle w:val="P68B1DB1-Normal15"/>
        <w:widowControl w:val="0"/>
        <w:autoSpaceDE w:val="0"/>
        <w:autoSpaceDN w:val="0"/>
        <w:spacing w:after="0" w:line="240" w:lineRule="auto"/>
        <w:ind w:left="510"/>
        <w:jc w:val="both"/>
      </w:pPr>
      <w:r>
        <w:t xml:space="preserve">25. Poiché l'obbligo di marcatura di cui trattasi non può in alcun modo essere considerato come una misura di accompagnamento fiscale, esso non costituisce pertanto un requisito connesso ad una misura fiscale ai sensi dell'articolo 1, paragrafo 9, secondo comma, terzo trattino, della direttiva 83/189, come modificata dalla direttiva 94/10."</w:t>
      </w:r>
    </w:p>
    <w:p w14:paraId="2A051963" w14:textId="77777777">
      <w:pPr>
        <w:pStyle w:val="BodyText"/>
        <w:rPr>
          <w:i/>
          <w:iCs/>
          <w:sz w:val="20"/>
        </w:rPr>
      </w:pPr>
    </w:p>
    <w:p w14:paraId="0C96C56C" w14:textId="48164FB1">
      <w:pPr>
        <w:pStyle w:val="P68B1DB1-Normal14"/>
        <w:widowControl w:val="0"/>
        <w:autoSpaceDE w:val="0"/>
        <w:autoSpaceDN w:val="0"/>
        <w:spacing w:after="0" w:line="240" w:lineRule="auto"/>
        <w:jc w:val="both"/>
        <w:outlineLvl w:val="1"/>
        <w:rPr>
          <w:b/>
          <w:i/>
        </w:rPr>
      </w:pPr>
      <w:hyperlink r:id="rId67" w:history="1">
        <w:r>
          <w:rPr>
            <w:b/>
            <w:i/>
            <w:color w:val="0000FF"/>
            <w:u w:val="single"/>
          </w:rPr>
          <w:t xml:space="preserve">Sentenza della Corte di giustizia del 10 luglio 2014,</w:t>
        </w:r>
      </w:hyperlink>
      <w:r>
        <w:rPr>
          <w:b/>
          <w:i/>
        </w:rPr>
        <w:t xml:space="preserve"> Ivansson e altri</w:t>
      </w:r>
      <w:r>
        <w:rPr>
          <w:b/>
          <w:i/>
        </w:rPr>
        <w:t xml:space="preserve">, C-307/13, punti 30 e 31</w:t>
      </w:r>
      <w:r>
        <w:rPr>
          <w:sz w:val="25"/>
        </w:rPr>
        <w:t>.</w:t>
      </w:r>
      <w:bookmarkEnd w:id="112"/>
    </w:p>
    <w:p w14:paraId="0F2071D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ABC0205" w14:textId="0A761A08">
      <w:pPr>
        <w:pStyle w:val="P68B1DB1-Normal14"/>
        <w:widowControl w:val="0"/>
        <w:tabs>
          <w:tab w:val="left" w:pos="396"/>
          <w:tab w:val="left" w:pos="407"/>
        </w:tabs>
        <w:autoSpaceDE w:val="0"/>
        <w:autoSpaceDN w:val="0"/>
        <w:spacing w:after="0" w:line="240" w:lineRule="auto"/>
        <w:jc w:val="both"/>
      </w:pPr>
      <w:r>
        <w:t xml:space="preserve">Un riferimento a norme amministrative dettagliate contenenti "specificazioni tecniche" o "altri requisiti" può conferire a un progetto di legge lo status di "regola tecnica di fatto".</w:t>
      </w:r>
    </w:p>
    <w:p w14:paraId="49A66D81" w14:textId="77777777">
      <w:pPr>
        <w:widowControl w:val="0"/>
        <w:tabs>
          <w:tab w:val="left" w:pos="396"/>
          <w:tab w:val="left" w:pos="407"/>
        </w:tabs>
        <w:autoSpaceDE w:val="0"/>
        <w:autoSpaceDN w:val="0"/>
        <w:spacing w:after="0" w:line="240" w:lineRule="auto"/>
        <w:jc w:val="both"/>
        <w:rPr>
          <w:rFonts w:ascii="Times New Roman" w:hAnsi="Times New Roman" w:cs="Times New Roman" w:eastAsia="Times New Roman"/>
          <w:szCs w:val="20"/>
        </w:rPr>
      </w:pPr>
    </w:p>
    <w:p w14:paraId="5AA4573D" w14:textId="6BC7CE32">
      <w:pPr>
        <w:pStyle w:val="P68B1DB1-Normal15"/>
        <w:widowControl w:val="0"/>
        <w:tabs>
          <w:tab w:val="left" w:pos="396"/>
          <w:tab w:val="left" w:pos="407"/>
        </w:tabs>
        <w:autoSpaceDE w:val="0"/>
        <w:autoSpaceDN w:val="0"/>
        <w:spacing w:after="0" w:line="240" w:lineRule="auto"/>
        <w:ind w:left="567"/>
        <w:jc w:val="both"/>
        <w:rPr>
          <w:iCs/>
        </w:rPr>
      </w:pPr>
      <w:r>
        <w:t xml:space="preserve">"30. [...] si deve constatare che, sebbene tale paragrafo </w:t>
      </w:r>
      <w:r>
        <w:rPr>
          <w:i w:val="0"/>
        </w:rPr>
        <w:t xml:space="preserve">[del diritto nazionale]</w:t>
      </w:r>
      <w:r>
        <w:t xml:space="preserve"> non costituisca di per sé una regola tecnica, nel suo secondo comma esso fa riferimento a disposizioni complementari relative all'allevamento di galline che sarebbero comunicate successivamente dal Board of Agriculture.</w:t>
      </w:r>
    </w:p>
    <w:p w14:paraId="6DB3B6F8" w14:textId="77777777">
      <w:pPr>
        <w:pStyle w:val="P68B1DB1-Normal15"/>
        <w:widowControl w:val="0"/>
        <w:tabs>
          <w:tab w:val="left" w:pos="396"/>
          <w:tab w:val="left" w:pos="407"/>
        </w:tabs>
        <w:autoSpaceDE w:val="0"/>
        <w:autoSpaceDN w:val="0"/>
        <w:spacing w:after="0" w:line="240" w:lineRule="auto"/>
        <w:ind w:left="567"/>
        <w:jc w:val="both"/>
        <w:rPr>
          <w:iCs/>
        </w:rPr>
      </w:pPr>
    </w:p>
    <w:p w14:paraId="7D1833D5" w14:textId="7451C7D7">
      <w:pPr>
        <w:pStyle w:val="P68B1DB1-Normal15"/>
        <w:widowControl w:val="0"/>
        <w:tabs>
          <w:tab w:val="left" w:pos="396"/>
          <w:tab w:val="left" w:pos="407"/>
        </w:tabs>
        <w:autoSpaceDE w:val="0"/>
        <w:autoSpaceDN w:val="0"/>
        <w:spacing w:after="0" w:line="240" w:lineRule="auto"/>
        <w:ind w:left="567"/>
        <w:jc w:val="both"/>
        <w:rPr>
          <w:iCs/>
        </w:rPr>
      </w:pPr>
      <w:r>
        <w:t xml:space="preserve">31. Un siffatto riferimento a norme amministrative più dettagliate è idoneo a conferire lo status di "regola tecnica di fatto" all'articolo 9 del DSF ai sensi dell'articolo 1, paragrafo 11, primo trattino, della direttiva 98/34, purché si possa ritenere che esse costituiscano esse stesse "specificazioni tecniche" o "altri requisiti"."</w:t>
      </w:r>
    </w:p>
    <w:p w14:paraId="770077A5" w14:textId="77777777">
      <w:pPr>
        <w:pStyle w:val="BodyText"/>
        <w:rPr>
          <w:i/>
          <w:iCs/>
          <w:sz w:val="20"/>
        </w:rPr>
      </w:pPr>
    </w:p>
    <w:p w14:paraId="0CF29864" w14:textId="5F056C69">
      <w:pPr>
        <w:pStyle w:val="P68B1DB1-Normal13"/>
        <w:widowControl w:val="0"/>
        <w:autoSpaceDE w:val="0"/>
        <w:autoSpaceDN w:val="0"/>
        <w:spacing w:after="0" w:line="240" w:lineRule="auto"/>
        <w:jc w:val="both"/>
        <w:outlineLvl w:val="1"/>
      </w:pPr>
      <w:hyperlink r:id="rId68" w:anchor="ctx1" w:history="1">
        <w:r>
          <w:rPr>
            <w:color w:val="0000FF"/>
            <w:u w:val="single"/>
          </w:rPr>
          <w:t xml:space="preserve">Sentenza della Corte di giustizia dell'11 giugno 2015</w:t>
        </w:r>
      </w:hyperlink>
      <w:r>
        <w:t xml:space="preserve">, Berlington Hungary e altri, C-98/14, punti da 95 a 97.</w:t>
      </w:r>
      <w:bookmarkEnd w:id="113"/>
    </w:p>
    <w:p w14:paraId="51CCE70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CC8DCCD" w14:textId="152D2442">
      <w:pPr>
        <w:pStyle w:val="P68B1DB1-Normal14"/>
        <w:widowControl w:val="0"/>
        <w:tabs>
          <w:tab w:val="left" w:pos="396"/>
          <w:tab w:val="left" w:pos="398"/>
        </w:tabs>
        <w:autoSpaceDE w:val="0"/>
        <w:autoSpaceDN w:val="0"/>
        <w:spacing w:after="0" w:line="240" w:lineRule="auto"/>
        <w:jc w:val="both"/>
      </w:pPr>
      <w:r>
        <w:t xml:space="preserve">Le disposizioni nazionali che moltiplicano per cinque l'imposta dovuta sulle macchine per giochi d'azzardo operanti nelle sale da gioco e introducono anche un'imposta proporzionale su tale attività non costituiscono "regole tecniche di fatto", in quanto si tratta di riserve fiscali e non di "specificazioni tecniche connesse ad una regola fiscale" ai sensi della direttiva.</w:t>
      </w:r>
    </w:p>
    <w:p w14:paraId="00CB80B7" w14:textId="77777777">
      <w:pPr>
        <w:widowControl w:val="0"/>
        <w:tabs>
          <w:tab w:val="left" w:pos="396"/>
          <w:tab w:val="left" w:pos="449"/>
        </w:tabs>
        <w:autoSpaceDE w:val="0"/>
        <w:autoSpaceDN w:val="0"/>
        <w:spacing w:after="0" w:line="240" w:lineRule="auto"/>
        <w:jc w:val="both"/>
        <w:rPr>
          <w:rFonts w:ascii="Times New Roman" w:hAnsi="Times New Roman" w:cs="Times New Roman" w:eastAsia="Times New Roman"/>
          <w:i/>
          <w:iCs/>
          <w:sz w:val="20"/>
          <w:szCs w:val="16"/>
        </w:rPr>
      </w:pPr>
    </w:p>
    <w:p w14:paraId="5DBF183B" w14:textId="70A7203F">
      <w:pPr>
        <w:pStyle w:val="P68B1DB1-Normal15"/>
        <w:widowControl w:val="0"/>
        <w:tabs>
          <w:tab w:val="left" w:pos="396"/>
          <w:tab w:val="left" w:pos="449"/>
        </w:tabs>
        <w:autoSpaceDE w:val="0"/>
        <w:autoSpaceDN w:val="0"/>
        <w:spacing w:after="0" w:line="240" w:lineRule="auto"/>
        <w:ind w:left="567"/>
        <w:jc w:val="both"/>
      </w:pPr>
      <w:r>
        <w:t xml:space="preserve">"95. Ai sensi dell'articolo 1, paragrafo 11, terzo trattino, di tale direttiva, le "regole tecniche di fatto", ai sensi di tale disposizione, sono costituite da "specificazioni tecniche o altri requisiti o regole relative ai servizi connessi a misure di carattere fiscale o finanziario che incidono sul consumo di prodotti o di servizi incoraggiando il rispetto di tali specificazioni tecniche o altri requisiti o delle regole relative ai servizi".</w:t>
      </w:r>
    </w:p>
    <w:p w14:paraId="07116B99" w14:textId="77777777">
      <w:pPr>
        <w:pStyle w:val="P68B1DB1-Normal15"/>
        <w:widowControl w:val="0"/>
        <w:tabs>
          <w:tab w:val="left" w:pos="396"/>
          <w:tab w:val="left" w:pos="449"/>
        </w:tabs>
        <w:autoSpaceDE w:val="0"/>
        <w:autoSpaceDN w:val="0"/>
        <w:spacing w:after="0" w:line="240" w:lineRule="auto"/>
        <w:ind w:left="567"/>
        <w:jc w:val="both"/>
      </w:pPr>
    </w:p>
    <w:p w14:paraId="42599018" w14:textId="2DFE2CF5">
      <w:pPr>
        <w:pStyle w:val="P68B1DB1-Normal15"/>
        <w:widowControl w:val="0"/>
        <w:tabs>
          <w:tab w:val="left" w:pos="396"/>
          <w:tab w:val="left" w:pos="449"/>
        </w:tabs>
        <w:autoSpaceDE w:val="0"/>
        <w:autoSpaceDN w:val="0"/>
        <w:spacing w:after="0" w:line="240" w:lineRule="auto"/>
        <w:ind w:left="567"/>
        <w:jc w:val="both"/>
      </w:pPr>
      <w:r>
        <w:t xml:space="preserve">96. Da tale formulazione risulta che la nozione di "regole tecniche di fatto" non si riferisce alle misure fiscali stesse, bensì alle specificazioni tecniche o agli altri requisiti ad essa connessi.</w:t>
      </w:r>
    </w:p>
    <w:p w14:paraId="00F9B573" w14:textId="77777777">
      <w:pPr>
        <w:pStyle w:val="P68B1DB1-Normal15"/>
        <w:widowControl w:val="0"/>
        <w:tabs>
          <w:tab w:val="left" w:pos="396"/>
          <w:tab w:val="left" w:pos="449"/>
        </w:tabs>
        <w:autoSpaceDE w:val="0"/>
        <w:autoSpaceDN w:val="0"/>
        <w:spacing w:after="0" w:line="240" w:lineRule="auto"/>
        <w:ind w:left="567"/>
        <w:jc w:val="both"/>
      </w:pPr>
    </w:p>
    <w:p w14:paraId="60E2105A" w14:textId="6B2A54B5">
      <w:pPr>
        <w:pStyle w:val="P68B1DB1-Normal15"/>
        <w:widowControl w:val="0"/>
        <w:tabs>
          <w:tab w:val="left" w:pos="396"/>
          <w:tab w:val="left" w:pos="449"/>
        </w:tabs>
        <w:autoSpaceDE w:val="0"/>
        <w:autoSpaceDN w:val="0"/>
        <w:spacing w:after="0" w:line="240" w:lineRule="auto"/>
        <w:ind w:left="567"/>
        <w:jc w:val="both"/>
        <w:rPr>
          <w:iCs/>
        </w:rPr>
      </w:pPr>
      <w:r>
        <w:t xml:space="preserve">97. Pertanto, una normativa fiscale come quella di cui trattasi nella causa principale, che non è accompagnata da alcuna specificazione tecnica o da qualsiasi altro requisito di cui essa avrebbe inteso garantire la conformità, non può essere qualificata come "regola tecnica di fatto"."</w:t>
      </w:r>
    </w:p>
    <w:p w14:paraId="37BAFBC9" w14:textId="77777777">
      <w:pPr>
        <w:pStyle w:val="BodyText"/>
        <w:rPr>
          <w:i/>
          <w:iCs/>
          <w:sz w:val="20"/>
        </w:rPr>
      </w:pPr>
    </w:p>
    <w:p w14:paraId="7274149C" w14:textId="5D545442">
      <w:pPr>
        <w:pStyle w:val="P68B1DB1-Normal13"/>
        <w:widowControl w:val="0"/>
        <w:autoSpaceDE w:val="0"/>
        <w:autoSpaceDN w:val="0"/>
        <w:spacing w:after="0" w:line="240" w:lineRule="auto"/>
        <w:jc w:val="both"/>
        <w:outlineLvl w:val="1"/>
      </w:pPr>
      <w:hyperlink r:id="rId69" w:history="1">
        <w:r>
          <w:rPr>
            <w:color w:val="0000FF"/>
            <w:u w:val="single"/>
          </w:rPr>
          <w:t xml:space="preserve">Sentenza dell'8 ottobre 2020</w:t>
        </w:r>
      </w:hyperlink>
      <w:r>
        <w:t xml:space="preserve">, Admiral Sportwetten e a., punti 38 e 41</w:t>
      </w:r>
      <w:bookmarkEnd w:id="114"/>
    </w:p>
    <w:p w14:paraId="6A479E47"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szCs w:val="20"/>
        </w:rPr>
      </w:pPr>
    </w:p>
    <w:p w14:paraId="58900280" w14:textId="5B06B273">
      <w:pPr>
        <w:pStyle w:val="P68B1DB1-Normal14"/>
        <w:widowControl w:val="0"/>
        <w:tabs>
          <w:tab w:val="left" w:pos="537"/>
          <w:tab w:val="left" w:pos="539"/>
        </w:tabs>
        <w:autoSpaceDE w:val="0"/>
        <w:autoSpaceDN w:val="0"/>
        <w:spacing w:after="0" w:line="240" w:lineRule="auto"/>
        <w:jc w:val="both"/>
      </w:pPr>
      <w:r>
        <w:t xml:space="preserve">Una normativa fiscale, che non sia accompagnata da alcuna "specificazione tecnica" o da qualsiasi altro requisito cui essa sia destinata a garantire la conformità, non può essere qualificata come "regola tecnica di fatto". Una normativa tributaria nazionale che prevede la tassazione della gestione di apparecchi per scommesse sportive non costituisce pertanto una "regola tecnica".</w:t>
      </w:r>
    </w:p>
    <w:p w14:paraId="27BCDA3E"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i/>
          <w:iCs/>
          <w:sz w:val="20"/>
          <w:szCs w:val="16"/>
        </w:rPr>
      </w:pPr>
    </w:p>
    <w:p w14:paraId="130D4C07" w14:textId="276A8931">
      <w:pPr>
        <w:pStyle w:val="P68B1DB1-Normal15"/>
        <w:widowControl w:val="0"/>
        <w:tabs>
          <w:tab w:val="left" w:pos="537"/>
          <w:tab w:val="left" w:pos="539"/>
        </w:tabs>
        <w:autoSpaceDE w:val="0"/>
        <w:autoSpaceDN w:val="0"/>
        <w:spacing w:after="0" w:line="240" w:lineRule="auto"/>
        <w:ind w:left="567"/>
        <w:jc w:val="both"/>
        <w:rPr>
          <w:iCs/>
        </w:rPr>
      </w:pPr>
      <w:r>
        <w:t xml:space="preserve">"38. [...] per quanto riguarda le regole tecniche de facto ai sensi dell'articolo 1, paragrafo 1, lettera f), punto iii), della direttiva 2015/1535, la Corte ha già dichiarato che una normativa tributaria, la quale non è accompagnata da alcuna specificazione tecnica o da qualsiasi altro requisito di cui si presume sia intesa a garantire la conformità, non può essere qualificata come "regola tecnica di fatto" (v., in tal senso, sentenza dell'11 giugno 2015, Berlington Hungary e a.,</w:t>
        <w:noBreakHyphen/>
        <w:t xml:space="preserve">C 98/14, ed., punto 97)."</w:t>
      </w:r>
    </w:p>
    <w:p w14:paraId="002A514F" w14:textId="77777777">
      <w:pPr>
        <w:widowControl w:val="0"/>
        <w:tabs>
          <w:tab w:val="left" w:pos="537"/>
          <w:tab w:val="left" w:pos="539"/>
        </w:tabs>
        <w:autoSpaceDE w:val="0"/>
        <w:autoSpaceDN w:val="0"/>
        <w:spacing w:after="0" w:line="240" w:lineRule="auto"/>
        <w:ind w:left="567"/>
        <w:jc w:val="both"/>
        <w:rPr>
          <w:rFonts w:ascii="Times New Roman" w:hAnsi="Times New Roman" w:cs="Times New Roman" w:eastAsia="Times New Roman"/>
          <w:i/>
          <w:iCs/>
          <w:sz w:val="20"/>
          <w:szCs w:val="16"/>
        </w:rPr>
      </w:pPr>
    </w:p>
    <w:p w14:paraId="727DEFFB" w14:textId="18B04311">
      <w:pPr>
        <w:pStyle w:val="P68B1DB1-Normal15"/>
        <w:widowControl w:val="0"/>
        <w:tabs>
          <w:tab w:val="left" w:pos="537"/>
          <w:tab w:val="left" w:pos="539"/>
        </w:tabs>
        <w:autoSpaceDE w:val="0"/>
        <w:autoSpaceDN w:val="0"/>
        <w:spacing w:after="0" w:line="240" w:lineRule="auto"/>
        <w:ind w:left="567"/>
        <w:jc w:val="both"/>
        <w:rPr>
          <w:iCs/>
        </w:rPr>
      </w:pPr>
      <w:r>
        <w:t>"</w:t>
      </w:r>
      <w:bookmarkStart w:id="115" w:name="point41"/>
      <w:r>
        <w:t>41</w:t>
      </w:r>
      <w:bookmarkEnd w:id="115"/>
      <w:r>
        <w:t xml:space="preserve">. Di conseguenza, alla luce di tutte le considerazioni che precedono, occorre rispondere alla prima questione dichiarando che l'articolo 1 della direttiva 2015/1535 deve essere interpretato nel senso che una norma tributaria nazionale che prevede l'imposizione della gestione di terminali per scommesse non costituisce una "regola tecnica" ai sensi di tale articolo."</w:t>
      </w:r>
    </w:p>
    <w:p w14:paraId="5C076B9C" w14:textId="77777777">
      <w:pPr>
        <w:pStyle w:val="BodyText"/>
        <w:rPr>
          <w:i/>
          <w:iCs/>
          <w:sz w:val="20"/>
        </w:rPr>
      </w:pPr>
    </w:p>
    <w:p w14:paraId="5F483606" w14:textId="4F0BCA00">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70" w:history="1">
        <w:r>
          <w:rPr>
            <w:rStyle w:val="Hyperlink"/>
            <w:rFonts w:ascii="Times New Roman" w:hAnsi="Times New Roman" w:cs="Times New Roman" w:eastAsia="Times New Roman"/>
            <w:b/>
            <w:i/>
            <w:color w:val="0000FF"/>
            <w:szCs w:val="20"/>
          </w:rPr>
          <w:t xml:space="preserve">Sentenza del 22 dicembre 2022</w:t>
        </w:r>
      </w:hyperlink>
      <w:r>
        <w:rPr>
          <w:rFonts w:ascii="Times New Roman" w:hAnsi="Times New Roman" w:cs="Times New Roman" w:eastAsia="Times New Roman"/>
          <w:b/>
          <w:i/>
          <w:szCs w:val="20"/>
        </w:rPr>
        <w:t xml:space="preserve">, Airbnb Ireland e Airbnb Payments UK, C 83/21</w:t>
        <w:noBreakHyphen/>
        <w:t xml:space="preserve">, ibidem, punti 29 e 30.</w:t>
      </w:r>
      <w:bookmarkEnd w:id="116"/>
    </w:p>
    <w:p w14:paraId="704D5C25"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szCs w:val="20"/>
        </w:rPr>
      </w:pPr>
    </w:p>
    <w:p w14:paraId="1AD7B89C" w14:textId="00C14D39">
      <w:pPr>
        <w:widowControl w:val="0"/>
        <w:tabs>
          <w:tab w:val="left" w:pos="537"/>
          <w:tab w:val="left" w:pos="539"/>
        </w:tabs>
        <w:autoSpaceDE w:val="0"/>
        <w:autoSpaceDN w:val="0"/>
        <w:spacing w:after="0" w:line="240" w:lineRule="auto"/>
        <w:jc w:val="both"/>
        <w:rPr>
          <w:rFonts w:ascii="Times New Roman" w:hAnsi="Times New Roman" w:cs="Times New Roman" w:eastAsia="Times New Roman"/>
          <w:szCs w:val="20"/>
        </w:rPr>
        <w:pStyle w:val="P68B1DB1-Normal14"/>
      </w:pPr>
      <w:r>
        <w:t xml:space="preserve">Una normativa di natura fiscale non può, in quanto tale, essere qualificata come "regola tecnica di fatto".</w:t>
      </w:r>
    </w:p>
    <w:p w14:paraId="19FFADF5"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i/>
          <w:iCs/>
          <w:sz w:val="20"/>
          <w:szCs w:val="16"/>
        </w:rPr>
      </w:pPr>
    </w:p>
    <w:p w14:paraId="7EE5EF44" w14:textId="19450D26">
      <w:pPr>
        <w:pStyle w:val="P68B1DB1-BodyText19"/>
        <w:ind w:left="567"/>
      </w:pPr>
      <w:r>
        <w:t xml:space="preserve">"29. Per quanto riguarda, infine, la direttiva 2015/1535, occorre rilevare che essa richiama "il Trattato [FUE], e in particolare gli articoli 114, 337 e 43". Pertanto, va anzitutto rilevato che l'esclusione prevista all'articolo 114, paragrafo 2, TFUE riguardo alle "disposizioni fiscali" si applica anche riguardo a tale direttiva, per i motivi esposti al punto 25 della presente sentenza.</w:t>
      </w:r>
    </w:p>
    <w:p w14:paraId="5619063A" w14:textId="77777777">
      <w:pPr>
        <w:pStyle w:val="P68B1DB1-BodyText19"/>
        <w:ind w:left="567"/>
      </w:pPr>
    </w:p>
    <w:p w14:paraId="43BD732D" w14:textId="6B6E6B11">
      <w:pPr>
        <w:pStyle w:val="P68B1DB1-BodyText19"/>
        <w:ind w:left="567"/>
        <w:rPr>
          <w:iCs/>
        </w:rPr>
      </w:pPr>
      <w:r>
        <w:t xml:space="preserve">30. Inoltre, il tenore della direttiva 2015/1535 conferma indirettamente l'esclusione delle "disposizioni fiscali" dal suo ambito di applicazione, poiché la formulazione dell'articolo 1, paragrafo 1, lettera f), iii), di tale direttiva menziona, tra le regole tecniche de facto, le specificazioni tecniche o altri requisiti o le regole relative ai servizi "connessi con misure di carattere fiscale o finanziario". Non si tratta quindi di misure fiscali effettive, ma solo di misure connesse a misure fiscali (v., in tal senso, sentenza dell'8 ottobre 2020, Admiral Sportwetten e a., C-711/19, ecueil punto 38); questi ultimi restano pertanto, in quanto tali, al di fuori dell'ambito di applicazione di tale direttiva."</w:t>
      </w:r>
    </w:p>
    <w:p w14:paraId="5775DA65" w14:textId="01ED6DBB">
      <w:pPr>
        <w:pStyle w:val="P68B1DB1-Normal4"/>
        <w:spacing w:after="0" w:line="240" w:lineRule="auto"/>
        <w:rPr>
          <w:rFonts w:ascii="Times New Roman" w:hAnsi="Times New Roman" w:cs="Times New Roman" w:eastAsia="Times New Roman"/>
          <w:i/>
          <w:iCs/>
          <w:szCs w:val="20"/>
        </w:rPr>
      </w:pPr>
      <w:r>
        <w:br w:type="page"/>
      </w:r>
    </w:p>
    <w:p w14:paraId="5F7E7C6E" w14:textId="032BD921">
      <w:pPr>
        <w:pStyle w:val="P68B1DB1-Heading24"/>
        <w:numPr>
          <w:ilvl w:val="0"/>
          <w:numId w:val="35"/>
        </w:numPr>
        <w:spacing w:before="0" w:after="0"/>
        <w:jc w:val="center"/>
        <w:rPr>
          <w:bCs/>
          <w:color w:val="auto"/>
        </w:rPr>
      </w:pPr>
      <w:bookmarkStart w:id="117" w:name="_Ref196314231"/>
      <w:bookmarkStart w:id="118" w:name="_Ref194484613"/>
      <w:bookmarkStart w:id="119" w:name="_Toc203035672"/>
      <w:r>
        <w:t xml:space="preserve">Questioni escluse</w:t>
      </w:r>
      <w:bookmarkEnd w:id="117"/>
      <w:bookmarkEnd w:id="118"/>
      <w:bookmarkEnd w:id="119"/>
    </w:p>
    <w:p w14:paraId="1278603B" w14:textId="77777777">
      <w:pPr>
        <w:pStyle w:val="BodyText"/>
        <w:rPr>
          <w:b/>
          <w:bCs/>
        </w:rPr>
      </w:pPr>
    </w:p>
    <w:p w14:paraId="1B32B976" w14:textId="77777777">
      <w:pPr>
        <w:pStyle w:val="P68B1DB1-BodyText11"/>
        <w:ind w:left="567"/>
      </w:pPr>
      <w:r>
        <w:t xml:space="preserve">"2. La presente direttiva non si applica a: </w:t>
      </w:r>
    </w:p>
    <w:p w14:paraId="04019AF2" w14:textId="77777777">
      <w:pPr>
        <w:pStyle w:val="P68B1DB1-BodyText11"/>
        <w:ind w:left="1287" w:firstLine="153"/>
      </w:pPr>
      <w:r>
        <w:t xml:space="preserve">a) servizi di radiodiffusione radiofonica; </w:t>
      </w:r>
    </w:p>
    <w:p w14:paraId="1EADA741" w14:textId="108B47F0">
      <w:pPr>
        <w:pStyle w:val="P68B1DB1-BodyText11"/>
        <w:ind w:left="1440"/>
      </w:pPr>
      <w:r>
        <w:t xml:space="preserve">b) servizi di radiodiffusione televisiva di cui all'articolo 1, paragrafo 1, lettera e), della direttiva n. 2010/13/UE del Parlamento europeo e del Consiglio (1). </w:t>
      </w:r>
    </w:p>
    <w:p w14:paraId="7DD31811" w14:textId="77777777">
      <w:pPr>
        <w:pStyle w:val="P68B1DB1-BodyText11"/>
        <w:ind w:left="567"/>
      </w:pPr>
    </w:p>
    <w:p w14:paraId="21C04911" w14:textId="0885ED27">
      <w:pPr>
        <w:pStyle w:val="P68B1DB1-BodyText11"/>
        <w:ind w:left="567"/>
      </w:pPr>
      <w:r>
        <w:t xml:space="preserve">3. La presente direttiva non si applica alle norme relative a materie disciplinate dalla legislazione dell'Unione nel settore dei servizi di telecomunicazione di cui alla direttiva n. 2002/21/CE del Parlamento europeo e del Consiglio (2). </w:t>
      </w:r>
    </w:p>
    <w:p w14:paraId="14E66827" w14:textId="77777777">
      <w:pPr>
        <w:pStyle w:val="P68B1DB1-BodyText11"/>
        <w:ind w:left="567"/>
      </w:pPr>
    </w:p>
    <w:p w14:paraId="21D3AD3B" w14:textId="663656A4">
      <w:pPr>
        <w:pStyle w:val="P68B1DB1-BodyText11"/>
        <w:ind w:left="567"/>
      </w:pPr>
      <w:r>
        <w:t xml:space="preserve">4. La presente direttiva non si applica alle norme relative a materie disciplinate dalla legislazione dell'Unione nel settore dei servizi finanziari, elencate in modo non esaustivo nell'allegato II della presente direttiva. </w:t>
      </w:r>
    </w:p>
    <w:p w14:paraId="0E58960E" w14:textId="77777777">
      <w:pPr>
        <w:pStyle w:val="P68B1DB1-BodyText11"/>
        <w:ind w:left="567"/>
      </w:pPr>
    </w:p>
    <w:p w14:paraId="66AEA247" w14:textId="77777777">
      <w:pPr>
        <w:pStyle w:val="P68B1DB1-BodyText11"/>
        <w:ind w:left="567"/>
      </w:pPr>
      <w:r>
        <w:t xml:space="preserve">5. Ad eccezione dell'articolo 5, paragrafo 3, la presente direttiva non si applica alle norme emanate da o per i mercati regolamentati ai sensi della direttiva n. 2004/39/CE del Parlamento europeo e del Consiglio (3) o da o per altri mercati o organismi che svolgono funzioni di compensazione o di regolamento per tali mercati.</w:t>
      </w:r>
    </w:p>
    <w:p w14:paraId="5D510CB9" w14:textId="77777777">
      <w:pPr>
        <w:pStyle w:val="P68B1DB1-BodyText11"/>
        <w:ind w:left="567"/>
      </w:pPr>
    </w:p>
    <w:p w14:paraId="70E3F74F" w14:textId="117D7E99">
      <w:pPr>
        <w:pStyle w:val="P68B1DB1-BodyText11"/>
        <w:ind w:left="567"/>
      </w:pPr>
      <w:r>
        <w:t xml:space="preserve">6. La presente direttiva non si applica alle misure che gli Stati membri ritengono necessarie nel contesto dei trattati per garantire la protezione delle persone, e segnatamente dei lavoratori, in occasione dell'impiego di prodotti, a condizione che tali misure non influiscano sui prodotti stessi.</w:t>
      </w:r>
    </w:p>
    <w:p w14:paraId="24FE75EA" w14:textId="77777777">
      <w:pPr>
        <w:pStyle w:val="P68B1DB1-BodyText11"/>
        <w:ind w:left="567"/>
      </w:pPr>
    </w:p>
    <w:p w14:paraId="74938EC0" w14:textId="5965F3C9">
      <w:pPr>
        <w:pStyle w:val="BodyText"/>
        <w:ind w:left="1080"/>
        <w:jc w:val="right"/>
      </w:pPr>
      <w:r>
        <w:t xml:space="preserve">(Articolo 1, paragrafo 2 — (6) della direttiva (UE) 2015/1535)</w:t>
      </w:r>
    </w:p>
    <w:p w14:paraId="2BAD670C" w14:textId="77777777">
      <w:pPr>
        <w:pStyle w:val="BodyText"/>
        <w:rPr>
          <w:i/>
          <w:iCs/>
          <w:sz w:val="20"/>
        </w:rPr>
      </w:pPr>
    </w:p>
    <w:p w14:paraId="0C974BBF" w14:textId="3B58908A">
      <w:pPr>
        <w:pStyle w:val="P68B1DB1-BodyText23"/>
        <w:ind w:left="567"/>
        <w:rPr>
          <w:iCs/>
        </w:rPr>
      </w:pPr>
      <w:r>
        <w:t xml:space="preserve">"" trasmissione televisiva "o" trasmissione televisiva "(ossia un servizio di media audiovisivo lineare): un servizio di media audiovisivo fornito da un fornitore di servizi di media per la visione simultanea di programmi sulla base di un palinsesto di programmi;"</w:t>
      </w:r>
    </w:p>
    <w:p w14:paraId="68D48BC5" w14:textId="77777777">
      <w:pPr>
        <w:pStyle w:val="BodyText"/>
        <w:ind w:left="567"/>
        <w:rPr>
          <w:i/>
          <w:iCs/>
          <w:szCs w:val="24"/>
        </w:rPr>
      </w:pPr>
    </w:p>
    <w:p w14:paraId="1E9F9AD6" w14:textId="648E8643">
      <w:pPr>
        <w:pStyle w:val="BodyText"/>
        <w:ind w:left="1080"/>
        <w:jc w:val="right"/>
      </w:pPr>
      <w:r>
        <w:t xml:space="preserve">(Articolo 1, paragrafo 1, lettera e), della direttiva 2010/13/UE)</w:t>
      </w:r>
    </w:p>
    <w:p w14:paraId="13E3D11F" w14:textId="77777777">
      <w:pPr>
        <w:pStyle w:val="BodyText"/>
        <w:ind w:left="1080"/>
        <w:jc w:val="right"/>
      </w:pPr>
    </w:p>
    <w:p w14:paraId="6E0ADBB8" w14:textId="55100584">
      <w:pPr>
        <w:pStyle w:val="P68B1DB1-BodyText11"/>
        <w:jc w:val="center"/>
        <w:rPr>
          <w:i/>
        </w:rPr>
      </w:pPr>
      <w:r>
        <w:t xml:space="preserve">Elenco indicativo dei servizi finanziari di cui all'articolo 1, paragrafo 4</w:t>
      </w:r>
    </w:p>
    <w:p w14:paraId="25F72A02" w14:textId="77777777">
      <w:pPr>
        <w:pStyle w:val="BodyText"/>
        <w:jc w:val="center"/>
        <w:rPr>
          <w:i/>
        </w:rPr>
      </w:pPr>
    </w:p>
    <w:p w14:paraId="319C26B1" w14:textId="77777777">
      <w:pPr>
        <w:pStyle w:val="P68B1DB1-BodyText11"/>
        <w:ind w:left="567"/>
        <w:rPr>
          <w:i/>
        </w:rPr>
      </w:pPr>
      <w:r>
        <w:t xml:space="preserve">— Servizi di investimento, </w:t>
      </w:r>
    </w:p>
    <w:p w14:paraId="4E853016" w14:textId="77777777">
      <w:pPr>
        <w:pStyle w:val="P68B1DB1-BodyText11"/>
        <w:ind w:left="567"/>
        <w:rPr>
          <w:i/>
        </w:rPr>
      </w:pPr>
      <w:r>
        <w:t xml:space="preserve">— operazioni di assicurazione e di riassicurazione, </w:t>
      </w:r>
    </w:p>
    <w:p w14:paraId="6692A963" w14:textId="77777777">
      <w:pPr>
        <w:pStyle w:val="P68B1DB1-BodyText11"/>
        <w:ind w:left="567"/>
        <w:rPr>
          <w:i/>
        </w:rPr>
      </w:pPr>
      <w:r>
        <w:t xml:space="preserve">— servizi bancari, </w:t>
      </w:r>
    </w:p>
    <w:p w14:paraId="23791C4C" w14:textId="77777777">
      <w:pPr>
        <w:pStyle w:val="P68B1DB1-BodyText11"/>
        <w:ind w:left="567"/>
        <w:rPr>
          <w:i/>
        </w:rPr>
      </w:pPr>
      <w:r>
        <w:t xml:space="preserve">— operazioni relative ai fondi pensione, </w:t>
      </w:r>
    </w:p>
    <w:p w14:paraId="783F6792" w14:textId="77777777">
      <w:pPr>
        <w:pStyle w:val="P68B1DB1-BodyText11"/>
        <w:ind w:left="567"/>
        <w:rPr>
          <w:i/>
        </w:rPr>
      </w:pPr>
      <w:r>
        <w:t xml:space="preserve">— servizi relativi a operazioni a termine o a opzioni. </w:t>
      </w:r>
    </w:p>
    <w:p w14:paraId="2DCD1B55" w14:textId="77777777">
      <w:pPr>
        <w:pStyle w:val="BodyText"/>
        <w:ind w:left="567"/>
        <w:rPr>
          <w:i/>
        </w:rPr>
      </w:pPr>
    </w:p>
    <w:p w14:paraId="337555AF" w14:textId="77777777">
      <w:pPr>
        <w:pStyle w:val="P68B1DB1-BodyText11"/>
        <w:ind w:left="567"/>
        <w:rPr>
          <w:i/>
        </w:rPr>
      </w:pPr>
      <w:r>
        <w:t xml:space="preserve">Tali servizi comprendono in particolare: </w:t>
      </w:r>
    </w:p>
    <w:p w14:paraId="3764E7FA" w14:textId="7CA8CD82">
      <w:pPr>
        <w:pStyle w:val="P68B1DB1-BodyText11"/>
        <w:ind w:left="567"/>
        <w:rPr>
          <w:i/>
        </w:rPr>
      </w:pPr>
      <w:r>
        <w:t xml:space="preserve">a) servizi di investimento di cui all'allegato della direttiva 2004/39/CE; servizi di organismi di investimento collettivo; </w:t>
      </w:r>
    </w:p>
    <w:p w14:paraId="5E0AD7FB" w14:textId="67C20460">
      <w:pPr>
        <w:pStyle w:val="P68B1DB1-BodyText11"/>
        <w:ind w:left="567"/>
        <w:rPr>
          <w:i/>
        </w:rPr>
      </w:pPr>
      <w:r>
        <w:t xml:space="preserve">b) i servizi che rientrano nelle attività soggette al riconoscimento reciproco di cui all'allegato I della direttiva n. 2013/36/UE del Parlamento europeo e del Consiglio (1); </w:t>
      </w:r>
    </w:p>
    <w:p w14:paraId="48C2F22B" w14:textId="3B1B8A48">
      <w:pPr>
        <w:pStyle w:val="P68B1DB1-BodyText11"/>
        <w:ind w:left="567"/>
        <w:rPr>
          <w:i/>
        </w:rPr>
      </w:pPr>
      <w:r>
        <w:t xml:space="preserve">c) le operazioni coperte dalle attività di assicurazione e di riassicurazione di cui alla direttiva n. 2009/138/CE del Parlamento europeo e del Consiglio (2).</w:t>
      </w:r>
    </w:p>
    <w:p w14:paraId="29E9A8E3" w14:textId="77777777">
      <w:pPr>
        <w:pStyle w:val="BodyText"/>
        <w:ind w:left="720"/>
        <w:rPr>
          <w:i/>
        </w:rPr>
      </w:pPr>
    </w:p>
    <w:p w14:paraId="79D13F1F" w14:textId="142C9AC5">
      <w:pPr>
        <w:pStyle w:val="BodyText"/>
        <w:ind w:left="1080"/>
        <w:jc w:val="right"/>
      </w:pPr>
      <w:r>
        <w:t xml:space="preserve">(Allegato II della direttiva (UE) 2015/1535)</w:t>
      </w:r>
    </w:p>
    <w:p w14:paraId="0C95D790" w14:textId="77777777">
      <w:pPr>
        <w:pStyle w:val="BodyText"/>
        <w:ind w:left="567"/>
        <w:rPr>
          <w:i/>
          <w:iCs/>
          <w:szCs w:val="24"/>
        </w:rPr>
      </w:pPr>
    </w:p>
    <w:p w14:paraId="7A47117F" w14:textId="7E196DE2">
      <w:pPr>
        <w:pStyle w:val="P68B1DB1-BodyText23"/>
        <w:ind w:left="567"/>
        <w:rPr>
          <w:iCs/>
        </w:rPr>
      </w:pPr>
      <w:r>
        <w:t xml:space="preserve">"" mercato regolamentato ", un sistema multilaterale gestito e/o gestito da un gestore del mercato, che riunisce o facilita l'incontro di interessi multipli di acquisto e di vendita di terzi relativi a strumenti finanziari — all'interno del sistema e conformemente alle sue regole non discrezionali — in modo da dare luogo a contratti relativi a strumenti finanziari ammessi alla negoziazione in base alle sue regole e/o ai suoi sistemi e che è autorizzato e funziona regolarmente e conformemente al titolo III della presente direttiva;"</w:t>
      </w:r>
    </w:p>
    <w:p w14:paraId="326B89D5" w14:textId="77777777">
      <w:pPr>
        <w:pStyle w:val="BodyText"/>
        <w:ind w:left="567"/>
        <w:rPr>
          <w:i/>
          <w:iCs/>
          <w:szCs w:val="24"/>
        </w:rPr>
      </w:pPr>
    </w:p>
    <w:p w14:paraId="2EE59DAD" w14:textId="7FE2F68F">
      <w:pPr>
        <w:pStyle w:val="P68B1DB1-BodyText24"/>
        <w:ind w:left="567"/>
        <w:jc w:val="right"/>
      </w:pPr>
      <w:r>
        <w:t xml:space="preserve">(Articolo 4, paragrafo 21, della direttiva 2014/65/UE, </w:t>
      </w:r>
    </w:p>
    <w:p w14:paraId="510D994F" w14:textId="6EE676DC">
      <w:pPr>
        <w:pStyle w:val="P68B1DB1-BodyText24"/>
        <w:ind w:left="567"/>
        <w:jc w:val="right"/>
      </w:pPr>
      <w:r>
        <w:t xml:space="preserve">rifusione della direttiva 2004/39/CE) </w:t>
      </w:r>
    </w:p>
    <w:p w14:paraId="4A6FAABA" w14:textId="77777777">
      <w:pPr>
        <w:pStyle w:val="BodyText"/>
        <w:rPr>
          <w:i/>
          <w:iCs/>
          <w:sz w:val="20"/>
        </w:rPr>
      </w:pPr>
    </w:p>
    <w:p w14:paraId="0469372E" w14:textId="4281AF71">
      <w:pPr>
        <w:widowControl w:val="0"/>
        <w:autoSpaceDE w:val="0"/>
        <w:autoSpaceDN w:val="0"/>
        <w:spacing w:after="0" w:line="240" w:lineRule="auto"/>
        <w:jc w:val="both"/>
        <w:rPr>
          <w:rFonts w:ascii="Times New Roman" w:hAnsi="Times New Roman" w:cs="Times New Roman" w:eastAsia="Times New Roman"/>
          <w:i/>
          <w:iCs/>
          <w:sz w:val="20"/>
          <w:szCs w:val="16"/>
        </w:rPr>
      </w:pPr>
      <w:hyperlink r:id="rId71" w:history="1">
        <w:r>
          <w:rPr>
            <w:rStyle w:val="Hyperlink"/>
            <w:rFonts w:ascii="Times New Roman" w:hAnsi="Times New Roman" w:cs="Times New Roman" w:eastAsia="Times New Roman"/>
            <w:b/>
            <w:i/>
            <w:color w:val="0000FF"/>
            <w:szCs w:val="20"/>
          </w:rPr>
          <w:t xml:space="preserve">Sentenza della Corte di giustizia del 2 giugno 2005</w:t>
        </w:r>
      </w:hyperlink>
      <w:r>
        <w:rPr>
          <w:rFonts w:ascii="Times New Roman" w:hAnsi="Times New Roman" w:cs="Times New Roman" w:eastAsia="Times New Roman"/>
          <w:b/>
          <w:i/>
          <w:szCs w:val="20"/>
        </w:rPr>
        <w:t xml:space="preserve">, Mediakabel BV, C-89/04, punti 22 e 23.</w:t>
      </w:r>
    </w:p>
    <w:p w14:paraId="5376935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5F56159" w14:textId="0FDB95BE">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Un servizio di trasmissione televisiva disponibile su richiesta dell'abbonato, consistente in film la cui frequenza e la cui tempistica sono determinate dal fornitore, costituisce un servizio "quasi video a richiesta" rientrante nella nozione di "servizi di radiodiffusione televisiva". Tale nozione è definita in modo autonomo dalla direttiva 2010/13/UE (ex direttiva 89/552/CEE), indipendentemente dalla nozione di "servizio della società dell'informazione".</w:t>
      </w:r>
    </w:p>
    <w:p w14:paraId="558582FC"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2B878292" w14:textId="6F6E7A42">
      <w:pPr>
        <w:pStyle w:val="P68B1DB1-Normal15"/>
        <w:widowControl w:val="0"/>
        <w:autoSpaceDE w:val="0"/>
        <w:autoSpaceDN w:val="0"/>
        <w:spacing w:after="0" w:line="240" w:lineRule="auto"/>
        <w:ind w:left="567"/>
        <w:jc w:val="both"/>
      </w:pPr>
      <w:r>
        <w:t xml:space="preserve">"22. [...] la portata della nozione di "trasmissione televisiva" non può certamente essere dedotta da un'esclusione da quella della nozione di "servizio della società dell'informazione". La direttiva 98/34, sia all'articolo 1, paragrafo 2, sia all'allegato V, fa riferimento a servizi che non rientrano nella nozione di "servizio della società dell'informazione" e che, in quanto tali, non costituiscono servizi di radiodiffusione televisiva. Altrettanto vale, segnatamente, per i servizi di radiodiffusione sonora. Così pure, i servizi di radiodiffusione televisiva non possono essere circoscritti ai servizi "forniti mediante invio di dati senza una richiesta individuale e destinati alla ricezione simultanea da parte di un numero illimitato di destinatari", previsti dall'allegato V, punto 3, della direttiva 98/34. Se si seguisse tale interpretazione, sarebbero esclusi dalla nozione di "servizio di radiodiffusione televisiva" i servizi quali la televisione mediante abbonamento, trasmessi a un numero limitato di destinatari, mentre rientrerebbero in tale nozione, in forza dei criteri di cui all'articolo 1, lettera a), della direttiva 89/552.</w:t>
      </w:r>
    </w:p>
    <w:p w14:paraId="08A8E406" w14:textId="77777777">
      <w:pPr>
        <w:pStyle w:val="P68B1DB1-Normal15"/>
        <w:widowControl w:val="0"/>
        <w:autoSpaceDE w:val="0"/>
        <w:autoSpaceDN w:val="0"/>
        <w:spacing w:after="0" w:line="240" w:lineRule="auto"/>
        <w:ind w:left="567"/>
        <w:jc w:val="both"/>
      </w:pPr>
    </w:p>
    <w:p w14:paraId="1DB468BF" w14:textId="6C9EEDEF">
      <w:pPr>
        <w:pStyle w:val="P68B1DB1-Normal15"/>
        <w:widowControl w:val="0"/>
        <w:autoSpaceDE w:val="0"/>
        <w:autoSpaceDN w:val="0"/>
        <w:spacing w:after="0" w:line="240" w:lineRule="auto"/>
        <w:ind w:left="567"/>
        <w:jc w:val="both"/>
        <w:rPr>
          <w:iCs/>
        </w:rPr>
      </w:pPr>
      <w:r>
        <w:t xml:space="preserve">23. Infine, non rientrava nelle intenzioni del legislatore comunitario, quando le direttive 98/34 e 98/48 sono state adottate, modificare la direttiva 89/552, che era stata a sua volta modificata meno di un anno prima dalla direttiva 97/36. Così, il considerando 20 della direttiva 98/48, che ha modificato la direttiva 98/34, enuncia che la direttiva 98/48 "lascia impregiudicato l'ambito di applicazione della direttiva 89/552".</w:t>
      </w:r>
    </w:p>
    <w:p w14:paraId="044761EE" w14:textId="77777777">
      <w:pPr>
        <w:widowControl w:val="0"/>
        <w:autoSpaceDE w:val="0"/>
        <w:autoSpaceDN w:val="0"/>
        <w:spacing w:after="0" w:line="240" w:lineRule="auto"/>
        <w:jc w:val="both"/>
        <w:outlineLvl w:val="1"/>
      </w:pPr>
    </w:p>
    <w:p w14:paraId="52CB59CA" w14:textId="489ADDC7">
      <w:pPr>
        <w:pStyle w:val="P68B1DB1-Normal13"/>
        <w:widowControl w:val="0"/>
        <w:autoSpaceDE w:val="0"/>
        <w:autoSpaceDN w:val="0"/>
        <w:spacing w:after="0" w:line="240" w:lineRule="auto"/>
        <w:jc w:val="both"/>
        <w:outlineLvl w:val="1"/>
      </w:pPr>
      <w:hyperlink r:id="rId72" w:history="1">
        <w:r>
          <w:rPr>
            <w:color w:val="0000FF"/>
            <w:u w:val="single"/>
          </w:rPr>
          <w:t xml:space="preserve">Sentenza della Corte di giustizia del 12 settembre 2019</w:t>
        </w:r>
      </w:hyperlink>
      <w:r>
        <w:t xml:space="preserve">, VG Media, C-299/17, punto 38.</w:t>
      </w:r>
      <w:bookmarkEnd w:id="120"/>
    </w:p>
    <w:p w14:paraId="5E406CB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8980D4F" w14:textId="59AFD09D">
      <w:pPr>
        <w:pStyle w:val="P68B1DB1-Normal14"/>
        <w:widowControl w:val="0"/>
        <w:autoSpaceDE w:val="0"/>
        <w:autoSpaceDN w:val="0"/>
        <w:spacing w:after="0" w:line="240" w:lineRule="auto"/>
        <w:jc w:val="both"/>
      </w:pPr>
      <w:r>
        <w:t xml:space="preserve">Le "regole tecniche" in materia di proprietà intellettuale non sono escluse dall'ambito di applicazione della direttiva, a differenza di quelle relative alle telecomunicazioni o ai servizi finanziari.</w:t>
      </w:r>
    </w:p>
    <w:p w14:paraId="2C438590"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5A61B68C" w14:textId="2AD8E891">
      <w:pPr>
        <w:pStyle w:val="P68B1DB1-Normal15"/>
        <w:widowControl w:val="0"/>
        <w:autoSpaceDE w:val="0"/>
        <w:autoSpaceDN w:val="0"/>
        <w:spacing w:after="0" w:line="240" w:lineRule="auto"/>
        <w:ind w:left="567"/>
        <w:jc w:val="both"/>
        <w:rPr>
          <w:iCs/>
        </w:rPr>
      </w:pPr>
      <w:r>
        <w:t>"</w:t>
      </w:r>
      <w:r>
        <w:rPr>
          <w:rFonts w:ascii="Open Sans" w:hAnsi="Open Sans" w:cs="Open Sans" w:eastAsiaTheme="minorHAnsi"/>
          <w:i w:val="0"/>
          <w:color w:val="006699"/>
          <w:sz w:val="18"/>
          <w:szCs w:val="18"/>
        </w:rPr>
        <w:t xml:space="preserve"> </w:t>
      </w:r>
      <w:r>
        <w:t xml:space="preserve">38. il fatto che l'articolo 87 g (4) dell'UrhG faccia parte della normativa nazionale sul diritto d'autore o sui diritti connessi al diritto d'autore non è tale da rimettere in discussione tale valutazione. Le norme tecniche in materia di proprietà intellettuale non sono espressamente escluse dall'ambito di applicazione dell'articolo 1, paragrafo 5, della direttiva 98/34, a differenza di quelle oggetto della normativa europea nel settore dei servizi di telecomunicazione o dei servizi finanziari. Inoltre, dalla sentenza dell'8 novembre 2007, Schwibbert (C</w:t>
        <w:noBreakHyphen/>
        <w:t xml:space="preserve">20/05) risulta che le disposizioni della normativa nazionale in materia di proprietà intellettuale possono costituire una "regola tecnica" soggetta a notifica ai sensi dell'articolo 8, paragrafo 1, di tale direttiva."</w:t>
      </w:r>
    </w:p>
    <w:p w14:paraId="0BCBB4FB" w14:textId="0520F280">
      <w:pPr>
        <w:pStyle w:val="P68B1DB1-Normal16"/>
        <w:spacing w:after="0" w:line="240" w:lineRule="auto"/>
        <w:rPr>
          <w:i/>
          <w:iCs/>
        </w:rPr>
      </w:pPr>
      <w:r>
        <w:br w:type="page"/>
      </w:r>
    </w:p>
    <w:p w14:paraId="2B0FDBC5" w14:textId="7963B447">
      <w:pPr>
        <w:pStyle w:val="P68B1DB1-Heading13"/>
        <w:numPr>
          <w:ilvl w:val="0"/>
          <w:numId w:val="34"/>
        </w:numPr>
        <w:spacing w:before="0" w:after="0"/>
        <w:jc w:val="center"/>
        <w:rPr>
          <w:color w:val="auto"/>
        </w:rPr>
      </w:pPr>
      <w:bookmarkStart w:id="121" w:name="_Ref194485776"/>
      <w:bookmarkStart w:id="122" w:name="_Toc203035673"/>
      <w:r>
        <w:t xml:space="preserve">Obbligo di notifica</w:t>
      </w:r>
      <w:bookmarkEnd w:id="121"/>
      <w:bookmarkEnd w:id="122"/>
    </w:p>
    <w:p w14:paraId="29E2BE4E" w14:textId="77777777">
      <w:pPr>
        <w:pStyle w:val="BodyText"/>
      </w:pPr>
    </w:p>
    <w:p w14:paraId="480A7F64" w14:textId="46AC3047">
      <w:pPr>
        <w:pStyle w:val="P68B1DB1-Heading24"/>
        <w:numPr>
          <w:ilvl w:val="0"/>
          <w:numId w:val="36"/>
        </w:numPr>
        <w:spacing w:before="0" w:after="0"/>
        <w:jc w:val="center"/>
        <w:rPr>
          <w:bCs/>
          <w:color w:val="auto"/>
        </w:rPr>
      </w:pPr>
      <w:bookmarkStart w:id="123" w:name="_Ref194942628"/>
      <w:bookmarkStart w:id="124" w:name="_Toc203035674"/>
      <w:bookmarkStart w:id="125" w:name="_Ref194484702"/>
      <w:r>
        <w:t xml:space="preserve">Notifica in fase di progetto</w:t>
      </w:r>
      <w:bookmarkEnd w:id="123"/>
      <w:bookmarkEnd w:id="124"/>
    </w:p>
    <w:p w14:paraId="27EBED2C" w14:textId="3CCBF668">
      <w:pPr>
        <w:pStyle w:val="BodyText"/>
        <w:rPr>
          <w:b/>
          <w:bCs/>
        </w:rPr>
      </w:pPr>
    </w:p>
    <w:p w14:paraId="58135D0C" w14:textId="021350D1">
      <w:pPr>
        <w:pStyle w:val="P68B1DB1-BodyText11"/>
        <w:ind w:left="567"/>
        <w:rPr>
          <w:iCs/>
        </w:rPr>
      </w:pPr>
      <w:r>
        <w:t xml:space="preserve">"Fatto salvo l'articolo 7, gli Stati membri comunicano immediatamente alla Commissione ogni progetto di regola tecnica, salvo che si tratti del semplice recepimento integrale di una norma internazionale o europea, nel qual caso è sufficiente una semplice informazione sulla norma stessa. essi comunicano inoltre alla Commissione i motivi che rendono necessaria l'adozione di tale regola tecnica, qualora tali motivi non siano già stati indicati nel progetto."</w:t>
      </w:r>
    </w:p>
    <w:p w14:paraId="79E57C28" w14:textId="77777777">
      <w:pPr>
        <w:pStyle w:val="BodyText"/>
        <w:ind w:left="567"/>
        <w:rPr>
          <w:i/>
          <w:iCs/>
        </w:rPr>
      </w:pPr>
    </w:p>
    <w:p w14:paraId="4348B9F9" w14:textId="1F348A6E">
      <w:pPr>
        <w:pStyle w:val="BodyText"/>
        <w:jc w:val="right"/>
      </w:pPr>
      <w:r>
        <w:t xml:space="preserve">(articolo 5, paragrafo 1, prima frase, della direttiva (UE) 2015/1535)</w:t>
      </w:r>
    </w:p>
    <w:p w14:paraId="41A26F8C" w14:textId="77777777">
      <w:pPr>
        <w:pStyle w:val="BodyText"/>
        <w:rPr>
          <w:b/>
          <w:bCs/>
        </w:rPr>
      </w:pPr>
    </w:p>
    <w:p w14:paraId="39D0E534" w14:textId="627C2341">
      <w:pPr>
        <w:pStyle w:val="P68B1DB1-Normal13"/>
        <w:widowControl w:val="0"/>
        <w:autoSpaceDE w:val="0"/>
        <w:autoSpaceDN w:val="0"/>
        <w:spacing w:after="0" w:line="240" w:lineRule="auto"/>
        <w:jc w:val="both"/>
        <w:outlineLvl w:val="1"/>
      </w:pPr>
      <w:hyperlink r:id="rId73" w:history="1">
        <w:r>
          <w:rPr>
            <w:color w:val="0000FF"/>
            <w:u w:val="single"/>
          </w:rPr>
          <w:t xml:space="preserve">Sentenza della Corte di giustizia del 2 agosto 1993</w:t>
        </w:r>
      </w:hyperlink>
      <w:r>
        <w:t xml:space="preserve">, Commissione/Italia, C-139/92, punti 8 e 9.</w:t>
      </w:r>
      <w:bookmarkEnd w:id="126"/>
    </w:p>
    <w:p w14:paraId="1DF5BE21"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7852024" w14:textId="67891414">
      <w:pPr>
        <w:widowControl w:val="0"/>
        <w:tabs>
          <w:tab w:val="left" w:pos="413"/>
        </w:tabs>
        <w:autoSpaceDE w:val="0"/>
        <w:autoSpaceDN w:val="0"/>
        <w:spacing w:after="0" w:line="240" w:lineRule="auto"/>
        <w:jc w:val="both"/>
        <w:rPr>
          <w:rFonts w:ascii="Times New Roman" w:hAnsi="Times New Roman" w:cs="Times New Roman" w:eastAsia="Times New Roman"/>
          <w:szCs w:val="20"/>
        </w:rPr>
        <w:pStyle w:val="P68B1DB1-Normal14"/>
      </w:pPr>
      <w:r>
        <w:t xml:space="preserve">Non avendo notificato, in fase di progetto, un decreto ministeriale relativo alla definizione e alla verifica della potenza massima, nonché alla costruzione e all'installazione di motori per imbarcazioni da diporto, l'Italia è venuta meno agli obblighi di notifica dei progetti di regole tecniche.</w:t>
      </w:r>
    </w:p>
    <w:p w14:paraId="478B471D" w14:textId="77777777">
      <w:pPr>
        <w:widowControl w:val="0"/>
        <w:tabs>
          <w:tab w:val="left" w:pos="413"/>
        </w:tabs>
        <w:autoSpaceDE w:val="0"/>
        <w:autoSpaceDN w:val="0"/>
        <w:spacing w:after="0" w:line="240" w:lineRule="auto"/>
        <w:jc w:val="both"/>
        <w:rPr>
          <w:rFonts w:ascii="Times New Roman" w:hAnsi="Times New Roman" w:cs="Times New Roman" w:eastAsia="Times New Roman"/>
          <w:szCs w:val="20"/>
        </w:rPr>
      </w:pPr>
    </w:p>
    <w:p w14:paraId="622C52BD" w14:textId="5E5EDE3D">
      <w:pPr>
        <w:pStyle w:val="P68B1DB1-Normal15"/>
        <w:widowControl w:val="0"/>
        <w:tabs>
          <w:tab w:val="left" w:pos="413"/>
        </w:tabs>
        <w:autoSpaceDE w:val="0"/>
        <w:autoSpaceDN w:val="0"/>
        <w:spacing w:after="0" w:line="240" w:lineRule="auto"/>
        <w:ind w:left="567"/>
        <w:jc w:val="both"/>
      </w:pPr>
      <w:r>
        <w:t xml:space="preserve">"8. Il governo italiano non contesta di non aver comunicato il decreto ministeriale in questione alla Commissione in fase di progetto. </w:t>
      </w:r>
    </w:p>
    <w:p w14:paraId="7A672690" w14:textId="77777777">
      <w:pPr>
        <w:pStyle w:val="P68B1DB1-Normal15"/>
        <w:widowControl w:val="0"/>
        <w:tabs>
          <w:tab w:val="left" w:pos="413"/>
        </w:tabs>
        <w:autoSpaceDE w:val="0"/>
        <w:autoSpaceDN w:val="0"/>
        <w:spacing w:after="0" w:line="240" w:lineRule="auto"/>
        <w:ind w:left="567"/>
        <w:jc w:val="both"/>
      </w:pPr>
    </w:p>
    <w:p w14:paraId="29BAA761" w14:textId="7880A2A6">
      <w:pPr>
        <w:pStyle w:val="P68B1DB1-Normal15"/>
        <w:widowControl w:val="0"/>
        <w:tabs>
          <w:tab w:val="left" w:pos="413"/>
        </w:tabs>
        <w:autoSpaceDE w:val="0"/>
        <w:autoSpaceDN w:val="0"/>
        <w:spacing w:after="0" w:line="240" w:lineRule="auto"/>
        <w:ind w:left="567"/>
        <w:jc w:val="both"/>
      </w:pPr>
      <w:r>
        <w:t xml:space="preserve">9. Essendo accertata la violazione degli artt. 8 e 9 della direttiva, l'inadempimento deve essere dichiarato nei termini richiesti dalla Commissione".</w:t>
      </w:r>
    </w:p>
    <w:p w14:paraId="78B40755" w14:textId="77777777">
      <w:pPr>
        <w:widowControl w:val="0"/>
        <w:tabs>
          <w:tab w:val="left" w:pos="413"/>
        </w:tabs>
        <w:autoSpaceDE w:val="0"/>
        <w:autoSpaceDN w:val="0"/>
        <w:spacing w:after="0" w:line="240" w:lineRule="auto"/>
        <w:ind w:left="567"/>
        <w:jc w:val="both"/>
        <w:rPr>
          <w:rFonts w:ascii="Times New Roman" w:hAnsi="Times New Roman" w:cs="Times New Roman" w:eastAsia="Times New Roman"/>
          <w:i/>
          <w:iCs/>
          <w:sz w:val="20"/>
          <w:szCs w:val="16"/>
        </w:rPr>
      </w:pPr>
    </w:p>
    <w:p w14:paraId="2D8A3294" w14:textId="363AC32B">
      <w:pPr>
        <w:pStyle w:val="P68B1DB1-Normal13"/>
        <w:widowControl w:val="0"/>
        <w:autoSpaceDE w:val="0"/>
        <w:autoSpaceDN w:val="0"/>
        <w:spacing w:after="0" w:line="240" w:lineRule="auto"/>
        <w:jc w:val="both"/>
        <w:outlineLvl w:val="1"/>
      </w:pPr>
      <w:hyperlink r:id="rId74" w:history="1">
        <w:r>
          <w:rPr>
            <w:color w:val="0000FF"/>
            <w:u w:val="single"/>
          </w:rPr>
          <w:t xml:space="preserve">Sentenza della Corte di giustizia del 14 luglio 1994</w:t>
        </w:r>
      </w:hyperlink>
      <w:r>
        <w:t xml:space="preserve">, Commissione/Paesi Bassi, C-61/93, punti 6 e 10.</w:t>
      </w:r>
      <w:bookmarkEnd w:id="127"/>
    </w:p>
    <w:p w14:paraId="29C3246B"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E58EFBE" w14:textId="7468B0CD">
      <w:pPr>
        <w:pStyle w:val="P68B1DB1-Normal14"/>
        <w:widowControl w:val="0"/>
        <w:tabs>
          <w:tab w:val="left" w:pos="405"/>
        </w:tabs>
        <w:autoSpaceDE w:val="0"/>
        <w:autoSpaceDN w:val="0"/>
        <w:spacing w:after="0" w:line="240" w:lineRule="auto"/>
        <w:jc w:val="both"/>
      </w:pPr>
      <w:r>
        <w:t xml:space="preserve">Avendo adottato decreti relativi ai requisiti di resistenza delle bottiglie per bevande analcoliche nonché alla composizione, alla classificazione, all'imballaggio e all'etichettatura dei pesticidi, senza notificarli alla Commissione in fase di progetto, i Paesi Bassi sono venuti meno agli obblighi di notifica dei progetti di regole tecniche.</w:t>
      </w:r>
    </w:p>
    <w:p w14:paraId="74F221D0" w14:textId="77777777">
      <w:pPr>
        <w:widowControl w:val="0"/>
        <w:tabs>
          <w:tab w:val="left" w:pos="405"/>
        </w:tabs>
        <w:autoSpaceDE w:val="0"/>
        <w:autoSpaceDN w:val="0"/>
        <w:spacing w:after="0" w:line="240" w:lineRule="auto"/>
        <w:jc w:val="both"/>
        <w:rPr>
          <w:rFonts w:ascii="Times New Roman" w:hAnsi="Times New Roman" w:cs="Times New Roman" w:eastAsia="Times New Roman"/>
          <w:szCs w:val="20"/>
        </w:rPr>
      </w:pPr>
    </w:p>
    <w:p w14:paraId="080827F2" w14:textId="79ECA7FF">
      <w:pPr>
        <w:pStyle w:val="P68B1DB1-Normal15"/>
        <w:widowControl w:val="0"/>
        <w:tabs>
          <w:tab w:val="left" w:pos="405"/>
        </w:tabs>
        <w:autoSpaceDE w:val="0"/>
        <w:autoSpaceDN w:val="0"/>
        <w:spacing w:after="0" w:line="240" w:lineRule="auto"/>
        <w:ind w:left="567"/>
        <w:jc w:val="both"/>
        <w:rPr>
          <w:iCs/>
        </w:rPr>
      </w:pPr>
      <w:r>
        <w:t xml:space="preserve">"6. Con lettera 17 novembre 1989, le autorità olandesi riconoscevano che il decreto 16 gennaio 1989 conteneva norme tecniche rientranti nella sfera di applicazione della direttiva 83/189 e che era stata omessa la comunicazione alla Commissione dei relativi progetti di modifica. Esse hanno tuttavia sottolineato che il decreto era stato inviato alla Commissione, in allegato a una lettera del 22 maggio 1989 che forniva a tale istituzione informazioni sulla privatizzazione delle autorità competenti in materia di pesi e misure."</w:t>
      </w:r>
    </w:p>
    <w:p w14:paraId="3BF11A4C" w14:textId="77777777">
      <w:pPr>
        <w:widowControl w:val="0"/>
        <w:tabs>
          <w:tab w:val="left" w:pos="405"/>
        </w:tabs>
        <w:autoSpaceDE w:val="0"/>
        <w:autoSpaceDN w:val="0"/>
        <w:spacing w:after="0" w:line="240" w:lineRule="auto"/>
        <w:ind w:left="567"/>
        <w:jc w:val="both"/>
        <w:rPr>
          <w:rFonts w:ascii="Times New Roman" w:hAnsi="Times New Roman" w:cs="Times New Roman" w:eastAsia="Times New Roman"/>
          <w:i/>
          <w:iCs/>
          <w:sz w:val="20"/>
          <w:szCs w:val="16"/>
        </w:rPr>
      </w:pPr>
    </w:p>
    <w:p w14:paraId="2B8AB5F8" w14:textId="06F5DED9">
      <w:pPr>
        <w:pStyle w:val="P68B1DB1-Normal15"/>
        <w:widowControl w:val="0"/>
        <w:tabs>
          <w:tab w:val="left" w:pos="405"/>
        </w:tabs>
        <w:autoSpaceDE w:val="0"/>
        <w:autoSpaceDN w:val="0"/>
        <w:spacing w:after="0" w:line="240" w:lineRule="auto"/>
        <w:ind w:left="567"/>
        <w:jc w:val="both"/>
        <w:rPr>
          <w:iCs/>
        </w:rPr>
      </w:pPr>
      <w:r>
        <w:t xml:space="preserve">"10. È pacifico che, ai sensi dell'articolo 8 della direttiva, i progetti di decreto del 16 gennaio 1989, del 24 agosto 1988 e del 21 ottobre 1988 avrebbero dovuto essere immediatamente notificati alla Commissione in fase di elaborazione e che tale notifica non è stata effettuata."</w:t>
      </w:r>
    </w:p>
    <w:p w14:paraId="0373B534"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8FB31A8" w14:textId="5B58EFDA">
      <w:pPr>
        <w:pStyle w:val="P68B1DB1-Normal13"/>
        <w:widowControl w:val="0"/>
        <w:autoSpaceDE w:val="0"/>
        <w:autoSpaceDN w:val="0"/>
        <w:spacing w:after="0" w:line="240" w:lineRule="auto"/>
        <w:jc w:val="both"/>
        <w:outlineLvl w:val="1"/>
      </w:pPr>
      <w:hyperlink r:id="rId75" w:history="1">
        <w:r>
          <w:rPr>
            <w:color w:val="0000FF"/>
            <w:u w:val="single"/>
          </w:rPr>
          <w:t xml:space="preserve">Sentenza della Corte di giustizia del 14 luglio 1994</w:t>
        </w:r>
      </w:hyperlink>
      <w:r>
        <w:t xml:space="preserve">, Commissione/Paesi Bassi, C-52/93, punti 6 e 10.</w:t>
      </w:r>
      <w:bookmarkEnd w:id="128"/>
    </w:p>
    <w:p w14:paraId="27ACC27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9AE01B0" w14:textId="3AD35C06">
      <w:pPr>
        <w:pStyle w:val="P68B1DB1-Normal14"/>
        <w:widowControl w:val="0"/>
        <w:tabs>
          <w:tab w:val="left" w:pos="400"/>
        </w:tabs>
        <w:autoSpaceDE w:val="0"/>
        <w:autoSpaceDN w:val="0"/>
        <w:spacing w:after="0" w:line="240" w:lineRule="auto"/>
        <w:jc w:val="both"/>
      </w:pPr>
      <w:r>
        <w:t xml:space="preserve">Avendo modificato il regolamento relativo alle norme di qualità per le lampadine da fiori senza notificarlo alla Commissione in fase di progetto, i Paesi Bassi sono venuti meno agli obblighi di notifica dei progetti di regole tecniche.</w:t>
      </w:r>
    </w:p>
    <w:p w14:paraId="13839355" w14:textId="77777777">
      <w:pPr>
        <w:widowControl w:val="0"/>
        <w:tabs>
          <w:tab w:val="left" w:pos="400"/>
        </w:tabs>
        <w:autoSpaceDE w:val="0"/>
        <w:autoSpaceDN w:val="0"/>
        <w:spacing w:after="0" w:line="240" w:lineRule="auto"/>
        <w:jc w:val="both"/>
        <w:rPr>
          <w:rFonts w:ascii="Times New Roman" w:hAnsi="Times New Roman" w:cs="Times New Roman" w:eastAsia="Times New Roman"/>
          <w:szCs w:val="20"/>
        </w:rPr>
      </w:pPr>
    </w:p>
    <w:p w14:paraId="39B7E7EA" w14:textId="2172CC07">
      <w:pPr>
        <w:pStyle w:val="P68B1DB1-Normal15"/>
        <w:widowControl w:val="0"/>
        <w:tabs>
          <w:tab w:val="left" w:pos="400"/>
        </w:tabs>
        <w:autoSpaceDE w:val="0"/>
        <w:autoSpaceDN w:val="0"/>
        <w:spacing w:after="0" w:line="240" w:lineRule="auto"/>
        <w:ind w:left="567"/>
        <w:jc w:val="both"/>
        <w:rPr>
          <w:iCs/>
        </w:rPr>
      </w:pPr>
      <w:r>
        <w:t xml:space="preserve">"6. Con lettera del 4 novembre 1991, le autorità olandesi hanno riconosciuto che il regolamento in questione costituiva una regola tecnica ai sensi della direttiva 83/189 e che non avevano notificato alla Commissione il progetto di modifica."</w:t>
      </w:r>
    </w:p>
    <w:p w14:paraId="5F48D326" w14:textId="77777777">
      <w:pPr>
        <w:widowControl w:val="0"/>
        <w:tabs>
          <w:tab w:val="left" w:pos="400"/>
        </w:tabs>
        <w:autoSpaceDE w:val="0"/>
        <w:autoSpaceDN w:val="0"/>
        <w:spacing w:after="0" w:line="240" w:lineRule="auto"/>
        <w:ind w:left="567"/>
        <w:jc w:val="both"/>
        <w:rPr>
          <w:rFonts w:ascii="Times New Roman" w:hAnsi="Times New Roman" w:cs="Times New Roman" w:eastAsia="Times New Roman"/>
          <w:i/>
          <w:iCs/>
          <w:sz w:val="20"/>
          <w:szCs w:val="16"/>
        </w:rPr>
      </w:pPr>
    </w:p>
    <w:p w14:paraId="07D93C2A" w14:textId="4C09EDED">
      <w:pPr>
        <w:pStyle w:val="P68B1DB1-Normal15"/>
        <w:widowControl w:val="0"/>
        <w:tabs>
          <w:tab w:val="left" w:pos="400"/>
        </w:tabs>
        <w:autoSpaceDE w:val="0"/>
        <w:autoSpaceDN w:val="0"/>
        <w:spacing w:after="0" w:line="240" w:lineRule="auto"/>
        <w:ind w:left="567"/>
        <w:jc w:val="both"/>
        <w:rPr>
          <w:iCs/>
        </w:rPr>
      </w:pPr>
      <w:r>
        <w:t xml:space="preserve">"10. È pacifico che, ai sensi dell'articolo 8 della direttiva, il progetto di modifica XIII del regolamento PVS avrebbe dovuto essere immediatamente notificato alla Commissione e che tale notifica non è stata effettuata."</w:t>
      </w:r>
    </w:p>
    <w:p w14:paraId="33E5C531"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0CAA98B" w14:textId="07507EC2">
      <w:pPr>
        <w:pStyle w:val="P68B1DB1-Normal13"/>
        <w:widowControl w:val="0"/>
        <w:autoSpaceDE w:val="0"/>
        <w:autoSpaceDN w:val="0"/>
        <w:spacing w:after="0" w:line="240" w:lineRule="auto"/>
        <w:jc w:val="both"/>
        <w:outlineLvl w:val="1"/>
      </w:pPr>
      <w:hyperlink r:id="rId76" w:history="1">
        <w:r>
          <w:rPr>
            <w:color w:val="0000FF"/>
            <w:u w:val="single"/>
          </w:rPr>
          <w:t xml:space="preserve">Sentenza della Corte di giustizia dell'8 settembre 2005</w:t>
        </w:r>
      </w:hyperlink>
      <w:r>
        <w:t xml:space="preserve">, Commissione/Portogallo, C-500/03, punti da 39 a 41.</w:t>
      </w:r>
      <w:bookmarkEnd w:id="129"/>
    </w:p>
    <w:p w14:paraId="49D6EA9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4F1E244" w14:textId="4211A048">
      <w:pPr>
        <w:pStyle w:val="P68B1DB1-Normal14"/>
        <w:widowControl w:val="0"/>
        <w:tabs>
          <w:tab w:val="left" w:pos="467"/>
        </w:tabs>
        <w:autoSpaceDE w:val="0"/>
        <w:autoSpaceDN w:val="0"/>
        <w:spacing w:after="0" w:line="240" w:lineRule="auto"/>
        <w:jc w:val="both"/>
      </w:pPr>
      <w:r>
        <w:t xml:space="preserve">La direttiva impone agli Stati membri di notificare immediatamente alla Commissione qualsiasi progetto di regola tecnica. Avendo adottato una regola tecnica senza notificarla alla Commissione, il Portogallo è venuto meno agli obblighi ad esso incombenti in materia di notifica dei progetti di regole tecniche.</w:t>
      </w:r>
    </w:p>
    <w:p w14:paraId="5E8234E0" w14:textId="77777777">
      <w:pPr>
        <w:widowControl w:val="0"/>
        <w:tabs>
          <w:tab w:val="left" w:pos="467"/>
        </w:tabs>
        <w:autoSpaceDE w:val="0"/>
        <w:autoSpaceDN w:val="0"/>
        <w:spacing w:after="0" w:line="240" w:lineRule="auto"/>
        <w:ind w:left="-142"/>
        <w:jc w:val="both"/>
        <w:rPr>
          <w:rFonts w:ascii="Times New Roman" w:hAnsi="Times New Roman" w:cs="Times New Roman" w:eastAsia="Times New Roman"/>
          <w:szCs w:val="20"/>
        </w:rPr>
      </w:pPr>
    </w:p>
    <w:p w14:paraId="3B2937C4" w14:textId="73811036">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(Poiché la sentenza è disponibile esclusivamente in francese e portoghese, il testo seguente è una traduzione).</w:t>
      </w:r>
    </w:p>
    <w:p w14:paraId="534A01FA" w14:textId="77777777">
      <w:pPr>
        <w:widowControl w:val="0"/>
        <w:tabs>
          <w:tab w:val="left" w:pos="467"/>
        </w:tabs>
        <w:autoSpaceDE w:val="0"/>
        <w:autoSpaceDN w:val="0"/>
        <w:spacing w:after="0" w:line="240" w:lineRule="auto"/>
        <w:ind w:left="-142"/>
        <w:jc w:val="both"/>
        <w:rPr>
          <w:rFonts w:ascii="Times New Roman" w:hAnsi="Times New Roman" w:cs="Times New Roman" w:eastAsia="Times New Roman"/>
          <w:szCs w:val="20"/>
        </w:rPr>
      </w:pPr>
    </w:p>
    <w:p w14:paraId="44335DFA" w14:textId="33F97E95">
      <w:pPr>
        <w:pStyle w:val="P68B1DB1-Normal15"/>
        <w:widowControl w:val="0"/>
        <w:tabs>
          <w:tab w:val="left" w:pos="467"/>
        </w:tabs>
        <w:autoSpaceDE w:val="0"/>
        <w:autoSpaceDN w:val="0"/>
        <w:spacing w:after="0" w:line="240" w:lineRule="auto"/>
        <w:ind w:left="567"/>
        <w:jc w:val="both"/>
        <w:rPr>
          <w:iCs/>
        </w:rPr>
      </w:pPr>
      <w:r>
        <w:t xml:space="preserve">"39. Poiché il presente ricorso per inadempimento è limitato ad una domanda di accertamento dell'inadempimento del procedimento formale di notifica preventiva, è sufficiente rilevare, senza che sia necessario rispondere agli altri argomenti delle parti, che la Corte ha già dichiarato che l'articolo 8, paragrafo 1, della direttiva 98/34 impone agli Stati membri di comunicare immediatamente alla Commissione qualsiasi progetto di regola tecnica (v., in particolare, in tal senso, per quanto riguarda disposizioni analoghe a quelle di tale direttiva, sentenze del 2 agosto 1993, Commissione/Italia, 139/92,</w:t>
        <w:noBreakHyphen/>
        <w:t xml:space="preserve">Racc. pag. I 4707, punto 3, e dell'11 gennaio 1996, Commissione/Paesi Bassi, 273/94, Racc.</w:t>
        <w:noBreakHyphen/>
        <w:t xml:space="preserve">pag. I-I</w:t>
        <w:noBreakHyphen/>
        <w:t xml:space="preserve">, punto 31).</w:t>
      </w:r>
    </w:p>
    <w:p w14:paraId="01A9092E" w14:textId="77777777">
      <w:pPr>
        <w:widowControl w:val="0"/>
        <w:tabs>
          <w:tab w:val="left" w:pos="467"/>
        </w:tabs>
        <w:autoSpaceDE w:val="0"/>
        <w:autoSpaceDN w:val="0"/>
        <w:spacing w:after="0" w:line="240" w:lineRule="auto"/>
        <w:ind w:left="567"/>
        <w:jc w:val="both"/>
        <w:rPr>
          <w:rFonts w:ascii="Times New Roman" w:hAnsi="Times New Roman" w:cs="Times New Roman" w:eastAsia="Times New Roman"/>
          <w:i/>
          <w:iCs/>
          <w:sz w:val="20"/>
          <w:szCs w:val="16"/>
        </w:rPr>
      </w:pPr>
    </w:p>
    <w:p w14:paraId="4CD1D685" w14:textId="0579D9AC">
      <w:pPr>
        <w:pStyle w:val="P68B1DB1-Normal15"/>
        <w:widowControl w:val="0"/>
        <w:tabs>
          <w:tab w:val="left" w:pos="467"/>
        </w:tabs>
        <w:autoSpaceDE w:val="0"/>
        <w:autoSpaceDN w:val="0"/>
        <w:spacing w:after="0" w:line="240" w:lineRule="auto"/>
        <w:ind w:left="567"/>
        <w:jc w:val="both"/>
        <w:rPr>
          <w:iCs/>
        </w:rPr>
      </w:pPr>
      <w:r>
        <w:t xml:space="preserve">40. Poiché le disposizioni pertinenti del decreto n. 783/98 costituiscono regole tecniche ai sensi della direttiva 98/34, come ricordato al punto 31 della presente sentenza, la Repubblica portoghese era tenuta a notificarle sotto forma di progetto ai sensi dell'articolo 8, paragrafo 1, della direttiva 98/34 (v., in particolare, in tal senso, per quanto riguarda le disposizioni analoghe a quelle della direttiva 98/34, sentenze del 7 maggio 1998, Commissione/Belgio,</w:t>
        <w:noBreakHyphen/>
        <w:t xml:space="preserve">145/97, Racc.</w:t>
        <w:noBreakHyphen/>
        <w:t xml:space="preserve">pag. I-2643, punto 13, e del 21 aprile 2005, Lindberg, </w:t>
        <w:noBreakHyphen/>
        <w:t xml:space="preserve">267/03, Racc. pag. I-, punto 43).</w:t>
      </w:r>
    </w:p>
    <w:p w14:paraId="291F779F" w14:textId="77777777">
      <w:pPr>
        <w:widowControl w:val="0"/>
        <w:tabs>
          <w:tab w:val="left" w:pos="467"/>
        </w:tabs>
        <w:autoSpaceDE w:val="0"/>
        <w:autoSpaceDN w:val="0"/>
        <w:spacing w:after="0" w:line="240" w:lineRule="auto"/>
        <w:ind w:left="567"/>
        <w:jc w:val="both"/>
        <w:rPr>
          <w:rFonts w:ascii="Times New Roman" w:hAnsi="Times New Roman" w:cs="Times New Roman" w:eastAsia="Times New Roman"/>
          <w:i/>
          <w:iCs/>
          <w:sz w:val="20"/>
          <w:szCs w:val="16"/>
        </w:rPr>
      </w:pPr>
    </w:p>
    <w:p w14:paraId="06E06802" w14:textId="376F605B">
      <w:pPr>
        <w:pStyle w:val="P68B1DB1-Normal15"/>
        <w:widowControl w:val="0"/>
        <w:tabs>
          <w:tab w:val="left" w:pos="467"/>
        </w:tabs>
        <w:autoSpaceDE w:val="0"/>
        <w:autoSpaceDN w:val="0"/>
        <w:spacing w:after="0" w:line="240" w:lineRule="auto"/>
        <w:ind w:left="567"/>
        <w:jc w:val="both"/>
        <w:rPr>
          <w:iCs/>
        </w:rPr>
      </w:pPr>
      <w:r>
        <w:t xml:space="preserve">41. Di conseguenza, si deve dichiarare che, avendo adottato il decreto n. 783/98 senza notificarlo alla Commissione in fase di progetto, la Repubblica portoghese è venuta meno agli obblighi ad essa incombenti in forza dell'articolo 8 della direttiva 98/34."</w:t>
      </w:r>
    </w:p>
    <w:p w14:paraId="46D65C64" w14:textId="77777777">
      <w:pPr>
        <w:widowControl w:val="0"/>
        <w:tabs>
          <w:tab w:val="left" w:pos="467"/>
        </w:tabs>
        <w:autoSpaceDE w:val="0"/>
        <w:autoSpaceDN w:val="0"/>
        <w:spacing w:after="0" w:line="240" w:lineRule="auto"/>
        <w:jc w:val="both"/>
        <w:rPr>
          <w:rFonts w:ascii="Times New Roman" w:hAnsi="Times New Roman" w:cs="Times New Roman" w:eastAsia="Times New Roman"/>
          <w:i/>
          <w:iCs/>
          <w:sz w:val="20"/>
          <w:szCs w:val="16"/>
        </w:rPr>
      </w:pPr>
    </w:p>
    <w:p w14:paraId="0E3DB178" w14:textId="7EEA9154">
      <w:pPr>
        <w:pStyle w:val="P68B1DB1-Normal13"/>
        <w:widowControl w:val="0"/>
        <w:autoSpaceDE w:val="0"/>
        <w:autoSpaceDN w:val="0"/>
        <w:spacing w:after="0" w:line="240" w:lineRule="auto"/>
        <w:jc w:val="both"/>
        <w:outlineLvl w:val="1"/>
      </w:pPr>
      <w:hyperlink r:id="rId77" w:history="1">
        <w:r>
          <w:rPr>
            <w:rStyle w:val="Hyperlink"/>
            <w:color w:val="0000FF"/>
          </w:rPr>
          <w:t xml:space="preserve">Sentenza della Corte di giustizia del 26 ottobre 2006</w:t>
        </w:r>
      </w:hyperlink>
      <w:r>
        <w:t xml:space="preserve">, Commissione/Grecia, C-65/05, punti da 60 a 62.</w:t>
      </w:r>
      <w:bookmarkEnd w:id="130"/>
    </w:p>
    <w:p w14:paraId="6FCE0CC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ECD135F" w14:textId="0E173B3B">
      <w:pPr>
        <w:pStyle w:val="P68B1DB1-Normal14"/>
        <w:widowControl w:val="0"/>
        <w:tabs>
          <w:tab w:val="left" w:pos="467"/>
        </w:tabs>
        <w:autoSpaceDE w:val="0"/>
        <w:autoSpaceDN w:val="0"/>
        <w:spacing w:after="0" w:line="240" w:lineRule="auto"/>
        <w:jc w:val="both"/>
      </w:pPr>
      <w:r>
        <w:t xml:space="preserve">La direttiva impone agli Stati membri di notificare immediatamente alla Commissione qualsiasi progetto di regola tecnica. Non avendo effettuato tale notifica prima dell'adozione di una regola tecnica, la Grecia è venuta meno agli obblighi che le incombono in forza di tale direttiva.</w:t>
      </w:r>
    </w:p>
    <w:p w14:paraId="2C6CFEB3" w14:textId="77777777">
      <w:pPr>
        <w:widowControl w:val="0"/>
        <w:tabs>
          <w:tab w:val="left" w:pos="467"/>
        </w:tabs>
        <w:autoSpaceDE w:val="0"/>
        <w:autoSpaceDN w:val="0"/>
        <w:spacing w:after="0" w:line="240" w:lineRule="auto"/>
        <w:ind w:left="-142"/>
        <w:jc w:val="both"/>
        <w:rPr>
          <w:rFonts w:ascii="Times New Roman" w:hAnsi="Times New Roman" w:cs="Times New Roman" w:eastAsia="Times New Roman"/>
          <w:szCs w:val="20"/>
        </w:rPr>
      </w:pPr>
    </w:p>
    <w:p w14:paraId="282FC740" w14:textId="4215BA66">
      <w:pPr>
        <w:pStyle w:val="P68B1DB1-BodyText25"/>
        <w:ind w:left="510"/>
      </w:pPr>
      <w:r>
        <w:t xml:space="preserve">"60. [...] nessun elemento del regolamento n. 1367/2006 consente di ritenere che la nozione di "emissioni nell'ambiente", ai sensi dell'articolo 6, paragrafo 1, prima frase, di tale regolamento, debba essere limitata alle emissioni provenienti da determinati impianti industriali, quali fabbriche e centrali elettriche.</w:t>
      </w:r>
    </w:p>
    <w:p w14:paraId="4BFB9A72" w14:textId="77777777">
      <w:pPr>
        <w:pStyle w:val="P68B1DB1-BodyText25"/>
        <w:ind w:left="510"/>
      </w:pPr>
    </w:p>
    <w:p w14:paraId="0E60EA19" w14:textId="5C6F09B6">
      <w:pPr>
        <w:pStyle w:val="P68B1DB1-BodyText25"/>
        <w:ind w:left="510"/>
      </w:pPr>
      <w:r>
        <w:t xml:space="preserve">61. Tale limitazione non può dedursi nemmeno dalla Convenzione di Aarhus, di cui si deve tener conto ai fini dell'interpretazione del regolamento n. 1367/2006, dal momento che detto regolamento, come prevede il suo articolo 1, mira a contribuire all'esecuzione degli obblighi derivanti da detta Convenzione stabilendo norme dirette ad applicare alle istituzioni e agli organi dell'Unione le disposizioni della Convenzione medesima.</w:t>
      </w:r>
    </w:p>
    <w:p w14:paraId="37017D07" w14:textId="77777777">
      <w:pPr>
        <w:pStyle w:val="P68B1DB1-BodyText25"/>
        <w:ind w:left="510"/>
      </w:pPr>
    </w:p>
    <w:p w14:paraId="36CD38D8" w14:textId="043FC15A">
      <w:pPr>
        <w:pStyle w:val="P68B1DB1-BodyText25"/>
        <w:ind w:left="510"/>
        <w:rPr>
          <w:iCs/>
        </w:rPr>
      </w:pPr>
      <w:r>
        <w:t xml:space="preserve">62. Al contrario, come sottolineato dalla Corte al punto 72 della sentenza pronunciata in data odierna, Bayer CropScience e Stichting De Bijenstichting (C-442/14), una limitazione del genere sarebbe contraria al tenore stesso dell'articolo 4, paragrafo 4, primo comma, lettera d), della Convenzione di Aarhus. Infatti, questa disposizione prevede che le informazioni sulle emissioni rilevanti ai fini della tutela dell'ambiente devono essere divulgate. Le informazioni relative alle emissioni provenienti da fonti diverse dagli impianti industriali, come quelle derivanti dall'uso di prodotti fitosanitari sui vegetali o sul suolo, sono altrettanto pertinenti per la protezione dell'ambiente quanto le informazioni relative alle emissioni di origine industriale."</w:t>
      </w:r>
    </w:p>
    <w:p w14:paraId="5A47A683" w14:textId="63BA7C02">
      <w:pPr>
        <w:spacing w:after="0" w:line="278" w:lineRule="auto"/>
        <w:rPr>
          <w:rFonts w:ascii="Times New Roman" w:hAnsi="Times New Roman" w:cs="Times New Roman" w:eastAsia="Times New Roman"/>
          <w:b/>
          <w:bCs/>
          <w:sz w:val="24"/>
          <w:szCs w:val="20"/>
        </w:rPr>
      </w:pPr>
      <w:r>
        <w:br w:type="page"/>
      </w:r>
    </w:p>
    <w:p w14:paraId="04343D49" w14:textId="77777777">
      <w:pPr>
        <w:pStyle w:val="BodyText"/>
        <w:rPr>
          <w:b/>
          <w:bCs/>
        </w:rPr>
      </w:pPr>
    </w:p>
    <w:p w14:paraId="7E3DD826" w14:textId="7480DFAD">
      <w:pPr>
        <w:pStyle w:val="P68B1DB1-Heading24"/>
        <w:numPr>
          <w:ilvl w:val="0"/>
          <w:numId w:val="36"/>
        </w:numPr>
        <w:spacing w:before="0" w:after="0"/>
        <w:jc w:val="center"/>
        <w:rPr>
          <w:bCs/>
          <w:color w:val="auto"/>
        </w:rPr>
      </w:pPr>
      <w:bookmarkStart w:id="131" w:name="_Ref195518088"/>
      <w:bookmarkStart w:id="132" w:name="_Toc203035675"/>
      <w:bookmarkEnd w:id="125"/>
      <w:r>
        <w:t xml:space="preserve">Notifiche delle nuove regolamentazioni tecniche</w:t>
      </w:r>
      <w:bookmarkEnd w:id="131"/>
      <w:bookmarkEnd w:id="132"/>
    </w:p>
    <w:p w14:paraId="411799D7"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6C5E8F90" w14:textId="38D84DF9">
      <w:pPr>
        <w:pStyle w:val="P68B1DB1-Normal13"/>
        <w:widowControl w:val="0"/>
        <w:autoSpaceDE w:val="0"/>
        <w:autoSpaceDN w:val="0"/>
        <w:spacing w:after="0" w:line="240" w:lineRule="auto"/>
        <w:jc w:val="both"/>
        <w:outlineLvl w:val="1"/>
      </w:pPr>
      <w:hyperlink r:id="rId78" w:history="1">
        <w:r>
          <w:rPr>
            <w:color w:val="0000FF"/>
            <w:u w:val="single"/>
          </w:rPr>
          <w:t xml:space="preserve">Sentenza della Corte di giustizia del 1º giugno 1994</w:t>
        </w:r>
      </w:hyperlink>
      <w:r>
        <w:t xml:space="preserve">, Commissione/Germania, C-317/92, punti 25 e 26.</w:t>
      </w:r>
      <w:bookmarkEnd w:id="133"/>
    </w:p>
    <w:p w14:paraId="02B677B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D1B1FEA" w14:textId="0EA3039C">
      <w:pPr>
        <w:pStyle w:val="P68B1DB1-Normal14"/>
        <w:widowControl w:val="0"/>
        <w:autoSpaceDE w:val="0"/>
        <w:autoSpaceDN w:val="0"/>
        <w:spacing w:after="0" w:line="240" w:lineRule="auto"/>
        <w:jc w:val="both"/>
      </w:pPr>
      <w:r>
        <w:t xml:space="preserve">L'estensione di una "regola tecnica" esistente a nuovi prodotti rientra nell'obbligo di notifica, anche se la regola tecnica iniziale, il cui campo di applicazione è in fase di ampliamento, è già stata notificata alla Commissione.</w:t>
      </w:r>
    </w:p>
    <w:p w14:paraId="04A42097" w14:textId="77777777">
      <w:pPr>
        <w:widowControl w:val="0"/>
        <w:autoSpaceDE w:val="0"/>
        <w:autoSpaceDN w:val="0"/>
        <w:spacing w:after="0" w:line="240" w:lineRule="auto"/>
        <w:jc w:val="both"/>
        <w:rPr>
          <w:rFonts w:ascii="Times New Roman" w:hAnsi="Times New Roman" w:cs="Times New Roman" w:eastAsia="Times New Roman"/>
          <w:szCs w:val="20"/>
        </w:rPr>
      </w:pPr>
    </w:p>
    <w:p w14:paraId="357AEE3D" w14:textId="1CE95929">
      <w:pPr>
        <w:pStyle w:val="P68B1DB1-Normal15"/>
        <w:widowControl w:val="0"/>
        <w:autoSpaceDE w:val="0"/>
        <w:autoSpaceDN w:val="0"/>
        <w:spacing w:after="0" w:line="240" w:lineRule="auto"/>
        <w:ind w:left="567"/>
        <w:jc w:val="both"/>
      </w:pPr>
      <w:r>
        <w:t xml:space="preserve">"25. Tale argomento non può essere accolto. Il regolamento tedesco in questione costituisce una nuova specificazione tecnica ai sensi del citato articolo 1, in quanto gli strumenti medici sterili non riutilizzabili possono essere messi in commercio o utilizzati in Germania solo se sono soddisfatti determinati obblighi la cui applicazione era in precedenza limitata all'etichettatura dei medicinali. L'applicazione, a determinati prodotti, di una norma precedentemente riguardante prodotti diversi costituisce, per quanto attiene ai primi, una regola nuova e deve essere conseguentemente oggetto di notificazione, ai sensi della direttiva 83/189.</w:t>
      </w:r>
    </w:p>
    <w:p w14:paraId="6F610070" w14:textId="77777777">
      <w:pPr>
        <w:pStyle w:val="P68B1DB1-Normal15"/>
        <w:widowControl w:val="0"/>
        <w:autoSpaceDE w:val="0"/>
        <w:autoSpaceDN w:val="0"/>
        <w:spacing w:after="0" w:line="240" w:lineRule="auto"/>
        <w:ind w:left="567"/>
        <w:jc w:val="both"/>
      </w:pPr>
    </w:p>
    <w:p w14:paraId="1DBC3163" w14:textId="3F0E4DF7">
      <w:pPr>
        <w:pStyle w:val="P68B1DB1-Normal15"/>
        <w:widowControl w:val="0"/>
        <w:autoSpaceDE w:val="0"/>
        <w:autoSpaceDN w:val="0"/>
        <w:spacing w:after="0" w:line="240" w:lineRule="auto"/>
        <w:ind w:left="567"/>
        <w:jc w:val="both"/>
      </w:pPr>
      <w:r>
        <w:t xml:space="preserve">26. La suddetta conclusione non è inficiata dal fatto che, come sostenuto dal governo tedesco, l'estensione della sfera d'applicazione della regola sia fondata su una norma di delega precedentemente comunicata alla Commissione. Tale misura di autorizzazione, adottata in quanto tale, non richiede la notifica sulla base del suddetto articolo 8, in quanto non costituisce un nuovo disciplinare. La situazione è diversa per quanto riguarda l'attuazione di tale misura, che costituisce un nuovo disciplinare che deve essere notificato."</w:t>
      </w:r>
    </w:p>
    <w:p w14:paraId="061E3A55"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4757D6C8" w14:textId="4D29C152">
      <w:pPr>
        <w:pStyle w:val="BodyText"/>
        <w:jc w:val="left"/>
        <w:rPr>
          <w:b/>
          <w:bCs/>
          <w:i/>
          <w:iCs/>
          <w:sz w:val="22"/>
          <w:szCs w:val="22"/>
        </w:rPr>
      </w:pPr>
      <w:hyperlink r:id="rId79" w:history="1">
        <w:r>
          <w:rPr>
            <w:rStyle w:val="Hyperlink"/>
            <w:b/>
            <w:i/>
            <w:color w:val="0000FF"/>
            <w:sz w:val="22"/>
            <w:szCs w:val="22"/>
          </w:rPr>
          <w:t xml:space="preserve">Sentenza della Corte di giustizia del 3 giugno 1999</w:t>
        </w:r>
      </w:hyperlink>
      <w:r>
        <w:rPr>
          <w:b/>
          <w:i/>
          <w:sz w:val="22"/>
          <w:szCs w:val="22"/>
        </w:rPr>
        <w:t xml:space="preserve">, Colim NV, C-33/189, non ancora pubblicata nella Raccolta, punto 22.</w:t>
      </w:r>
    </w:p>
    <w:p w14:paraId="04F11CCA" w14:textId="77777777">
      <w:pPr>
        <w:pStyle w:val="BodyText"/>
        <w:jc w:val="left"/>
      </w:pPr>
    </w:p>
    <w:p w14:paraId="540E63FC" w14:textId="5143314B">
      <w:pPr>
        <w:pStyle w:val="P68B1DB1-Normal14"/>
        <w:widowControl w:val="0"/>
        <w:tabs>
          <w:tab w:val="left" w:pos="396"/>
          <w:tab w:val="left" w:pos="425"/>
        </w:tabs>
        <w:autoSpaceDE w:val="0"/>
        <w:autoSpaceDN w:val="0"/>
        <w:spacing w:after="0" w:line="240" w:lineRule="auto"/>
        <w:jc w:val="both"/>
      </w:pPr>
      <w:r>
        <w:t xml:space="preserve">Una misura nazionale che riproduca o sostituisca "regole tecniche" esistenti, già notificate alla Commissione, senza aggiungere nuove specificazioni, non costituisce un progetto di "regola tecnica".</w:t>
      </w:r>
    </w:p>
    <w:p w14:paraId="471E900A"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7F465EBB" w14:textId="22D1CEEE">
      <w:pPr>
        <w:pStyle w:val="P68B1DB1-BodyText25"/>
        <w:ind w:left="567"/>
      </w:pPr>
      <w:r>
        <w:t xml:space="preserve">"22. [...] la direttiva 83/189 ha lo scopo di tutelare, mediante un controllo preventivo, la libera circolazione delle merci, che costituisce uno dei fondamenti della Comunità (sentenza 1997 marzo 1753, causa C-13/96, Bic Benelux/Stato belga, non ancora pubblicata nella Raccolta, punto 19). Tale controllo è volto ad eliminare o a limitare gli ostacoli alla libera circolazione delle merci che potrebbero derivare dalle regole tecniche che gli Stati membri si propongono di emanare. Una misura nazionale che riproduce o sostituisce, senza aggiungere specificazioni nuove o complementari, regole tecniche esistenti che, se adottate dopo l'entrata in vigore della direttiva 83/189, sono state debitamente notificate alla Commissione, non può essere considerata un "progetto" di regola tecnica ai sensi dell'articolo 1, paragrafo 6, della direttiva 83/189 né, di conseguenza, soggetta all'obbligo di notifica."</w:t>
      </w:r>
    </w:p>
    <w:p w14:paraId="10EB0A44" w14:textId="77777777">
      <w:pPr>
        <w:pStyle w:val="BodyText"/>
        <w:jc w:val="left"/>
      </w:pPr>
    </w:p>
    <w:p w14:paraId="0FD7863C" w14:textId="41998E8B">
      <w:pPr>
        <w:pStyle w:val="P68B1DB1-Normal13"/>
        <w:widowControl w:val="0"/>
        <w:autoSpaceDE w:val="0"/>
        <w:autoSpaceDN w:val="0"/>
        <w:spacing w:after="0" w:line="240" w:lineRule="auto"/>
        <w:jc w:val="both"/>
        <w:outlineLvl w:val="1"/>
      </w:pPr>
      <w:hyperlink r:id="rId80" w:history="1">
        <w:r>
          <w:rPr>
            <w:color w:val="0000FF"/>
            <w:u w:val="single"/>
          </w:rPr>
          <w:t xml:space="preserve">Sentenza della Corte di giustizia del 21 aprile 2005</w:t>
        </w:r>
      </w:hyperlink>
      <w:r>
        <w:t xml:space="preserve">, Lindberg, C-267/03, punti 82 e 85.</w:t>
      </w:r>
      <w:bookmarkEnd w:id="134"/>
    </w:p>
    <w:p w14:paraId="5A455B86"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31D51892" w14:textId="03C8B255">
      <w:pPr>
        <w:pStyle w:val="P68B1DB1-Normal14"/>
        <w:widowControl w:val="0"/>
        <w:tabs>
          <w:tab w:val="left" w:pos="396"/>
          <w:tab w:val="left" w:pos="425"/>
        </w:tabs>
        <w:autoSpaceDE w:val="0"/>
        <w:autoSpaceDN w:val="0"/>
        <w:spacing w:after="0" w:line="240" w:lineRule="auto"/>
        <w:jc w:val="both"/>
      </w:pPr>
      <w:r>
        <w:t xml:space="preserve">Non è necessario notificare una norma che si limiti a riprodurre o sostituire norme già notificate senza aggiungere nuove "regole tecniche".</w:t>
      </w:r>
    </w:p>
    <w:p w14:paraId="571C5A4D"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75C11DD3" w14:textId="55D687C5">
      <w:pPr>
        <w:pStyle w:val="P68B1DB1-P68B1DB1-ListParagraph226"/>
        <w:tabs>
          <w:tab w:val="left" w:pos="396"/>
          <w:tab w:val="left" w:pos="425"/>
        </w:tabs>
        <w:ind w:left="567" w:right="0" w:firstLine="0"/>
        <w:rPr>
          <w:iCs/>
        </w:rPr>
      </w:pPr>
      <w:r>
        <w:t xml:space="preserve">"82. [...] occorre anzitutto rilevare che una misura nazionale che riproduce o sostituisce, senza aggiungere specificazioni nuove o complementari, regole tecniche esistenti che, se adottate dopo l'entrata in vigore della direttiva 83/189, sono state debitamente notificate alla Commissione, non può essere considerata un "progetto" di regola tecnica ai sensi dell'articolo 1, paragrafo 9, della direttiva 83/189 né, di conseguenza, soggetta all'obbligo di notifica (v. sentenza Colim, cit., punto 22). Nel caso di specie, occorre prendere in considerazione la data di entrata in vigore della direttiva 83/189 per quanto riguarda il Regno di Svezia".</w:t>
      </w:r>
    </w:p>
    <w:p w14:paraId="0CA23066" w14:textId="77777777">
      <w:pPr>
        <w:pStyle w:val="P68B1DB1-ListParagraph2"/>
        <w:tabs>
          <w:tab w:val="left" w:pos="396"/>
          <w:tab w:val="left" w:pos="425"/>
        </w:tabs>
        <w:ind w:left="567" w:right="0"/>
        <w:rPr>
          <w:i/>
          <w:iCs/>
          <w:sz w:val="20"/>
          <w:szCs w:val="16"/>
        </w:rPr>
      </w:pPr>
    </w:p>
    <w:p w14:paraId="45277F90" w14:textId="583D0CBF">
      <w:pPr>
        <w:pStyle w:val="P68B1DB1-P68B1DB1-ListParagraph226"/>
        <w:tabs>
          <w:tab w:val="left" w:pos="396"/>
          <w:tab w:val="left" w:pos="425"/>
        </w:tabs>
        <w:ind w:left="567" w:right="0" w:firstLine="0"/>
      </w:pPr>
      <w:r>
        <w:t xml:space="preserve">"85. Alla luce di quanto precede, occorre rispondere alla terza questione dichiarando che la ridefinizione, nella normativa nazionale, di un servizio connesso alla progettazione di un prodotto, in particolare di quello consistente nella gestione di taluni apparecchi automatici per giochi d'azzardo, come ha fatto la legge del 1996, può costituire una regola tecnica che deve essere notificata ai sensi della direttiva 83/189, qualora tale nuova normativa non si limiti a riprodurre o a sostituire, senza aggiungere specificazioni nuove o supplementari, regole tecniche esistenti che, se adottate dopo l'entrata in vigore della direttiva 83/189 nello Stato membro interessato, siano state debitamente notificate alla Commissione".</w:t>
      </w:r>
    </w:p>
    <w:p w14:paraId="7351A3AE" w14:textId="77777777">
      <w:pPr>
        <w:pStyle w:val="P68B1DB1-P68B1DB1-ListParagraph226"/>
        <w:tabs>
          <w:tab w:val="left" w:pos="396"/>
          <w:tab w:val="left" w:pos="425"/>
        </w:tabs>
        <w:ind w:left="0" w:right="0" w:firstLine="0"/>
      </w:pPr>
    </w:p>
    <w:p w14:paraId="7F72B3E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81" w:history="1">
        <w:r>
          <w:rPr>
            <w:rStyle w:val="Hyperlink"/>
            <w:rFonts w:ascii="Times New Roman" w:hAnsi="Times New Roman" w:cs="Times New Roman" w:eastAsia="Times New Roman"/>
            <w:b/>
            <w:i/>
            <w:color w:val="0000FF"/>
            <w:szCs w:val="20"/>
          </w:rPr>
          <w:t xml:space="preserve">Sentenza della Corte di giustizia del 13 marzo 2025</w:t>
        </w:r>
      </w:hyperlink>
      <w:r>
        <w:rPr>
          <w:rFonts w:ascii="Times New Roman" w:hAnsi="Times New Roman" w:cs="Times New Roman" w:eastAsia="Times New Roman"/>
          <w:b/>
          <w:i/>
          <w:szCs w:val="20"/>
        </w:rPr>
        <w:t xml:space="preserve">, Unigames UAB, C-120/24, punti 57 e 58.</w:t>
      </w:r>
      <w:bookmarkEnd w:id="135"/>
    </w:p>
    <w:p w14:paraId="6E6DA286" w14:textId="77777777">
      <w:pPr>
        <w:widowControl w:val="0"/>
        <w:tabs>
          <w:tab w:val="left" w:pos="437"/>
        </w:tabs>
        <w:autoSpaceDE w:val="0"/>
        <w:autoSpaceDN w:val="0"/>
        <w:spacing w:after="0" w:line="240" w:lineRule="auto"/>
        <w:jc w:val="both"/>
        <w:rPr>
          <w:rFonts w:ascii="Times New Roman" w:hAnsi="Times New Roman" w:cs="Times New Roman" w:eastAsia="Times New Roman"/>
          <w:b/>
          <w:i/>
          <w:szCs w:val="20"/>
        </w:rPr>
      </w:pPr>
    </w:p>
    <w:p w14:paraId="7F00F2A0"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Deve essere notificata una modifica di un progetto di regola tecnica che ne estenda sostanzialmente il campo di applicazione. Un emendamento che introduce sanzioni per nuovi comportamenti deve essere considerato una revisione sostanziale di una regola tecnica.</w:t>
      </w:r>
    </w:p>
    <w:p w14:paraId="6268DF61"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6C4E84CC" w14:textId="72CC56DD">
      <w:pPr>
        <w:pStyle w:val="P68B1DB1-Normal15"/>
        <w:widowControl w:val="0"/>
        <w:tabs>
          <w:tab w:val="left" w:pos="437"/>
        </w:tabs>
        <w:autoSpaceDE w:val="0"/>
        <w:autoSpaceDN w:val="0"/>
        <w:spacing w:after="0" w:line="240" w:lineRule="auto"/>
        <w:ind w:left="567"/>
        <w:jc w:val="both"/>
        <w:rPr>
          <w:iCs/>
        </w:rPr>
      </w:pPr>
      <w:r>
        <w:t xml:space="preserve">"57. Dalla domanda di pronuncia pregiudiziale risulta che l'articolo 10, paragrafo 19, della legge sui giochi d'azzardo ha "sostanzialmente modificato" il divieto di incoraggiare la partecipazione ai giochi d'azzardo. In particolare, il giudice del rinvio precisa che il comportamento contestato all'Unigames sulla base della legge attualmente in vigore, consistente nella pubblicazione, sul sito Internet di tale società, di informazioni relative alle attività di gioco da essa offerte, non poteva essere sanzionato in forza della precedente legge sul gioco d'azzardo. Pertanto, secondo il giudice del rinvio, tale articolo 10, paragrafo 19, ha esteso l'ambito di applicazione di tale divieto.</w:t>
      </w:r>
    </w:p>
    <w:p w14:paraId="1B4969EB" w14:textId="77777777">
      <w:pPr>
        <w:pStyle w:val="P68B1DB1-Normal15"/>
        <w:widowControl w:val="0"/>
        <w:tabs>
          <w:tab w:val="left" w:pos="437"/>
        </w:tabs>
        <w:autoSpaceDE w:val="0"/>
        <w:autoSpaceDN w:val="0"/>
        <w:spacing w:after="0" w:line="240" w:lineRule="auto"/>
        <w:ind w:left="567"/>
        <w:jc w:val="both"/>
        <w:rPr>
          <w:iCs/>
        </w:rPr>
      </w:pPr>
    </w:p>
    <w:p w14:paraId="6A710DBF" w14:textId="5A8EA617">
      <w:pPr>
        <w:pStyle w:val="P68B1DB1-Normal15"/>
        <w:widowControl w:val="0"/>
        <w:tabs>
          <w:tab w:val="left" w:pos="437"/>
        </w:tabs>
        <w:autoSpaceDE w:val="0"/>
        <w:autoSpaceDN w:val="0"/>
        <w:spacing w:after="0" w:line="240" w:lineRule="auto"/>
        <w:ind w:left="567"/>
        <w:jc w:val="both"/>
        <w:rPr>
          <w:iCs/>
        </w:rPr>
      </w:pPr>
      <w:r>
        <w:t xml:space="preserve">58. Dalle informazioni contenute nella domanda di pronuncia pregiudiziale risulta quindi che l'articolo 10, paragrafo 19, della legge sui giochi d'azzardo ha aggiunto requisiti nuovi o supplementari, ai sensi della giurisprudenza richiamata al punto 52 della presente sentenza, rispetto all'articolo 10, paragrafo 19, della precedente legge sui giochi d'azzardo. Ne consegue che, fatte salve le verifiche che spetta al giudice del rinvio effettuare, la modifica che ha dato luogo alla legge attualmente in vigore avrebbe dovuto essere notificata ai sensi dell'articolo 5, paragrafo 1, primo comma, della direttiva 2015/1535."</w:t>
      </w:r>
    </w:p>
    <w:p w14:paraId="339BEA27" w14:textId="77777777">
      <w:pPr>
        <w:pStyle w:val="P68B1DB1-P68B1DB1-ListParagraph226"/>
        <w:tabs>
          <w:tab w:val="left" w:pos="396"/>
          <w:tab w:val="left" w:pos="425"/>
        </w:tabs>
        <w:ind w:left="0" w:right="0" w:firstLine="0"/>
        <w:rPr>
          <w:iCs/>
        </w:rPr>
      </w:pPr>
    </w:p>
    <w:p w14:paraId="6669AD1C" w14:textId="1CFF8354">
      <w:pPr>
        <w:pStyle w:val="P68B1DB1-Normal16"/>
        <w:spacing w:after="0" w:line="240" w:lineRule="auto"/>
        <w:rPr>
          <w:i/>
          <w:iCs/>
        </w:rPr>
      </w:pPr>
      <w:r>
        <w:br w:type="page"/>
      </w:r>
    </w:p>
    <w:p w14:paraId="7F22FE55" w14:textId="67315266">
      <w:pPr>
        <w:pStyle w:val="P68B1DB1-Heading24"/>
        <w:numPr>
          <w:ilvl w:val="0"/>
          <w:numId w:val="36"/>
        </w:numPr>
        <w:spacing w:before="0" w:after="0"/>
        <w:jc w:val="center"/>
        <w:rPr>
          <w:bCs/>
          <w:color w:val="auto"/>
        </w:rPr>
      </w:pPr>
      <w:bookmarkStart w:id="136" w:name="_Ref194484898"/>
      <w:bookmarkStart w:id="137" w:name="_Toc203035676"/>
      <w:r>
        <w:t xml:space="preserve">Notifica del testo integrale</w:t>
      </w:r>
      <w:bookmarkEnd w:id="136"/>
      <w:bookmarkEnd w:id="137"/>
    </w:p>
    <w:p w14:paraId="7C840A0C" w14:textId="77777777">
      <w:pPr>
        <w:pStyle w:val="BodyText"/>
        <w:rPr>
          <w:b/>
          <w:bCs/>
        </w:rPr>
      </w:pPr>
    </w:p>
    <w:p w14:paraId="70826245" w14:textId="6B20BAFD">
      <w:pPr>
        <w:pStyle w:val="P68B1DB1-Normal13"/>
        <w:widowControl w:val="0"/>
        <w:autoSpaceDE w:val="0"/>
        <w:autoSpaceDN w:val="0"/>
        <w:spacing w:after="0" w:line="240" w:lineRule="auto"/>
        <w:jc w:val="both"/>
        <w:outlineLvl w:val="1"/>
      </w:pPr>
      <w:hyperlink r:id="rId82" w:history="1">
        <w:r>
          <w:rPr>
            <w:color w:val="0000FF"/>
            <w:u w:val="single"/>
          </w:rPr>
          <w:t xml:space="preserve">Corte: sentenza 16 settembre 1997</w:t>
        </w:r>
      </w:hyperlink>
      <w:r>
        <w:t xml:space="preserve">, causa C-279/94, Commissione/Italia, punti 38 e 42</w:t>
      </w:r>
      <w:bookmarkEnd w:id="138"/>
    </w:p>
    <w:p w14:paraId="5500F145" w14:textId="77777777">
      <w:pPr>
        <w:widowControl w:val="0"/>
        <w:autoSpaceDE w:val="0"/>
        <w:autoSpaceDN w:val="0"/>
        <w:spacing w:after="0" w:line="240" w:lineRule="auto"/>
        <w:jc w:val="both"/>
        <w:rPr>
          <w:rFonts w:ascii="Times New Roman" w:hAnsi="Times New Roman" w:cs="Times New Roman" w:eastAsia="Times New Roman"/>
          <w:szCs w:val="20"/>
        </w:rPr>
      </w:pPr>
    </w:p>
    <w:p w14:paraId="2034B5D1" w14:textId="5EDE6A01">
      <w:pPr>
        <w:pStyle w:val="P68B1DB1-Normal14"/>
        <w:widowControl w:val="0"/>
        <w:autoSpaceDE w:val="0"/>
        <w:autoSpaceDN w:val="0"/>
        <w:spacing w:after="0" w:line="240" w:lineRule="auto"/>
        <w:jc w:val="both"/>
      </w:pPr>
      <w:r>
        <w:t xml:space="preserve">Un testo contenente "regole tecniche" deve essere notificato nella sua interezza, comprese le misure che non sono "regole tecniche", anche se solo "regole tecniche" sono soggette al termine sospensivo.</w:t>
      </w:r>
    </w:p>
    <w:p w14:paraId="212FCCEC" w14:textId="77777777">
      <w:pPr>
        <w:widowControl w:val="0"/>
        <w:autoSpaceDE w:val="0"/>
        <w:autoSpaceDN w:val="0"/>
        <w:spacing w:after="0" w:line="240" w:lineRule="auto"/>
        <w:jc w:val="both"/>
        <w:rPr>
          <w:rFonts w:ascii="Times New Roman" w:hAnsi="Times New Roman" w:cs="Times New Roman" w:eastAsia="Times New Roman"/>
          <w:szCs w:val="20"/>
        </w:rPr>
      </w:pPr>
    </w:p>
    <w:p w14:paraId="41D543D7" w14:textId="2D86A463">
      <w:pPr>
        <w:pStyle w:val="P68B1DB1-Normal15"/>
        <w:widowControl w:val="0"/>
        <w:tabs>
          <w:tab w:val="left" w:pos="396"/>
          <w:tab w:val="left" w:pos="461"/>
        </w:tabs>
        <w:autoSpaceDE w:val="0"/>
        <w:autoSpaceDN w:val="0"/>
        <w:spacing w:after="0" w:line="240" w:lineRule="auto"/>
        <w:ind w:left="567"/>
        <w:jc w:val="both"/>
        <w:rPr>
          <w:iCs/>
        </w:rPr>
      </w:pPr>
      <w:r>
        <w:t xml:space="preserve">"38. Per quanto riguarda l'obbligo del governo italiano di notificare il testo integrale della legge n. 257/92, comprese le disposizioni che non costituiscono regole tecniche, occorre rilevare che, ai sensi dell'articolo 8, paragrafo 1, primo comma, ultima frase, della direttiva, gli Stati membri devono comunicare alla Commissione anche il testo delle disposizioni legislative o regolamentari di base principalmente e direttamente interessate, qualora la conoscenza di tale testo sia necessaria per valutare l'incidenza del progetto di regola tecnica."</w:t>
      </w:r>
    </w:p>
    <w:p w14:paraId="2D985B3C"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iCs/>
          <w:sz w:val="20"/>
          <w:szCs w:val="16"/>
        </w:rPr>
      </w:pPr>
    </w:p>
    <w:p w14:paraId="48F0D541" w14:textId="215D3040">
      <w:pPr>
        <w:pStyle w:val="P68B1DB1-Normal15"/>
        <w:widowControl w:val="0"/>
        <w:tabs>
          <w:tab w:val="left" w:pos="396"/>
          <w:tab w:val="left" w:pos="461"/>
        </w:tabs>
        <w:autoSpaceDE w:val="0"/>
        <w:autoSpaceDN w:val="0"/>
        <w:spacing w:after="0" w:line="240" w:lineRule="auto"/>
        <w:ind w:left="567"/>
        <w:jc w:val="both"/>
        <w:rPr>
          <w:iCs/>
        </w:rPr>
      </w:pPr>
      <w:r>
        <w:t xml:space="preserve">"42. Tuttavia, il semplice fatto che tutte le disposizioni contenute nella legge n. 257/92 siano notificate alla Commissione non impedisce alla Repubblica italiana di mettere immediatamente in vigore, e quindi senza attendere i risultati della procedura d'esame prevista dalla direttiva, le disposizioni che non costituiscono regole tecniche."</w:t>
      </w:r>
    </w:p>
    <w:p w14:paraId="7749D63B" w14:textId="5E15703E">
      <w:pPr>
        <w:pStyle w:val="P68B1DB1-Normal16"/>
        <w:spacing w:after="0" w:line="240" w:lineRule="auto"/>
        <w:rPr>
          <w:i/>
          <w:iCs/>
        </w:rPr>
      </w:pPr>
      <w:r>
        <w:br w:type="page"/>
      </w:r>
    </w:p>
    <w:p w14:paraId="66AC7FAE" w14:textId="2333E9D9">
      <w:pPr>
        <w:pStyle w:val="P68B1DB1-Heading24"/>
        <w:numPr>
          <w:ilvl w:val="0"/>
          <w:numId w:val="36"/>
        </w:numPr>
        <w:spacing w:before="0" w:after="0"/>
        <w:jc w:val="center"/>
        <w:rPr>
          <w:bCs/>
          <w:color w:val="auto"/>
        </w:rPr>
      </w:pPr>
      <w:bookmarkStart w:id="139" w:name="_Ref194484917"/>
      <w:bookmarkStart w:id="140" w:name="_Ref196314289"/>
      <w:bookmarkStart w:id="141" w:name="_Toc203035677"/>
      <w:r>
        <w:t xml:space="preserve">Notifica delle disposizioni di base </w:t>
      </w:r>
      <w:bookmarkEnd w:id="139"/>
      <w:r>
        <w:t>interessate</w:t>
      </w:r>
      <w:bookmarkEnd w:id="140"/>
      <w:bookmarkEnd w:id="141"/>
    </w:p>
    <w:p w14:paraId="02AB25EF" w14:textId="77777777">
      <w:pPr>
        <w:pStyle w:val="BodyText"/>
        <w:ind w:left="1440"/>
        <w:jc w:val="right"/>
        <w:rPr>
          <w:i/>
          <w:iCs/>
        </w:rPr>
      </w:pPr>
    </w:p>
    <w:p w14:paraId="7ADAEEA1" w14:textId="057664EC">
      <w:pPr>
        <w:pStyle w:val="P68B1DB1-BodyText11"/>
        <w:ind w:left="1440"/>
        <w:rPr>
          <w:iCs/>
        </w:rPr>
      </w:pPr>
      <w:r>
        <w:t xml:space="preserve">"Se del caso, e a meno che non sia già stato inviato con una comunicazione preliminare, gli Stati membri comunicano simultaneamente alla Commissione il testo delle disposizioni legislative o regolamentari di base, principalmente e direttamente interessate, qualora la conoscenza di tale testo sia necessaria per valutare la portata del progetto di regola tecnica."</w:t>
      </w:r>
    </w:p>
    <w:p w14:paraId="3C018828" w14:textId="77777777">
      <w:pPr>
        <w:pStyle w:val="BodyText"/>
        <w:ind w:left="1440"/>
        <w:jc w:val="right"/>
        <w:rPr>
          <w:i/>
          <w:iCs/>
        </w:rPr>
      </w:pPr>
    </w:p>
    <w:p w14:paraId="21D14611" w14:textId="15758967">
      <w:pPr>
        <w:pStyle w:val="BodyText"/>
        <w:ind w:left="1440"/>
        <w:jc w:val="right"/>
      </w:pPr>
      <w:r>
        <w:t xml:space="preserve">(articolo 5, paragrafo 1, seconda frase, della direttiva (UE) 2015/1535)</w:t>
      </w:r>
    </w:p>
    <w:p w14:paraId="7479C45A" w14:textId="77777777">
      <w:pPr>
        <w:pStyle w:val="BodyText"/>
        <w:ind w:left="1440"/>
        <w:jc w:val="right"/>
        <w:rPr>
          <w:i/>
          <w:iCs/>
        </w:rPr>
      </w:pPr>
    </w:p>
    <w:p w14:paraId="7E6EAA27" w14:textId="714E980B">
      <w:pPr>
        <w:pStyle w:val="P68B1DB1-Normal13"/>
        <w:widowControl w:val="0"/>
        <w:autoSpaceDE w:val="0"/>
        <w:autoSpaceDN w:val="0"/>
        <w:spacing w:after="0" w:line="240" w:lineRule="auto"/>
        <w:jc w:val="both"/>
        <w:outlineLvl w:val="1"/>
      </w:pPr>
      <w:hyperlink r:id="rId83" w:history="1">
        <w:r>
          <w:rPr>
            <w:color w:val="0000FF"/>
            <w:u w:val="single"/>
          </w:rPr>
          <w:t xml:space="preserve">Sentenza della Corte di giustizia del 7 maggio 1998</w:t>
        </w:r>
      </w:hyperlink>
      <w:r>
        <w:t xml:space="preserve">, Commissione/Belgio, C-145/97, punti 11 e 12.</w:t>
      </w:r>
      <w:bookmarkEnd w:id="142"/>
    </w:p>
    <w:p w14:paraId="768284F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832E540" w14:textId="0817AF48">
      <w:pPr>
        <w:pStyle w:val="P68B1DB1-Normal14"/>
        <w:widowControl w:val="0"/>
        <w:tabs>
          <w:tab w:val="left" w:pos="437"/>
        </w:tabs>
        <w:autoSpaceDE w:val="0"/>
        <w:autoSpaceDN w:val="0"/>
        <w:spacing w:after="0" w:line="240" w:lineRule="auto"/>
        <w:jc w:val="both"/>
      </w:pPr>
      <w:r>
        <w:t xml:space="preserve">Gli Stati membri devono comunicare non solo il progetto di testo contenente le "regole tecniche", ma anche il testo delle disposizioni legislative o regolamentari di base principalmente e direttamente interessate. Tale obbligo ha lo scopo di consentire alla Commissione di disporre del maggior numero possibile di informazioni e quindi di esercitare efficacemente i poteri che le sono conferiti dalla direttiva.</w:t>
      </w:r>
    </w:p>
    <w:p w14:paraId="239177AF"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652AC3E4" w14:textId="74A8268E">
      <w:pPr>
        <w:pStyle w:val="P68B1DB1-P68B1DB1-Normal1623"/>
        <w:widowControl w:val="0"/>
        <w:tabs>
          <w:tab w:val="left" w:pos="437"/>
        </w:tabs>
        <w:autoSpaceDE w:val="0"/>
        <w:autoSpaceDN w:val="0"/>
        <w:spacing w:after="0" w:line="240" w:lineRule="auto"/>
        <w:ind w:left="567"/>
        <w:jc w:val="both"/>
        <w:rPr>
          <w:i/>
        </w:rPr>
      </w:pPr>
      <w:r>
        <w:t xml:space="preserve">"11. In secondo luogo, per quanto riguarda l'esatta portata dell'obbligo di comunicazione, l'articolo 8, paragrafo 1, primo comma, ultima frase, della direttiva prevede che gli Stati membri comunichino anche il testo delle disposizioni legislative o regolamentari di base principalmente e direttamente interessate, qualora la conoscenza di tale testo sia necessaria per valutare le implicazioni del progetto di regola tecnica.</w:t>
      </w:r>
    </w:p>
    <w:p w14:paraId="34A9E602" w14:textId="77777777">
      <w:pPr>
        <w:pStyle w:val="P68B1DB1-Normal16"/>
        <w:widowControl w:val="0"/>
        <w:tabs>
          <w:tab w:val="left" w:pos="437"/>
        </w:tabs>
        <w:autoSpaceDE w:val="0"/>
        <w:autoSpaceDN w:val="0"/>
        <w:spacing w:after="0" w:line="240" w:lineRule="auto"/>
        <w:ind w:left="567"/>
        <w:jc w:val="both"/>
        <w:rPr>
          <w:i/>
        </w:rPr>
      </w:pPr>
    </w:p>
    <w:p w14:paraId="4EF4E053" w14:textId="6423D8FC">
      <w:pPr>
        <w:pStyle w:val="P68B1DB1-P68B1DB1-Normal1623"/>
        <w:widowControl w:val="0"/>
        <w:tabs>
          <w:tab w:val="left" w:pos="437"/>
        </w:tabs>
        <w:autoSpaceDE w:val="0"/>
        <w:autoSpaceDN w:val="0"/>
        <w:spacing w:after="0" w:line="240" w:lineRule="auto"/>
        <w:ind w:left="567"/>
        <w:jc w:val="both"/>
        <w:rPr>
          <w:i/>
        </w:rPr>
      </w:pPr>
      <w:r>
        <w:t xml:space="preserve">12. Come la Corte ha precisato nella sentenza nella causa C-279/94, Commissione/Italia (Racc. 1997, pag. I-4743, punto 40), tale disposizione ha lo scopo di consentire alla Commissione di disporre del maggior numero possibile di informazioni su qualsiasi progetto di regolamentazione tecnica per quanto riguarda il suo contenuto, la sua portata e il suo contesto generale, al fine di consentirle di esercitare nel modo più efficace possibile i poteri che le sono conferiti dalla direttiva."</w:t>
      </w:r>
    </w:p>
    <w:p w14:paraId="4E67514A" w14:textId="77777777">
      <w:pPr>
        <w:pStyle w:val="P68B1DB1-Normal16"/>
        <w:spacing w:after="0" w:line="240" w:lineRule="auto"/>
      </w:pPr>
      <w:r>
        <w:br w:type="page"/>
      </w:r>
    </w:p>
    <w:p w14:paraId="6CA665D0" w14:textId="62A7B166">
      <w:pPr>
        <w:pStyle w:val="P68B1DB1-Heading24"/>
        <w:numPr>
          <w:ilvl w:val="0"/>
          <w:numId w:val="36"/>
        </w:numPr>
        <w:spacing w:before="0" w:after="0"/>
        <w:jc w:val="center"/>
        <w:rPr>
          <w:bCs/>
          <w:color w:val="auto"/>
        </w:rPr>
      </w:pPr>
      <w:bookmarkStart w:id="143" w:name="_Ref194484926"/>
      <w:bookmarkStart w:id="144" w:name="_Ref196314295"/>
      <w:bookmarkStart w:id="145" w:name="_Toc203035678"/>
      <w:r>
        <w:t xml:space="preserve">Nuova notifica</w:t>
      </w:r>
      <w:bookmarkEnd w:id="143"/>
      <w:r>
        <w:t xml:space="preserve"> durante il periodo di sospensione</w:t>
      </w:r>
      <w:bookmarkEnd w:id="144"/>
      <w:bookmarkEnd w:id="145"/>
    </w:p>
    <w:p w14:paraId="469CC5E9" w14:textId="77777777">
      <w:pPr>
        <w:pStyle w:val="BodyText"/>
        <w:ind w:left="1440"/>
        <w:jc w:val="right"/>
        <w:rPr>
          <w:i/>
          <w:iCs/>
        </w:rPr>
      </w:pPr>
    </w:p>
    <w:p w14:paraId="07616479" w14:textId="3F014BDB">
      <w:pPr>
        <w:pStyle w:val="P68B1DB1-BodyText11"/>
        <w:ind w:left="1440"/>
        <w:rPr>
          <w:iCs/>
        </w:rPr>
      </w:pPr>
      <w:r>
        <w:t xml:space="preserve">"Gli Stati membri comunicano nuovamente il progetto di regola tecnica alla Commissione alle condizioni di cui al primo e al secondo comma del presente paragrafo se apportano al progetto modifiche che hanno l'effetto di alterarne in modo significativo il campo di applicazione, di abbreviare il calendario di attuazione inizialmente previsto, di aggiungere specifiche o requisiti o di renderli più restrittivi."</w:t>
      </w:r>
    </w:p>
    <w:p w14:paraId="3E582DDB" w14:textId="77777777">
      <w:pPr>
        <w:pStyle w:val="BodyText"/>
        <w:ind w:left="1440"/>
        <w:jc w:val="right"/>
        <w:rPr>
          <w:i/>
          <w:iCs/>
        </w:rPr>
      </w:pPr>
    </w:p>
    <w:p w14:paraId="57E3F15D" w14:textId="51B7D3EF">
      <w:pPr>
        <w:pStyle w:val="BodyText"/>
        <w:ind w:left="1440"/>
        <w:jc w:val="right"/>
      </w:pPr>
      <w:r>
        <w:t xml:space="preserve">(articolo 5, paragrafo 1, terza frase, della direttiva (UE) 2015/1535)</w:t>
      </w:r>
    </w:p>
    <w:p w14:paraId="3C5D4E98" w14:textId="77777777">
      <w:pPr>
        <w:widowControl w:val="0"/>
        <w:tabs>
          <w:tab w:val="left" w:pos="437"/>
        </w:tabs>
        <w:autoSpaceDE w:val="0"/>
        <w:autoSpaceDN w:val="0"/>
        <w:spacing w:after="0" w:line="240" w:lineRule="auto"/>
        <w:jc w:val="both"/>
      </w:pPr>
    </w:p>
    <w:p w14:paraId="0923F993" w14:textId="2074D78C">
      <w:pPr>
        <w:pStyle w:val="P68B1DB1-Normal13"/>
        <w:widowControl w:val="0"/>
        <w:autoSpaceDE w:val="0"/>
        <w:autoSpaceDN w:val="0"/>
        <w:spacing w:after="0" w:line="240" w:lineRule="auto"/>
        <w:jc w:val="both"/>
        <w:outlineLvl w:val="1"/>
      </w:pPr>
      <w:hyperlink r:id="rId84" w:history="1">
        <w:r>
          <w:rPr>
            <w:color w:val="0000FF"/>
            <w:u w:val="single"/>
          </w:rPr>
          <w:t xml:space="preserve">Sentenza della Corte di giustizia del 15 aprile 2010</w:t>
        </w:r>
      </w:hyperlink>
      <w:r>
        <w:t xml:space="preserve">, Sandström, C-433/05, punti 47 e 48.</w:t>
      </w:r>
      <w:bookmarkEnd w:id="146"/>
    </w:p>
    <w:p w14:paraId="442A3D5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7AEB5DB" w14:textId="57E34DD0">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Le modifiche a un progetto di regola tecnica già notificato alla Commissione che si limitano ad allentare le condizioni di utilizzazione del prodotto in questione non costituiscono una modifica significativa che richiede un'ulteriore notifica.</w:t>
      </w:r>
    </w:p>
    <w:p w14:paraId="14CAB084" w14:textId="77777777">
      <w:pPr>
        <w:widowControl w:val="0"/>
        <w:autoSpaceDE w:val="0"/>
        <w:autoSpaceDN w:val="0"/>
        <w:spacing w:after="0" w:line="240" w:lineRule="auto"/>
        <w:jc w:val="both"/>
        <w:rPr>
          <w:rFonts w:ascii="Times New Roman" w:hAnsi="Times New Roman" w:cs="Times New Roman" w:eastAsia="Times New Roman"/>
          <w:szCs w:val="20"/>
        </w:rPr>
      </w:pPr>
    </w:p>
    <w:p w14:paraId="711A665A" w14:textId="07F4B9B5">
      <w:pPr>
        <w:pStyle w:val="P68B1DB1-Normal15"/>
        <w:widowControl w:val="0"/>
        <w:autoSpaceDE w:val="0"/>
        <w:autoSpaceDN w:val="0"/>
        <w:spacing w:after="0" w:line="240" w:lineRule="auto"/>
        <w:ind w:left="567"/>
        <w:jc w:val="both"/>
      </w:pPr>
      <w:r>
        <w:t xml:space="preserve">"47. [...] alla luce dell'obiettivo della direttiva 98/34, menzionato al punto 41 della presente sentenza, le modifiche apportate a un progetto di regola tecnica già notificato alla Commissione ai sensi dell'articolo 8, paragrafo 1, primo comma, della direttiva 98/34, che contengono, per quanto riguarda il progetto notificato, solo un allentamento delle condizioni d'uso del prodotto di cui trattasi e che, pertanto, riducono l'eventuale impatto della regola tecnica sul commercio, non costituiscono una modifica significativa del progetto ai sensi dell'articolo 8, paragrafo 1, terzo comma, di tale direttiva. Simili modifiche non sono dunque assoggettate all'obbligo di previa notifica.</w:t>
      </w:r>
    </w:p>
    <w:p w14:paraId="1CD58368" w14:textId="77777777">
      <w:pPr>
        <w:pStyle w:val="P68B1DB1-Normal15"/>
        <w:widowControl w:val="0"/>
        <w:autoSpaceDE w:val="0"/>
        <w:autoSpaceDN w:val="0"/>
        <w:spacing w:after="0" w:line="240" w:lineRule="auto"/>
        <w:ind w:left="567"/>
        <w:jc w:val="both"/>
      </w:pPr>
    </w:p>
    <w:p w14:paraId="07688F8B" w14:textId="1AE41F0D">
      <w:pPr>
        <w:pStyle w:val="P68B1DB1-Normal15"/>
        <w:widowControl w:val="0"/>
        <w:autoSpaceDE w:val="0"/>
        <w:autoSpaceDN w:val="0"/>
        <w:spacing w:after="0" w:line="240" w:lineRule="auto"/>
        <w:ind w:left="567"/>
        <w:jc w:val="both"/>
        <w:rPr>
          <w:iCs/>
        </w:rPr>
      </w:pPr>
      <w:r>
        <w:t xml:space="preserve">48. Sebbene, ai sensi dell'articolo 8, paragrafo 3, della direttiva 98/34, gli Stati membri comunichino senza indugio alla Commissione il testo definitivo di una regola tecnica, la mancata comunicazione di una modifica non significativa di tale regolamento prima della sua adozione non pregiudica l'applicabilità di quest'ultimo, in assenza di un obbligo di notifica preventiva."</w:t>
      </w:r>
    </w:p>
    <w:p w14:paraId="56651A14" w14:textId="77777777">
      <w:pPr>
        <w:widowControl w:val="0"/>
        <w:tabs>
          <w:tab w:val="left" w:pos="461"/>
        </w:tabs>
        <w:autoSpaceDE w:val="0"/>
        <w:autoSpaceDN w:val="0"/>
        <w:spacing w:after="0" w:line="240" w:lineRule="auto"/>
        <w:jc w:val="both"/>
        <w:rPr>
          <w:rFonts w:ascii="Times New Roman" w:hAnsi="Times New Roman" w:cs="Times New Roman" w:eastAsia="Times New Roman"/>
          <w:sz w:val="20"/>
          <w:szCs w:val="16"/>
        </w:rPr>
      </w:pPr>
    </w:p>
    <w:p w14:paraId="595AF62A" w14:textId="0AF157F1">
      <w:pPr>
        <w:pStyle w:val="P68B1DB1-Normal13"/>
        <w:widowControl w:val="0"/>
        <w:autoSpaceDE w:val="0"/>
        <w:autoSpaceDN w:val="0"/>
        <w:spacing w:after="0" w:line="240" w:lineRule="auto"/>
        <w:jc w:val="both"/>
        <w:outlineLvl w:val="1"/>
      </w:pPr>
      <w:hyperlink r:id="rId85" w:history="1">
        <w:r>
          <w:rPr>
            <w:color w:val="0000FF"/>
            <w:u w:val="single"/>
          </w:rPr>
          <w:t xml:space="preserve">Sentenza della Corte di giustizia del 31 gennaio 2013</w:t>
        </w:r>
      </w:hyperlink>
      <w:r>
        <w:t xml:space="preserve">, Belgische Petroleum Unie e altri, C-26/11, punti 56 e 57.</w:t>
      </w:r>
      <w:bookmarkEnd w:id="147"/>
    </w:p>
    <w:p w14:paraId="11A2865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307C232" w14:textId="029CC044">
      <w:pPr>
        <w:pStyle w:val="P68B1DB1-Normal14"/>
        <w:widowControl w:val="0"/>
        <w:tabs>
          <w:tab w:val="left" w:pos="412"/>
        </w:tabs>
        <w:autoSpaceDE w:val="0"/>
        <w:autoSpaceDN w:val="0"/>
        <w:spacing w:after="0" w:line="240" w:lineRule="auto"/>
        <w:jc w:val="both"/>
      </w:pPr>
      <w:r>
        <w:t xml:space="preserve">La direttiva non richiede una nuova notifica del progetto di legge nazionale qualora, dopo essere stato notificato, il progetto sia stato modificato per tener conto delle osservazioni della Commissione e il progetto modificato sia stato successivamente comunicato alla Commissione.</w:t>
      </w:r>
    </w:p>
    <w:p w14:paraId="7BB1B9CC" w14:textId="77777777">
      <w:pPr>
        <w:widowControl w:val="0"/>
        <w:tabs>
          <w:tab w:val="left" w:pos="412"/>
        </w:tabs>
        <w:autoSpaceDE w:val="0"/>
        <w:autoSpaceDN w:val="0"/>
        <w:spacing w:after="0" w:line="240" w:lineRule="auto"/>
        <w:jc w:val="both"/>
        <w:rPr>
          <w:rFonts w:ascii="Times New Roman" w:hAnsi="Times New Roman" w:cs="Times New Roman" w:eastAsia="Times New Roman"/>
          <w:szCs w:val="20"/>
        </w:rPr>
      </w:pPr>
    </w:p>
    <w:p w14:paraId="78681219" w14:textId="6C2D482D">
      <w:pPr>
        <w:pStyle w:val="P68B1DB1-Normal15"/>
        <w:widowControl w:val="0"/>
        <w:tabs>
          <w:tab w:val="left" w:pos="412"/>
        </w:tabs>
        <w:autoSpaceDE w:val="0"/>
        <w:autoSpaceDN w:val="0"/>
        <w:spacing w:after="0" w:line="240" w:lineRule="auto"/>
        <w:ind w:left="567"/>
        <w:jc w:val="both"/>
      </w:pPr>
      <w:r>
        <w:t xml:space="preserve">"56. [...] il Regno del Belgio, in tali circostanze, si è limitato a modificare le disposizioni di un progetto di legge conformemente a una richiesta della Commissione di eliminare un ostacolo agli scambi, cosicché, in forza dell'articolo 10, paragrafo 1, ultimo trattino, della direttiva 98/34, l'obbligo di notifica alla Commissione ai sensi dell'articolo 8, paragrafo 1, primo comma, di tale direttiva non si applica al progetto di legge sull'obbligo di miscelazione.</w:t>
      </w:r>
    </w:p>
    <w:p w14:paraId="4B8B3C65" w14:textId="77777777">
      <w:pPr>
        <w:pStyle w:val="P68B1DB1-Normal15"/>
        <w:widowControl w:val="0"/>
        <w:tabs>
          <w:tab w:val="left" w:pos="412"/>
        </w:tabs>
        <w:autoSpaceDE w:val="0"/>
        <w:autoSpaceDN w:val="0"/>
        <w:spacing w:after="0" w:line="240" w:lineRule="auto"/>
        <w:ind w:left="567"/>
        <w:jc w:val="both"/>
      </w:pPr>
    </w:p>
    <w:p w14:paraId="2643CC13" w14:textId="30521DC9">
      <w:pPr>
        <w:pStyle w:val="P68B1DB1-Normal15"/>
        <w:widowControl w:val="0"/>
        <w:tabs>
          <w:tab w:val="left" w:pos="412"/>
        </w:tabs>
        <w:autoSpaceDE w:val="0"/>
        <w:autoSpaceDN w:val="0"/>
        <w:spacing w:after="0" w:line="240" w:lineRule="auto"/>
        <w:ind w:left="567"/>
        <w:jc w:val="both"/>
        <w:rPr>
          <w:iCs/>
        </w:rPr>
      </w:pPr>
      <w:r>
        <w:t xml:space="preserve">57. In tali circostanze, occorre rispondere alla seconda questione dichiarando che l'articolo 8 della direttiva 98/34, in combinato disposto con l'articolo 10, paragrafo 1, ultimo trattino, di tale direttiva, deve essere interpretato nel senso che non impone la notifica di un progetto di normativa nazionale che obbliga le società petrolifere che immettono sul mercato benzina e/o combustibili diesel a immettere sul mercato anche, nello stesso anno civile, determinate percentuali di biocarburanti, qualora, dopo essere stato notificato ai sensi dell'articolo 8, paragrafo 1, primo comma, il progetto sia stato modificato per tener conto delle osservazioni della Commissione su di esso e il progetto modificato sia stato poi comunicato a quest'ultima".</w:t>
      </w:r>
    </w:p>
    <w:p w14:paraId="236E4111" w14:textId="77777777">
      <w:pPr>
        <w:widowControl w:val="0"/>
        <w:tabs>
          <w:tab w:val="left" w:pos="461"/>
        </w:tabs>
        <w:autoSpaceDE w:val="0"/>
        <w:autoSpaceDN w:val="0"/>
        <w:spacing w:after="0" w:line="240" w:lineRule="auto"/>
        <w:jc w:val="both"/>
        <w:rPr>
          <w:rFonts w:ascii="Times New Roman" w:hAnsi="Times New Roman" w:cs="Times New Roman" w:eastAsia="Times New Roman"/>
          <w:sz w:val="20"/>
          <w:szCs w:val="16"/>
        </w:rPr>
      </w:pPr>
    </w:p>
    <w:p w14:paraId="43993F44" w14:textId="3D80E37E">
      <w:pPr>
        <w:pStyle w:val="P68B1DB1-Normal14"/>
        <w:widowControl w:val="0"/>
        <w:autoSpaceDE w:val="0"/>
        <w:autoSpaceDN w:val="0"/>
        <w:spacing w:after="0" w:line="240" w:lineRule="auto"/>
        <w:jc w:val="both"/>
        <w:outlineLvl w:val="1"/>
        <w:rPr>
          <w:b/>
          <w:i/>
        </w:rPr>
      </w:pPr>
      <w:hyperlink r:id="rId86" w:history="1">
        <w:r>
          <w:rPr>
            <w:b/>
            <w:i/>
            <w:color w:val="0000FF"/>
            <w:u w:val="single"/>
          </w:rPr>
          <w:t xml:space="preserve">Sentenza della Corte di giustizia del 10 luglio 2014,</w:t>
        </w:r>
      </w:hyperlink>
      <w:r>
        <w:rPr>
          <w:b/>
          <w:i/>
        </w:rPr>
        <w:t xml:space="preserve"> Ivansson e altri</w:t>
      </w:r>
      <w:r>
        <w:rPr>
          <w:b/>
          <w:i/>
        </w:rPr>
        <w:t>,</w:t>
      </w:r>
      <w:r>
        <w:rPr>
          <w:rFonts w:ascii="Open Sans" w:hAnsi="Open Sans" w:cs="Open Sans" w:eastAsiaTheme="minorHAnsi"/>
          <w:color w:val="000000"/>
          <w:sz w:val="18"/>
          <w:szCs w:val="18"/>
        </w:rPr>
        <w:t xml:space="preserve"> </w:t>
      </w:r>
      <w:r>
        <w:rPr>
          <w:b/>
          <w:i/>
        </w:rPr>
        <w:t xml:space="preserve">C-307/13, punti da 48 a 50</w:t>
      </w:r>
      <w:r>
        <w:rPr>
          <w:sz w:val="25"/>
        </w:rPr>
        <w:t>.</w:t>
      </w:r>
      <w:bookmarkEnd w:id="148"/>
    </w:p>
    <w:p w14:paraId="27463427" w14:textId="77777777">
      <w:pPr>
        <w:widowControl w:val="0"/>
        <w:autoSpaceDE w:val="0"/>
        <w:autoSpaceDN w:val="0"/>
        <w:spacing w:after="0" w:line="240" w:lineRule="auto"/>
        <w:ind w:left="-142"/>
        <w:jc w:val="both"/>
        <w:rPr>
          <w:rFonts w:ascii="Times New Roman" w:hAnsi="Times New Roman" w:cs="Times New Roman" w:eastAsia="Times New Roman"/>
          <w:szCs w:val="20"/>
        </w:rPr>
      </w:pPr>
    </w:p>
    <w:p w14:paraId="0B57A13E" w14:textId="12E99D5A">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Qualsiasi modifica significativa del calendario di attuazione di una misura nazionale, compresa una riduzione sostanziale, deve essere comunicata alla Commissione. La mancata notifica rende la misura inapplicabile e inopponibile ai singoli.</w:t>
      </w:r>
    </w:p>
    <w:p w14:paraId="0B31DCA0" w14:textId="77777777">
      <w:pPr>
        <w:widowControl w:val="0"/>
        <w:autoSpaceDE w:val="0"/>
        <w:autoSpaceDN w:val="0"/>
        <w:spacing w:after="0" w:line="240" w:lineRule="auto"/>
        <w:ind w:hanging="142"/>
        <w:jc w:val="both"/>
        <w:rPr>
          <w:rFonts w:ascii="Times New Roman" w:hAnsi="Times New Roman" w:cs="Times New Roman" w:eastAsia="Times New Roman"/>
          <w:szCs w:val="20"/>
        </w:rPr>
      </w:pPr>
    </w:p>
    <w:p w14:paraId="2FC99E88" w14:textId="427CE55A">
      <w:pPr>
        <w:pStyle w:val="P68B1DB1-Normal15"/>
        <w:widowControl w:val="0"/>
        <w:tabs>
          <w:tab w:val="left" w:pos="396"/>
          <w:tab w:val="left" w:pos="407"/>
        </w:tabs>
        <w:autoSpaceDE w:val="0"/>
        <w:autoSpaceDN w:val="0"/>
        <w:spacing w:after="0" w:line="240" w:lineRule="auto"/>
        <w:ind w:left="567"/>
        <w:jc w:val="both"/>
      </w:pPr>
      <w:r>
        <w:t xml:space="preserve">"48. A tal riguardo, occorre ricordare che la Corte ha dichiarato che l'inosservanza dell'obbligo di notifica alla Commissione costituisce un vizio procedurale nell'adozione delle regole tecniche di cui trattasi e rende queste ultime inapplicabili e, pertanto, inopponibili ai singoli (v., in particolare, sentenze CIA Security International, C-194/94, ecueil, punto 54, e Schwibbert, C-20/05, punto 44). I singoli possono invocare tale inapplicabilità dinanzi al giudice nazionale, il quale deve disapplicare una regola tecnica nazionale non notificata conformemente alla direttiva 98/34 (v., in particolare, sentenza Schwibbert, cit., punto 44 e giurisprudenza ivi citata).</w:t>
      </w:r>
    </w:p>
    <w:p w14:paraId="64D396E7" w14:textId="77777777">
      <w:pPr>
        <w:pStyle w:val="P68B1DB1-Normal15"/>
        <w:widowControl w:val="0"/>
        <w:tabs>
          <w:tab w:val="left" w:pos="396"/>
          <w:tab w:val="left" w:pos="407"/>
        </w:tabs>
        <w:autoSpaceDE w:val="0"/>
        <w:autoSpaceDN w:val="0"/>
        <w:spacing w:after="0" w:line="240" w:lineRule="auto"/>
        <w:ind w:left="567"/>
        <w:jc w:val="both"/>
      </w:pPr>
    </w:p>
    <w:p w14:paraId="24511168" w14:textId="41EC6123">
      <w:pPr>
        <w:pStyle w:val="P68B1DB1-Normal15"/>
        <w:widowControl w:val="0"/>
        <w:tabs>
          <w:tab w:val="left" w:pos="396"/>
          <w:tab w:val="left" w:pos="407"/>
        </w:tabs>
        <w:autoSpaceDE w:val="0"/>
        <w:autoSpaceDN w:val="0"/>
        <w:spacing w:after="0" w:line="240" w:lineRule="auto"/>
        <w:ind w:left="567"/>
        <w:jc w:val="both"/>
      </w:pPr>
      <w:r>
        <w:t xml:space="preserve">49. Ne consegue che, se la comunicazione alla Commissione dell'art. 9 del DSF conteneva effettivamente la data del 1º maggio 2003 come data di entrata in vigore e la riduzione del suo calendario di attuazione al 15 aprile 2003 fosse di natura significativa, la mancata comunicazione di tale disposizione nazionale alla Commissione renderebbe quest'ultima inopponibile ai convenuti nella causa principale.</w:t>
      </w:r>
    </w:p>
    <w:p w14:paraId="5515956D" w14:textId="77777777">
      <w:pPr>
        <w:pStyle w:val="P68B1DB1-Normal15"/>
        <w:widowControl w:val="0"/>
        <w:tabs>
          <w:tab w:val="left" w:pos="396"/>
          <w:tab w:val="left" w:pos="407"/>
        </w:tabs>
        <w:autoSpaceDE w:val="0"/>
        <w:autoSpaceDN w:val="0"/>
        <w:spacing w:after="0" w:line="240" w:lineRule="auto"/>
        <w:ind w:left="567"/>
        <w:jc w:val="both"/>
      </w:pPr>
    </w:p>
    <w:p w14:paraId="74B7B30E" w14:textId="7B5C59D5">
      <w:pPr>
        <w:pStyle w:val="P68B1DB1-Normal15"/>
        <w:widowControl w:val="0"/>
        <w:tabs>
          <w:tab w:val="left" w:pos="396"/>
          <w:tab w:val="left" w:pos="407"/>
        </w:tabs>
        <w:autoSpaceDE w:val="0"/>
        <w:autoSpaceDN w:val="0"/>
        <w:spacing w:after="0" w:line="240" w:lineRule="auto"/>
        <w:ind w:left="567"/>
        <w:jc w:val="both"/>
      </w:pPr>
      <w:r>
        <w:t xml:space="preserve">50. Di conseguenza, occorre rispondere alla seconda questione dichiarando che, se la riduzione del termine per l'entrata in vigore di una regola tecnica è soggetta all'obbligo di comunicazione alla Commissione, ai sensi dell'articolo 8, paragrafo 1, terzo comma, della direttiva 98/34, la mancata comunicazione comporterebbe l'inapplicabilità di tale misura nazionale, cosicché essa non potrebbe essere fatta valere nei confronti dei singoli."</w:t>
      </w:r>
    </w:p>
    <w:p w14:paraId="761A5A99" w14:textId="77777777">
      <w:pPr>
        <w:pStyle w:val="P68B1DB1-Normal15"/>
        <w:widowControl w:val="0"/>
        <w:tabs>
          <w:tab w:val="left" w:pos="396"/>
          <w:tab w:val="left" w:pos="407"/>
        </w:tabs>
        <w:autoSpaceDE w:val="0"/>
        <w:autoSpaceDN w:val="0"/>
        <w:spacing w:after="0" w:line="240" w:lineRule="auto"/>
        <w:jc w:val="both"/>
        <w:rPr>
          <w:iCs/>
        </w:rPr>
      </w:pPr>
    </w:p>
    <w:p w14:paraId="5BAF695F" w14:textId="64410CB4">
      <w:pPr>
        <w:pStyle w:val="P68B1DB1-Normal16"/>
        <w:spacing w:after="0" w:line="278" w:lineRule="auto"/>
      </w:pPr>
      <w:r>
        <w:br w:type="page"/>
      </w:r>
    </w:p>
    <w:p w14:paraId="6577BC49" w14:textId="03B1ACB8">
      <w:pPr>
        <w:pStyle w:val="P68B1DB1-Heading13"/>
        <w:numPr>
          <w:ilvl w:val="0"/>
          <w:numId w:val="34"/>
        </w:numPr>
        <w:spacing w:before="0" w:after="0"/>
        <w:jc w:val="center"/>
        <w:rPr>
          <w:bCs/>
          <w:color w:val="auto"/>
          <w:sz w:val="22"/>
          <w:szCs w:val="22"/>
        </w:rPr>
      </w:pPr>
      <w:bookmarkStart w:id="149" w:name="_Ref195517367"/>
      <w:bookmarkStart w:id="150" w:name="_Toc203035679"/>
      <w:r>
        <w:t xml:space="preserve">Eccezioni all'obbligo di notifica</w:t>
      </w:r>
      <w:bookmarkEnd w:id="149"/>
      <w:bookmarkEnd w:id="150"/>
    </w:p>
    <w:p w14:paraId="3C30462C" w14:textId="2740E9B7">
      <w:pPr>
        <w:spacing w:after="0" w:line="278" w:lineRule="auto"/>
        <w:rPr>
          <w:rFonts w:ascii="Times New Roman" w:hAnsi="Times New Roman" w:cs="Times New Roman"/>
          <w:i/>
          <w:sz w:val="20"/>
          <w:szCs w:val="20"/>
        </w:rPr>
      </w:pPr>
    </w:p>
    <w:p w14:paraId="0F730AF8" w14:textId="3DA91853">
      <w:pPr>
        <w:pStyle w:val="P68B1DB1-Heading24"/>
        <w:numPr>
          <w:ilvl w:val="0"/>
          <w:numId w:val="37"/>
        </w:numPr>
        <w:spacing w:before="0" w:after="0"/>
        <w:jc w:val="center"/>
        <w:rPr>
          <w:bCs/>
          <w:color w:val="auto"/>
        </w:rPr>
      </w:pPr>
      <w:bookmarkStart w:id="151" w:name="_Ref194484715"/>
      <w:bookmarkStart w:id="152" w:name="_Ref194942600"/>
      <w:bookmarkStart w:id="153" w:name="_Toc203035680"/>
      <w:r>
        <w:t xml:space="preserve">Recepimento di un atto europeo</w:t>
      </w:r>
      <w:bookmarkEnd w:id="151"/>
      <w:bookmarkEnd w:id="152"/>
      <w:bookmarkEnd w:id="153"/>
    </w:p>
    <w:p w14:paraId="4B7876F4" w14:textId="77777777">
      <w:pPr>
        <w:pStyle w:val="BodyText"/>
        <w:rPr>
          <w:b/>
          <w:bCs/>
        </w:rPr>
      </w:pPr>
    </w:p>
    <w:p w14:paraId="61507248" w14:textId="663D0F44">
      <w:pPr>
        <w:pStyle w:val="P68B1DB1-BodyText11"/>
        <w:ind w:left="567"/>
        <w:rPr>
          <w:i/>
        </w:rPr>
      </w:pPr>
      <w:r>
        <w:t xml:space="preserve">"Gli articoli 5 e 6 non si applicano alle disposizioni legislative, regolamentari e amministrative degli Stati membri o agli accordi volontari mediante i quali gli Stati membri: </w:t>
      </w:r>
    </w:p>
    <w:p w14:paraId="2762B474" w14:textId="77777777">
      <w:pPr>
        <w:pStyle w:val="BodyText"/>
        <w:ind w:left="567"/>
        <w:rPr>
          <w:i/>
        </w:rPr>
      </w:pPr>
    </w:p>
    <w:p w14:paraId="753FC221" w14:textId="4E9C46C0">
      <w:pPr>
        <w:pStyle w:val="P68B1DB1-BodyText11"/>
        <w:ind w:left="1440"/>
        <w:rPr>
          <w:iCs/>
        </w:rPr>
      </w:pPr>
      <w:r>
        <w:t xml:space="preserve">a) sono conformi agli atti vincolanti dell'Unione che comportano l'adozione di specifiche tecniche o di regole relative ai servizi;"</w:t>
      </w:r>
    </w:p>
    <w:p w14:paraId="2A077376" w14:textId="77777777">
      <w:pPr>
        <w:pStyle w:val="BodyText"/>
        <w:ind w:left="567"/>
        <w:rPr>
          <w:i/>
          <w:iCs/>
        </w:rPr>
      </w:pPr>
    </w:p>
    <w:p w14:paraId="7AE538ED" w14:textId="4CFA3BCA">
      <w:pPr>
        <w:pStyle w:val="BodyText"/>
        <w:jc w:val="right"/>
      </w:pPr>
      <w:r>
        <w:t xml:space="preserve">(Articolo 7, paragrafo 1, lettera a), della direttiva (UE) 2015/1535)</w:t>
      </w:r>
    </w:p>
    <w:p w14:paraId="7807BF71"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5C483B06" w14:textId="24AB8D26">
      <w:pPr>
        <w:pStyle w:val="P68B1DB1-Normal13"/>
        <w:widowControl w:val="0"/>
        <w:autoSpaceDE w:val="0"/>
        <w:autoSpaceDN w:val="0"/>
        <w:spacing w:after="0" w:line="240" w:lineRule="auto"/>
        <w:jc w:val="both"/>
        <w:outlineLvl w:val="1"/>
      </w:pPr>
      <w:hyperlink r:id="rId87" w:history="1">
        <w:r>
          <w:rPr>
            <w:color w:val="0000FF"/>
            <w:u w:val="single"/>
          </w:rPr>
          <w:t xml:space="preserve">Sentenza della Corte di giustizia del 17 settembre 1996</w:t>
        </w:r>
      </w:hyperlink>
      <w:r>
        <w:t xml:space="preserve">, Commissione/Italia, C-289/94, punti da 43 a 45.</w:t>
      </w:r>
      <w:bookmarkEnd w:id="154"/>
    </w:p>
    <w:p w14:paraId="5A0D4173" w14:textId="77777777">
      <w:pPr>
        <w:widowControl w:val="0"/>
        <w:tabs>
          <w:tab w:val="left" w:pos="393"/>
          <w:tab w:val="left" w:pos="396"/>
        </w:tabs>
        <w:autoSpaceDE w:val="0"/>
        <w:autoSpaceDN w:val="0"/>
        <w:spacing w:after="0" w:line="240" w:lineRule="auto"/>
        <w:jc w:val="both"/>
        <w:rPr>
          <w:rFonts w:ascii="Times New Roman" w:hAnsi="Times New Roman" w:cs="Times New Roman" w:eastAsia="Times New Roman"/>
          <w:szCs w:val="20"/>
        </w:rPr>
      </w:pPr>
    </w:p>
    <w:p w14:paraId="4994C4AC" w14:textId="06B0EF04">
      <w:pPr>
        <w:pStyle w:val="P68B1DB1-Normal14"/>
        <w:widowControl w:val="0"/>
        <w:tabs>
          <w:tab w:val="left" w:pos="393"/>
          <w:tab w:val="left" w:pos="396"/>
        </w:tabs>
        <w:autoSpaceDE w:val="0"/>
        <w:autoSpaceDN w:val="0"/>
        <w:spacing w:after="0" w:line="240" w:lineRule="auto"/>
        <w:jc w:val="both"/>
      </w:pPr>
      <w:r>
        <w:t xml:space="preserve">Affinché una misura nazionale possa essere considerata una misura di trasposizione esentata dall'obbligo di notifica, occorre stabilire un nesso diretto con un atto comunitario vincolante. </w:t>
      </w:r>
    </w:p>
    <w:p w14:paraId="6B49E9E7" w14:textId="77777777">
      <w:pPr>
        <w:widowControl w:val="0"/>
        <w:tabs>
          <w:tab w:val="left" w:pos="393"/>
          <w:tab w:val="left" w:pos="396"/>
        </w:tabs>
        <w:autoSpaceDE w:val="0"/>
        <w:autoSpaceDN w:val="0"/>
        <w:spacing w:after="0" w:line="240" w:lineRule="auto"/>
        <w:jc w:val="both"/>
        <w:rPr>
          <w:rFonts w:ascii="Times New Roman" w:hAnsi="Times New Roman" w:cs="Times New Roman" w:eastAsia="Times New Roman"/>
          <w:i/>
          <w:iCs/>
          <w:sz w:val="20"/>
          <w:szCs w:val="16"/>
        </w:rPr>
      </w:pPr>
    </w:p>
    <w:p w14:paraId="433CF3E1" w14:textId="20EF3A37">
      <w:pPr>
        <w:pStyle w:val="P68B1DB1-Normal15"/>
        <w:widowControl w:val="0"/>
        <w:tabs>
          <w:tab w:val="left" w:pos="393"/>
          <w:tab w:val="left" w:pos="396"/>
        </w:tabs>
        <w:autoSpaceDE w:val="0"/>
        <w:autoSpaceDN w:val="0"/>
        <w:spacing w:after="0" w:line="240" w:lineRule="auto"/>
        <w:ind w:left="567"/>
        <w:jc w:val="both"/>
      </w:pPr>
      <w:r>
        <w:t xml:space="preserve">"43. La direttiva 91/492, dal canto suo, contiene disposizioni molto più ampie sulla commercializzazione non solo dei molluschi bivalvi, ma anche dei gasteropodi marini, dei tunicati e degli echinodermi. Essa, infatti, prescrive nuovi requisiti per tutte le fasi della raccolta, della manipolazione, del magazzinaggio, del trasporto e della distribuzione dei molluschi. Istituisce altresì un sistema di registrazione e di marchiatura che consente di identificare a fini sanitari l'origine di ciascuna partita. </w:t>
      </w:r>
    </w:p>
    <w:p w14:paraId="7B3D1E4A" w14:textId="77777777">
      <w:pPr>
        <w:pStyle w:val="P68B1DB1-Normal15"/>
        <w:widowControl w:val="0"/>
        <w:tabs>
          <w:tab w:val="left" w:pos="393"/>
          <w:tab w:val="left" w:pos="396"/>
        </w:tabs>
        <w:autoSpaceDE w:val="0"/>
        <w:autoSpaceDN w:val="0"/>
        <w:spacing w:after="0" w:line="240" w:lineRule="auto"/>
        <w:ind w:left="567"/>
        <w:jc w:val="both"/>
      </w:pPr>
    </w:p>
    <w:p w14:paraId="48887BBE" w14:textId="149910F2">
      <w:pPr>
        <w:pStyle w:val="P68B1DB1-Normal15"/>
        <w:widowControl w:val="0"/>
        <w:tabs>
          <w:tab w:val="left" w:pos="393"/>
          <w:tab w:val="left" w:pos="396"/>
        </w:tabs>
        <w:autoSpaceDE w:val="0"/>
        <w:autoSpaceDN w:val="0"/>
        <w:spacing w:after="0" w:line="240" w:lineRule="auto"/>
        <w:ind w:left="567"/>
        <w:jc w:val="both"/>
      </w:pPr>
      <w:r>
        <w:t xml:space="preserve">44. Inoltre, la mancanza di un nesso diretto tra la direttiva 91/492 e i due decreti considerati è corroborata dall'affermazione del governo italiano secondo cui la detta direttiva è stata trasposta nel diritto italiano a mezzo del citato decreto legge 30 dicembre 1992, n. 530. Tale decreto, che secondo le affermazioni dello stesso governo italiano costituisce il testo unico di attuazione della direttiva 91/492, è stato censurato dalla Commissione nel parere circostanziato trasmesso in data 27 gennaio 1993 in quanto si applicava a una terza tossina, la NSP, non contemplata dalla direttiva 91/492. </w:t>
      </w:r>
    </w:p>
    <w:p w14:paraId="19342BDA" w14:textId="77777777">
      <w:pPr>
        <w:pStyle w:val="P68B1DB1-Normal15"/>
        <w:widowControl w:val="0"/>
        <w:tabs>
          <w:tab w:val="left" w:pos="393"/>
          <w:tab w:val="left" w:pos="396"/>
        </w:tabs>
        <w:autoSpaceDE w:val="0"/>
        <w:autoSpaceDN w:val="0"/>
        <w:spacing w:after="0" w:line="240" w:lineRule="auto"/>
        <w:ind w:left="567"/>
        <w:jc w:val="both"/>
      </w:pPr>
    </w:p>
    <w:p w14:paraId="1A450F93" w14:textId="4F2BD9E6">
      <w:pPr>
        <w:pStyle w:val="P68B1DB1-Normal15"/>
        <w:widowControl w:val="0"/>
        <w:tabs>
          <w:tab w:val="left" w:pos="393"/>
          <w:tab w:val="left" w:pos="396"/>
        </w:tabs>
        <w:autoSpaceDE w:val="0"/>
        <w:autoSpaceDN w:val="0"/>
        <w:spacing w:after="0" w:line="240" w:lineRule="auto"/>
        <w:ind w:left="567"/>
        <w:jc w:val="both"/>
      </w:pPr>
      <w:r>
        <w:t xml:space="preserve">45. Poiché non costituiscono misure di recepimento della direttiva 91/492 tali da giustificare l'applicazione dell'articolo 10 della direttiva 83/189, il decreto n. 257 del 1º agosto 1990 e il decreto del 1º settembre 1990 dovevano essere notificati alla Commissione ai sensi dell'articolo 8 di quest'ultima direttiva."</w:t>
      </w:r>
    </w:p>
    <w:p w14:paraId="0EB5A280" w14:textId="77777777">
      <w:pPr>
        <w:pStyle w:val="P68B1DB1-Normal15"/>
        <w:widowControl w:val="0"/>
        <w:tabs>
          <w:tab w:val="left" w:pos="393"/>
          <w:tab w:val="left" w:pos="396"/>
        </w:tabs>
        <w:autoSpaceDE w:val="0"/>
        <w:autoSpaceDN w:val="0"/>
        <w:spacing w:after="0" w:line="240" w:lineRule="auto"/>
        <w:ind w:left="567"/>
        <w:jc w:val="both"/>
        <w:rPr>
          <w:iCs/>
        </w:rPr>
      </w:pPr>
    </w:p>
    <w:p w14:paraId="667344E1" w14:textId="52345967">
      <w:pPr>
        <w:pStyle w:val="P68B1DB1-Normal13"/>
        <w:widowControl w:val="0"/>
        <w:autoSpaceDE w:val="0"/>
        <w:autoSpaceDN w:val="0"/>
        <w:spacing w:after="0" w:line="240" w:lineRule="auto"/>
        <w:jc w:val="both"/>
        <w:outlineLvl w:val="1"/>
      </w:pPr>
      <w:hyperlink r:id="rId88" w:history="1">
        <w:r>
          <w:rPr>
            <w:color w:val="0000FF"/>
            <w:u w:val="single"/>
          </w:rPr>
          <w:t xml:space="preserve">Sentenza della Corte di giustizia del 26 settembre 2000</w:t>
        </w:r>
      </w:hyperlink>
      <w:r>
        <w:t xml:space="preserve">, Unilever, C-443/98, punti 28 e 29.</w:t>
      </w:r>
      <w:bookmarkEnd w:id="155"/>
    </w:p>
    <w:p w14:paraId="6F265AB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D72ABF8" w14:textId="6CA475E3">
      <w:pPr>
        <w:pStyle w:val="P68B1DB1-Normal14"/>
        <w:widowControl w:val="0"/>
        <w:autoSpaceDE w:val="0"/>
        <w:autoSpaceDN w:val="0"/>
        <w:spacing w:after="0" w:line="240" w:lineRule="auto"/>
        <w:jc w:val="both"/>
      </w:pPr>
      <w:r>
        <w:t xml:space="preserve">Qualora gli Stati membri dispongano di un ampio margine di discrezionalità nella trasposizione di una direttiva dell'Unione, le misure nazionali adottate in tal senso non possono essere considerate disposizioni nazionali "conformi ad un atto comunitario vincolante".</w:t>
      </w:r>
    </w:p>
    <w:p w14:paraId="233C173F" w14:textId="77777777">
      <w:pPr>
        <w:widowControl w:val="0"/>
        <w:autoSpaceDE w:val="0"/>
        <w:autoSpaceDN w:val="0"/>
        <w:spacing w:after="0" w:line="240" w:lineRule="auto"/>
        <w:jc w:val="both"/>
        <w:rPr>
          <w:rFonts w:ascii="Times New Roman" w:hAnsi="Times New Roman" w:cs="Times New Roman" w:eastAsia="Times New Roman"/>
          <w:szCs w:val="20"/>
        </w:rPr>
      </w:pPr>
    </w:p>
    <w:p w14:paraId="4D09BAA2" w14:textId="2C7E5999">
      <w:pPr>
        <w:pStyle w:val="P68B1DB1-Normal15"/>
        <w:widowControl w:val="0"/>
        <w:autoSpaceDE w:val="0"/>
        <w:autoSpaceDN w:val="0"/>
        <w:spacing w:after="0" w:line="240" w:lineRule="auto"/>
        <w:ind w:left="567"/>
        <w:jc w:val="both"/>
      </w:pPr>
      <w:r>
        <w:t xml:space="preserve">"28. In secondo luogo, il governo italiano sostiene che la legge impugnata è stata esentata dall'obbligo di notifica ai sensi dell'articolo 10 della direttiva 83/189, in quanto è stata adottata conformemente alla direttiva 79/112/CEE del Consiglio, del 18 dicembre 1978, relativa al ravvicinamento delle legislazioni degli Stati membri concernenti l'etichettatura e la presentazione dei prodotti alimentari destinati al consumatore finale, nonché la relativa pubblicità (GU 1979, L 33, pag. 1). L'articolo 3, paragrafo 1, punto (7), di tale direttiva esige che il luogo d'origine o di provenienza del prodotto sia indicato sull'etichetta nei casi in cui l'omissione di tale indicazione possa indurre in errore il consumatore quanto all'origine o alla provenienza effettiva del prodotto alimentare.</w:t>
      </w:r>
    </w:p>
    <w:p w14:paraId="0949ABBA" w14:textId="77777777">
      <w:pPr>
        <w:pStyle w:val="P68B1DB1-Normal15"/>
        <w:widowControl w:val="0"/>
        <w:autoSpaceDE w:val="0"/>
        <w:autoSpaceDN w:val="0"/>
        <w:spacing w:after="0" w:line="240" w:lineRule="auto"/>
        <w:ind w:left="567"/>
        <w:jc w:val="both"/>
      </w:pPr>
    </w:p>
    <w:p w14:paraId="7E20C2A2" w14:textId="32F76FBD">
      <w:pPr>
        <w:pStyle w:val="P68B1DB1-Normal15"/>
        <w:widowControl w:val="0"/>
        <w:autoSpaceDE w:val="0"/>
        <w:autoSpaceDN w:val="0"/>
        <w:spacing w:after="0" w:line="240" w:lineRule="auto"/>
        <w:ind w:left="567"/>
        <w:jc w:val="both"/>
      </w:pPr>
      <w:r>
        <w:t xml:space="preserve">29. Detta tesi non può essere accolta. Come sottolineato dalla Commissione, tale disposizione della direttiva 79/112, redatta in termini generali, lascia agli Stati membri un margine di manovra sufficiente per concludere che una normativa nazionale in materia di etichettatura relativa all'origine, come quella adottata nella legge impugnata, non può essere considerata una disposizione nazionale conforme ad un atto comunitario vincolante ai sensi dell'articolo 10, paragrafo 1, primo trattino, della direttiva 83/189".</w:t>
      </w:r>
    </w:p>
    <w:p w14:paraId="49D7BF41"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74D10AEF" w14:textId="6F48CDC6">
      <w:pPr>
        <w:pStyle w:val="P68B1DB1-Normal13"/>
        <w:widowControl w:val="0"/>
        <w:autoSpaceDE w:val="0"/>
        <w:autoSpaceDN w:val="0"/>
        <w:spacing w:after="0" w:line="240" w:lineRule="auto"/>
        <w:jc w:val="both"/>
        <w:outlineLvl w:val="1"/>
      </w:pPr>
      <w:hyperlink r:id="rId89" w:history="1">
        <w:r>
          <w:rPr>
            <w:color w:val="0000FF"/>
            <w:u w:val="single"/>
          </w:rPr>
          <w:t xml:space="preserve">Sentenza della Corte di giustizia del 22 gennaio 2000</w:t>
        </w:r>
      </w:hyperlink>
      <w:r>
        <w:t xml:space="preserve">, Canal Satélite Digital, C-390/99, punto 48.</w:t>
      </w:r>
      <w:bookmarkEnd w:id="156"/>
    </w:p>
    <w:p w14:paraId="129D695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BDFD60C" w14:textId="77777777">
      <w:pPr>
        <w:pStyle w:val="P68B1DB1-Normal14"/>
        <w:widowControl w:val="0"/>
        <w:tabs>
          <w:tab w:val="left" w:pos="396"/>
          <w:tab w:val="left" w:pos="405"/>
        </w:tabs>
        <w:autoSpaceDE w:val="0"/>
        <w:autoSpaceDN w:val="0"/>
        <w:spacing w:after="0" w:line="240" w:lineRule="auto"/>
        <w:jc w:val="both"/>
      </w:pPr>
      <w:r>
        <w:t xml:space="preserve">Le disposizioni nazionali che recepiscono misure comunitarie vincolanti contenenti "specifiche tecniche" non sono soggette all'obbligo di notifica, purché siano strettamente limitate a tale recepimento.</w:t>
      </w:r>
    </w:p>
    <w:p w14:paraId="15236C38" w14:textId="77777777">
      <w:pPr>
        <w:pStyle w:val="P68B1DB1-Normal15"/>
        <w:widowControl w:val="0"/>
        <w:tabs>
          <w:tab w:val="left" w:pos="396"/>
          <w:tab w:val="left" w:pos="405"/>
        </w:tabs>
        <w:autoSpaceDE w:val="0"/>
        <w:autoSpaceDN w:val="0"/>
        <w:spacing w:after="0" w:line="240" w:lineRule="auto"/>
        <w:ind w:left="567" w:hanging="142"/>
        <w:jc w:val="both"/>
        <w:rPr>
          <w:iCs/>
        </w:rPr>
      </w:pPr>
      <w:r>
        <w:t xml:space="preserve">    </w:t>
      </w:r>
    </w:p>
    <w:p w14:paraId="6015C260" w14:textId="48904931">
      <w:pPr>
        <w:pStyle w:val="P68B1DB1-Normal15"/>
        <w:widowControl w:val="0"/>
        <w:tabs>
          <w:tab w:val="left" w:pos="396"/>
          <w:tab w:val="left" w:pos="405"/>
        </w:tabs>
        <w:autoSpaceDE w:val="0"/>
        <w:autoSpaceDN w:val="0"/>
        <w:spacing w:after="0" w:line="240" w:lineRule="auto"/>
        <w:ind w:left="567"/>
        <w:jc w:val="both"/>
      </w:pPr>
      <w:r>
        <w:t xml:space="preserve">"48. Per quanto riguarda la seconda parte della terza questione, relativa all'obbligo di comunicazione alla Commissione di qualsiasi progetto di regola tecnica ai sensi dell'articolo 8 della direttiva 83/189, risulta dall'articolo 10 di tale direttiva che gli articoli 8 e 9 non si applicano alle disposizioni legislative, regolamentari o amministrative degli Stati membri, né agli accordi volontari da essi conclusi, in forza dei quali gli Stati membri si conformano a misure comunitarie vincolanti che comportano l'adozione di specificazioni tecniche. Pertanto, nella misura in cui la normativa nazionale di cui trattasi nel procedimento principale recepisce la direttiva 95/47, e solo in tale misura, non vi sarà alcun obbligo di notifica ai sensi della direttiva 83/189".</w:t>
      </w:r>
    </w:p>
    <w:p w14:paraId="0E6C95FC"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i/>
          <w:iCs/>
          <w:sz w:val="20"/>
          <w:szCs w:val="16"/>
        </w:rPr>
      </w:pPr>
    </w:p>
    <w:p w14:paraId="6306D56B" w14:textId="28E735BF">
      <w:pPr>
        <w:pStyle w:val="P68B1DB1-Normal13"/>
        <w:widowControl w:val="0"/>
        <w:autoSpaceDE w:val="0"/>
        <w:autoSpaceDN w:val="0"/>
        <w:spacing w:after="0" w:line="240" w:lineRule="auto"/>
        <w:jc w:val="both"/>
        <w:outlineLvl w:val="1"/>
      </w:pPr>
      <w:hyperlink r:id="rId90" w:history="1">
        <w:r>
          <w:rPr>
            <w:color w:val="0000FF"/>
            <w:u w:val="single"/>
          </w:rPr>
          <w:t xml:space="preserve">Sentenza della Corte di giustizia dell'8 settembre 2005</w:t>
        </w:r>
      </w:hyperlink>
      <w:r>
        <w:t xml:space="preserve">, Commissione/Portogallo, C-500/03, punti 34 e 35.</w:t>
      </w:r>
      <w:bookmarkEnd w:id="157"/>
    </w:p>
    <w:p w14:paraId="183658EB" w14:textId="77777777">
      <w:pPr>
        <w:widowControl w:val="0"/>
        <w:tabs>
          <w:tab w:val="left" w:pos="467"/>
        </w:tabs>
        <w:autoSpaceDE w:val="0"/>
        <w:autoSpaceDN w:val="0"/>
        <w:spacing w:after="0" w:line="240" w:lineRule="auto"/>
        <w:jc w:val="both"/>
        <w:rPr>
          <w:rFonts w:ascii="Times New Roman" w:hAnsi="Times New Roman" w:cs="Times New Roman" w:eastAsia="Times New Roman"/>
          <w:b/>
          <w:i/>
          <w:szCs w:val="20"/>
        </w:rPr>
      </w:pPr>
    </w:p>
    <w:p w14:paraId="630E23D4" w14:textId="570B0609">
      <w:pPr>
        <w:widowControl w:val="0"/>
        <w:tabs>
          <w:tab w:val="left" w:pos="467"/>
        </w:tabs>
        <w:autoSpaceDE w:val="0"/>
        <w:autoSpaceDN w:val="0"/>
        <w:spacing w:after="0" w:line="240" w:lineRule="auto"/>
        <w:jc w:val="both"/>
        <w:rPr>
          <w:rFonts w:ascii="Times New Roman" w:hAnsi="Times New Roman" w:cs="Times New Roman" w:eastAsia="Times New Roman"/>
          <w:szCs w:val="20"/>
        </w:rPr>
        <w:pStyle w:val="P68B1DB1-Normal14"/>
      </w:pPr>
      <w:r>
        <w:t xml:space="preserve">Le disposizioni nazionali che determinano le caratteristiche delle imbarcazioni da diporto non possono beneficiare dell'esenzione dalla notifica riservata al recepimento, quando la direttiva invocata lascia gli Stati membri liberi di definire le condizioni che ritengono necessarie per proteggere l'ambiente, la configurazione e la sicurezza delle vie navigabili.</w:t>
      </w:r>
    </w:p>
    <w:p w14:paraId="4D369937" w14:textId="77777777">
      <w:pPr>
        <w:widowControl w:val="0"/>
        <w:tabs>
          <w:tab w:val="left" w:pos="467"/>
        </w:tabs>
        <w:autoSpaceDE w:val="0"/>
        <w:autoSpaceDN w:val="0"/>
        <w:spacing w:after="0" w:line="240" w:lineRule="auto"/>
        <w:jc w:val="both"/>
        <w:rPr>
          <w:rFonts w:ascii="Times New Roman" w:hAnsi="Times New Roman" w:cs="Times New Roman" w:eastAsia="Times New Roman"/>
          <w:szCs w:val="20"/>
        </w:rPr>
      </w:pPr>
    </w:p>
    <w:p w14:paraId="0FD9A15E" w14:textId="77777777">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(La sentenza è disponibile esclusivamente in francese e portoghese, il testo seguente è una traduzione).</w:t>
      </w:r>
    </w:p>
    <w:p w14:paraId="6FE719E7" w14:textId="77777777">
      <w:pPr>
        <w:pStyle w:val="P68B1DB1-Normal31"/>
        <w:widowControl w:val="0"/>
        <w:tabs>
          <w:tab w:val="left" w:pos="396"/>
          <w:tab w:val="left" w:pos="405"/>
        </w:tabs>
        <w:autoSpaceDE w:val="0"/>
        <w:autoSpaceDN w:val="0"/>
        <w:spacing w:after="0" w:line="240" w:lineRule="auto"/>
        <w:ind w:left="567"/>
        <w:jc w:val="both"/>
      </w:pPr>
    </w:p>
    <w:p w14:paraId="747BC5AF" w14:textId="6053190E">
      <w:pPr>
        <w:pStyle w:val="P68B1DB1-Normal31"/>
        <w:widowControl w:val="0"/>
        <w:tabs>
          <w:tab w:val="left" w:pos="396"/>
          <w:tab w:val="left" w:pos="405"/>
        </w:tabs>
        <w:autoSpaceDE w:val="0"/>
        <w:autoSpaceDN w:val="0"/>
        <w:spacing w:after="0" w:line="240" w:lineRule="auto"/>
        <w:ind w:left="567"/>
        <w:jc w:val="both"/>
        <w:rPr>
          <w:iCs/>
        </w:rPr>
      </w:pPr>
      <w:r>
        <w:t xml:space="preserve">"34. [...] Gli Stati membri hanno il diritto, previsto all'articolo 2, paragrafo 2, della direttiva 94/25, di definire, a livello nazionale, le condizioni che ritengono necessarie per la navigazione in determinate acque al fine di proteggere l'ambiente e il tessuto delle vie navigabili e di garantire la sicurezza su tali acque. Tuttavia, tali disposizioni della normativa nazionale non possono in alcun caso essere considerate adottate ai fini dell'osservanza di un atto comunitario vincolante.</w:t>
      </w:r>
    </w:p>
    <w:p w14:paraId="4B5BC30F" w14:textId="77777777">
      <w:pPr>
        <w:widowControl w:val="0"/>
        <w:tabs>
          <w:tab w:val="left" w:pos="396"/>
          <w:tab w:val="left" w:pos="405"/>
        </w:tabs>
        <w:autoSpaceDE w:val="0"/>
        <w:autoSpaceDN w:val="0"/>
        <w:spacing w:after="0" w:line="240" w:lineRule="auto"/>
        <w:ind w:left="567"/>
        <w:jc w:val="both"/>
        <w:rPr>
          <w:rFonts w:ascii="Times New Roman" w:hAnsi="Times New Roman" w:cs="Times New Roman"/>
          <w:i/>
          <w:iCs/>
          <w:sz w:val="20"/>
          <w:szCs w:val="16"/>
        </w:rPr>
      </w:pPr>
    </w:p>
    <w:p w14:paraId="21B97694" w14:textId="6F5A910D">
      <w:pPr>
        <w:pStyle w:val="P68B1DB1-Normal31"/>
        <w:widowControl w:val="0"/>
        <w:tabs>
          <w:tab w:val="left" w:pos="396"/>
          <w:tab w:val="left" w:pos="405"/>
        </w:tabs>
        <w:autoSpaceDE w:val="0"/>
        <w:autoSpaceDN w:val="0"/>
        <w:spacing w:after="0" w:line="240" w:lineRule="auto"/>
        <w:ind w:left="567"/>
        <w:jc w:val="both"/>
      </w:pPr>
      <w:r>
        <w:t xml:space="preserve">35. Ne consegue che il regolamento sulla navigazione nelle lagune, che introduce limiti tecnici per le imbarcazioni da diporto ai sensi dell'articolo 2, paragrafo 2, della direttiva 94/25, non rientra nell'ambito di applicazione dell'articolo 10, paragrafo 1, primo trattino, della direttiva 98/34."</w:t>
      </w:r>
    </w:p>
    <w:p w14:paraId="7D5DF054" w14:textId="4AE1CCCE">
      <w:pPr>
        <w:spacing w:after="0" w:line="278" w:lineRule="auto"/>
        <w:rPr>
          <w:rFonts w:ascii="Times New Roman" w:hAnsi="Times New Roman" w:cs="Times New Roman" w:eastAsia="Times New Roman"/>
          <w:i/>
          <w:iCs/>
          <w:sz w:val="20"/>
          <w:szCs w:val="16"/>
        </w:rPr>
      </w:pPr>
      <w:r>
        <w:br w:type="page"/>
      </w:r>
    </w:p>
    <w:p w14:paraId="17D9CF1D" w14:textId="0805DD41">
      <w:pPr>
        <w:pStyle w:val="P68B1DB1-Heading24"/>
        <w:numPr>
          <w:ilvl w:val="0"/>
          <w:numId w:val="37"/>
        </w:numPr>
        <w:spacing w:before="0" w:after="0"/>
        <w:jc w:val="center"/>
        <w:rPr>
          <w:bCs/>
          <w:color w:val="auto"/>
        </w:rPr>
      </w:pPr>
      <w:bookmarkStart w:id="158" w:name="_Ref195517548"/>
      <w:bookmarkStart w:id="159" w:name="_Toc203035681"/>
      <w:r>
        <w:t xml:space="preserve">Ricorso a una clausola di salvaguardia</w:t>
      </w:r>
      <w:bookmarkEnd w:id="158"/>
      <w:bookmarkEnd w:id="159"/>
    </w:p>
    <w:p w14:paraId="19EB441C" w14:textId="77777777">
      <w:pPr>
        <w:pStyle w:val="BodyText"/>
        <w:ind w:left="567"/>
      </w:pPr>
    </w:p>
    <w:p w14:paraId="3421D751" w14:textId="45643AD7">
      <w:pPr>
        <w:pStyle w:val="P68B1DB1-BodyText11"/>
        <w:ind w:left="567"/>
        <w:rPr>
          <w:iCs/>
        </w:rPr>
      </w:pPr>
      <w:r>
        <w:t xml:space="preserve">"Gli articoli 5 e 6 </w:t>
      </w:r>
      <w:r>
        <w:rPr>
          <w:i w:val="0"/>
        </w:rPr>
        <w:t xml:space="preserve">[relativi all'obbligo di notifica e al termine sospensivo] </w:t>
      </w:r>
      <w:r>
        <w:t xml:space="preserve">non si applicano alle disposizioni legislative, regolamentari e amministrative degli Stati membri o agli accordi volontari mediante i quali gli Stati membri: </w:t>
      </w:r>
    </w:p>
    <w:p w14:paraId="034842B2" w14:textId="40165944">
      <w:pPr>
        <w:pStyle w:val="P68B1DB1-BodyText11"/>
        <w:ind w:left="1134" w:firstLine="306"/>
        <w:rPr>
          <w:iCs/>
        </w:rPr>
      </w:pPr>
      <w:r>
        <w:t>[...]</w:t>
      </w:r>
    </w:p>
    <w:p w14:paraId="412F859B" w14:textId="2872F60B">
      <w:pPr>
        <w:pStyle w:val="P68B1DB1-BodyText11"/>
        <w:ind w:left="1287" w:firstLine="153"/>
        <w:rPr>
          <w:iCs/>
        </w:rPr>
      </w:pPr>
      <w:r>
        <w:t xml:space="preserve">c) si avvalgono delle clausole di salvaguardia previste in atti vincolanti dell'Unione;"</w:t>
      </w:r>
    </w:p>
    <w:p w14:paraId="3AF0BFA4" w14:textId="77777777">
      <w:pPr>
        <w:pStyle w:val="P68B1DB1-BodyText11"/>
        <w:ind w:left="567"/>
        <w:rPr>
          <w:iCs/>
        </w:rPr>
      </w:pPr>
    </w:p>
    <w:p w14:paraId="6099E717" w14:textId="6C5840E7">
      <w:pPr>
        <w:pStyle w:val="BodyText"/>
        <w:jc w:val="right"/>
      </w:pPr>
      <w:r>
        <w:t xml:space="preserve">(Articolo 7, paragrafo 1, lettera c), della direttiva (UE) 2015/1535)</w:t>
      </w:r>
    </w:p>
    <w:p w14:paraId="0B43480F" w14:textId="77777777">
      <w:pPr>
        <w:pStyle w:val="BodyText"/>
        <w:jc w:val="right"/>
      </w:pPr>
    </w:p>
    <w:p w14:paraId="2F300DBD" w14:textId="39C2EC6A">
      <w:pPr>
        <w:pStyle w:val="P68B1DB1-BodyText11"/>
        <w:ind w:left="567"/>
        <w:rPr>
          <w:iCs/>
        </w:rPr>
      </w:pPr>
      <w:r>
        <w:t xml:space="preserve">"Le misure di armonizzazione di cui sopra comportano, nei casi opportuni, una clausola di salvaguardia che autorizza gli Stati membri ad adottare, per uno o più dei motivi di carattere non economico di cui all'articolo 36, misure provvisorie soggette ad una procedura di controllo dell'Unione."</w:t>
      </w:r>
    </w:p>
    <w:p w14:paraId="618BDE87" w14:textId="77777777">
      <w:pPr>
        <w:pStyle w:val="BodyText"/>
        <w:jc w:val="right"/>
      </w:pPr>
    </w:p>
    <w:p w14:paraId="4DE4DD33" w14:textId="77777777">
      <w:pPr>
        <w:pStyle w:val="BodyText"/>
        <w:jc w:val="right"/>
      </w:pPr>
      <w:r>
        <w:t xml:space="preserve">(Articolo 114, paragrafo 10, del trattato sul funzionamento dell'Unione europea)</w:t>
      </w:r>
    </w:p>
    <w:p w14:paraId="1738F0ED" w14:textId="77777777">
      <w:pPr>
        <w:widowControl w:val="0"/>
        <w:autoSpaceDE w:val="0"/>
        <w:autoSpaceDN w:val="0"/>
        <w:spacing w:after="0" w:line="240" w:lineRule="auto"/>
        <w:jc w:val="both"/>
        <w:outlineLvl w:val="1"/>
      </w:pPr>
    </w:p>
    <w:p w14:paraId="1204158B" w14:textId="77777777">
      <w:pPr>
        <w:pStyle w:val="P68B1DB1-Normal13"/>
        <w:widowControl w:val="0"/>
        <w:autoSpaceDE w:val="0"/>
        <w:autoSpaceDN w:val="0"/>
        <w:spacing w:after="0" w:line="240" w:lineRule="auto"/>
        <w:jc w:val="both"/>
        <w:outlineLvl w:val="1"/>
      </w:pPr>
      <w:hyperlink r:id="rId91" w:history="1">
        <w:r>
          <w:rPr>
            <w:color w:val="0000FF"/>
            <w:u w:val="single"/>
          </w:rPr>
          <w:t xml:space="preserve">Sentenza della Corte di giustizia dell'8 settembre 2005</w:t>
        </w:r>
      </w:hyperlink>
      <w:r>
        <w:t xml:space="preserve">, Commissione/Portogallo, C-500/03, punti 34 e 35.</w:t>
      </w:r>
      <w:bookmarkEnd w:id="160"/>
    </w:p>
    <w:p w14:paraId="41BB4299" w14:textId="77777777">
      <w:pPr>
        <w:widowControl w:val="0"/>
        <w:tabs>
          <w:tab w:val="left" w:pos="467"/>
        </w:tabs>
        <w:autoSpaceDE w:val="0"/>
        <w:autoSpaceDN w:val="0"/>
        <w:spacing w:after="0" w:line="240" w:lineRule="auto"/>
        <w:jc w:val="both"/>
        <w:rPr>
          <w:rFonts w:ascii="Times New Roman" w:hAnsi="Times New Roman" w:cs="Times New Roman" w:eastAsia="Times New Roman"/>
          <w:b/>
          <w:i/>
          <w:szCs w:val="20"/>
        </w:rPr>
      </w:pPr>
    </w:p>
    <w:p w14:paraId="35A522BC" w14:textId="2746C9C6">
      <w:pPr>
        <w:pStyle w:val="P68B1DB1-Normal14"/>
        <w:widowControl w:val="0"/>
        <w:tabs>
          <w:tab w:val="left" w:pos="467"/>
        </w:tabs>
        <w:autoSpaceDE w:val="0"/>
        <w:autoSpaceDN w:val="0"/>
        <w:spacing w:after="0" w:line="240" w:lineRule="auto"/>
        <w:jc w:val="both"/>
      </w:pPr>
      <w:r>
        <w:t xml:space="preserve">Le disposizioni nazionali che istituiscono misure permanenti non possono beneficiare dell'esenzione dall'obbligo di notifica riservata alle clausole di salvaguardia poiché, per definizione, queste ultime comprendono solo misure provvisorie.</w:t>
      </w:r>
    </w:p>
    <w:p w14:paraId="5FE003FC" w14:textId="77777777">
      <w:pPr>
        <w:widowControl w:val="0"/>
        <w:tabs>
          <w:tab w:val="left" w:pos="467"/>
        </w:tabs>
        <w:autoSpaceDE w:val="0"/>
        <w:autoSpaceDN w:val="0"/>
        <w:spacing w:after="0" w:line="240" w:lineRule="auto"/>
        <w:jc w:val="both"/>
        <w:rPr>
          <w:rFonts w:ascii="Times New Roman" w:hAnsi="Times New Roman" w:cs="Times New Roman" w:eastAsia="Times New Roman"/>
          <w:szCs w:val="20"/>
        </w:rPr>
      </w:pPr>
    </w:p>
    <w:p w14:paraId="3005B5D0" w14:textId="1B50DC69">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(Poiché la sentenza è disponibile esclusivamente in francese e portoghese, il testo seguente è una traduzione).</w:t>
      </w:r>
    </w:p>
    <w:p w14:paraId="3BBB6CDB" w14:textId="77777777">
      <w:pPr>
        <w:widowControl w:val="0"/>
        <w:tabs>
          <w:tab w:val="left" w:pos="467"/>
        </w:tabs>
        <w:autoSpaceDE w:val="0"/>
        <w:autoSpaceDN w:val="0"/>
        <w:spacing w:after="0" w:line="240" w:lineRule="auto"/>
        <w:jc w:val="both"/>
        <w:rPr>
          <w:rFonts w:ascii="Times New Roman" w:hAnsi="Times New Roman" w:cs="Times New Roman" w:eastAsia="Times New Roman"/>
          <w:szCs w:val="20"/>
        </w:rPr>
      </w:pPr>
    </w:p>
    <w:p w14:paraId="5FBF5694" w14:textId="0105632E">
      <w:pPr>
        <w:pStyle w:val="P68B1DB1-BodyText25"/>
        <w:ind w:left="567"/>
        <w:rPr>
          <w:iCs/>
        </w:rPr>
      </w:pPr>
      <w:r>
        <w:t xml:space="preserve">"39. Poiché il presente ricorso per inadempimento è limitato ad una domanda di accertamento dell'inadempimento del procedimento formale di notifica preventiva, è sufficiente rilevare, senza che sia necessario rispondere agli altri argomenti delle parti, che la Corte ha già dichiarato che l'articolo 8, paragrafo 1, della direttiva 98/34 impone agli Stati membri di comunicare immediatamente alla Commissione qualsiasi progetto di regola tecnica (v., in particolare, in tal senso, per quanto riguarda disposizioni analoghe a quelle di tale direttiva, sentenze del 2 agosto 1993, Commissione/Italia, C-139/92, Racc. pag. I-4707, punto 3, e dell'11 gennaio 1996, Commissione/Paesi Bassi, C-273/94, Racc. pag. I-31, punto 15).</w:t>
      </w:r>
    </w:p>
    <w:p w14:paraId="4A696586" w14:textId="77777777">
      <w:pPr>
        <w:pStyle w:val="BodyText"/>
        <w:ind w:left="567"/>
        <w:rPr>
          <w:i/>
          <w:iCs/>
          <w:sz w:val="20"/>
          <w:szCs w:val="16"/>
        </w:rPr>
      </w:pPr>
    </w:p>
    <w:p w14:paraId="7FC8797C" w14:textId="46BA7B1B">
      <w:pPr>
        <w:pStyle w:val="P68B1DB1-BodyText25"/>
        <w:ind w:left="567"/>
        <w:jc w:val="left"/>
      </w:pPr>
      <w:r>
        <w:t xml:space="preserve">40. Poiché le disposizioni pertinenti del decreto n. 783/98 costituiscono regole tecniche ai sensi della direttiva 98/34, come ricordato al punto 31 della presente sentenza, la Repubblica portoghese era tenuta a notificarle sotto forma di progetto ai sensi dell'articolo 8, paragrafo 1, della direttiva 98/34 (v., in particolare, in tal senso, per quanto riguarda le disposizioni analoghe a quelle della direttiva 98/34, sentenze del 7 maggio 1998, Commissione/Belgio, C-145/97, Racc. pag. I-2643, punto 13, e del 21 aprile 2005, Lindberg, C-267/03, Racc. pag. I-43, punto)".</w:t>
      </w:r>
    </w:p>
    <w:p w14:paraId="4127997B" w14:textId="77777777">
      <w:pPr>
        <w:pStyle w:val="BodyText"/>
        <w:jc w:val="left"/>
      </w:pPr>
    </w:p>
    <w:p w14:paraId="74FE5E6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92" w:history="1">
        <w:r>
          <w:rPr>
            <w:color w:val="0000FF"/>
            <w:u w:val="single"/>
          </w:rPr>
          <w:t xml:space="preserve">Sentenza della Corte di giustizia dell'8 ottobre 2020</w:t>
        </w:r>
      </w:hyperlink>
      <w:r>
        <w:t xml:space="preserve">, Union des industries de la protection des plantes, C-514/19, punti 46 e 47.</w:t>
      </w:r>
      <w:bookmarkEnd w:id="161"/>
      <w:r>
        <w:t xml:space="preserve"> </w:t>
      </w:r>
    </w:p>
    <w:p w14:paraId="4EFFE1E6" w14:textId="09D2A0BD">
      <w:pPr>
        <w:widowControl w:val="0"/>
        <w:autoSpaceDE w:val="0"/>
        <w:autoSpaceDN w:val="0"/>
        <w:spacing w:after="0" w:line="240" w:lineRule="auto"/>
        <w:jc w:val="both"/>
        <w:outlineLvl w:val="1"/>
        <w:rPr>
          <w:rFonts w:ascii="Times New Roman" w:hAnsi="Times New Roman" w:cs="Times New Roman" w:eastAsia="Times New Roman"/>
          <w:b/>
          <w:i/>
          <w:szCs w:val="20"/>
        </w:rPr>
      </w:pPr>
      <w:bookmarkStart w:id="162" w:name="_Toc198043891"/>
      <w:r>
        <w:rPr>
          <w:rFonts w:ascii="Times New Roman" w:hAnsi="Times New Roman" w:cs="Times New Roman" w:eastAsia="Times New Roman"/>
          <w:b/>
          <w:i/>
          <w:szCs w:val="20"/>
        </w:rPr>
        <w:t xml:space="preserve">(con rinvio alle </w:t>
      </w:r>
      <w:hyperlink r:id="rId93" w:history="1">
        <w:r>
          <w:rPr>
            <w:rStyle w:val="Hyperlink"/>
            <w:rFonts w:ascii="Times New Roman" w:hAnsi="Times New Roman" w:cs="Times New Roman" w:eastAsia="Times New Roman"/>
            <w:b/>
            <w:i/>
            <w:color w:val="0000FF"/>
            <w:szCs w:val="20"/>
          </w:rPr>
          <w:t xml:space="preserve">conclusioni dell'avvocato generale Kokott</w:t>
        </w:r>
      </w:hyperlink>
      <w:r>
        <w:rPr>
          <w:rFonts w:ascii="Times New Roman" w:hAnsi="Times New Roman" w:cs="Times New Roman" w:eastAsia="Times New Roman"/>
          <w:b/>
          <w:i/>
          <w:szCs w:val="20"/>
        </w:rPr>
        <w:t xml:space="preserve">, paragrafo 58)</w:t>
      </w:r>
      <w:bookmarkEnd w:id="162"/>
    </w:p>
    <w:p w14:paraId="498A15D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B705E59" w14:textId="4AA22297">
      <w:pPr>
        <w:pStyle w:val="P68B1DB1-Normal14"/>
        <w:widowControl w:val="0"/>
        <w:autoSpaceDE w:val="0"/>
        <w:autoSpaceDN w:val="0"/>
        <w:spacing w:after="0" w:line="240" w:lineRule="auto"/>
        <w:jc w:val="both"/>
      </w:pPr>
      <w:r>
        <w:t xml:space="preserve">Una clausola corrispondente alla definizione di cui all'articolo 114 del trattato sul funzionamento dell'Unione europea è una clausola di salvaguardia, anche se non è così indicata dall'atto che la prevede. Essa beneficia pertanto di un'esenzione dall'obbligo di notifica.</w:t>
      </w:r>
    </w:p>
    <w:p w14:paraId="1CAE009C" w14:textId="77777777">
      <w:pPr>
        <w:widowControl w:val="0"/>
        <w:autoSpaceDE w:val="0"/>
        <w:autoSpaceDN w:val="0"/>
        <w:spacing w:after="0" w:line="240" w:lineRule="auto"/>
        <w:jc w:val="both"/>
        <w:rPr>
          <w:rFonts w:ascii="Times New Roman" w:hAnsi="Times New Roman" w:cs="Times New Roman" w:eastAsia="Times New Roman"/>
          <w:szCs w:val="20"/>
        </w:rPr>
      </w:pPr>
    </w:p>
    <w:p w14:paraId="659EDCBA" w14:textId="7C97939F">
      <w:pPr>
        <w:widowControl w:val="0"/>
        <w:autoSpaceDE w:val="0"/>
        <w:autoSpaceDN w:val="0"/>
        <w:spacing w:after="0" w:line="240" w:lineRule="auto"/>
        <w:ind w:left="567"/>
        <w:jc w:val="both"/>
        <w:rPr>
          <w:rFonts w:ascii="Times New Roman" w:hAnsi="Times New Roman" w:cs="Times New Roman" w:eastAsia="Times New Roman"/>
          <w:i/>
          <w:sz w:val="20"/>
          <w:szCs w:val="20"/>
        </w:rPr>
        <w:pStyle w:val="P68B1DB1-Normal32"/>
      </w:pPr>
      <w:r>
        <w:t xml:space="preserve">(Sentenza della Corte)</w:t>
      </w:r>
      <w:r>
        <w:rPr>
          <w:i/>
        </w:rPr>
        <w:t xml:space="preserve"> "46 [...] l'articolo 71, paragrafo 1, di tale regolamento deve essere trattato come una clausola di salvaguardia, come rilevato dall'avvocato generale al paragrafo 58 delle sue</w:t>
      </w:r>
      <w:r>
        <w:t xml:space="preserve"> conclusioni.</w:t>
      </w:r>
    </w:p>
    <w:p w14:paraId="1A86B765" w14:textId="77777777">
      <w:pPr>
        <w:widowControl w:val="0"/>
        <w:autoSpaceDE w:val="0"/>
        <w:autoSpaceDN w:val="0"/>
        <w:spacing w:after="0" w:line="240" w:lineRule="auto"/>
        <w:ind w:left="567"/>
        <w:jc w:val="both"/>
        <w:rPr>
          <w:rFonts w:ascii="Times New Roman" w:hAnsi="Times New Roman" w:cs="Times New Roman" w:eastAsia="Times New Roman"/>
          <w:i/>
          <w:sz w:val="20"/>
          <w:szCs w:val="20"/>
        </w:rPr>
      </w:pPr>
    </w:p>
    <w:p w14:paraId="42FB846B" w14:textId="4A135D8F">
      <w:pPr>
        <w:widowControl w:val="0"/>
        <w:autoSpaceDE w:val="0"/>
        <w:autoSpaceDN w:val="0"/>
        <w:spacing w:after="0" w:line="240" w:lineRule="auto"/>
        <w:ind w:left="567"/>
        <w:jc w:val="both"/>
        <w:rPr>
          <w:rFonts w:ascii="Times New Roman" w:hAnsi="Times New Roman" w:cs="Times New Roman" w:eastAsia="Times New Roman"/>
          <w:i/>
          <w:sz w:val="20"/>
          <w:szCs w:val="20"/>
        </w:rPr>
        <w:pStyle w:val="P68B1DB1-Normal18"/>
      </w:pPr>
      <w:r>
        <w:t xml:space="preserve">47. La differenza tra le procedure previste rispettivamente all'articolo 5 di tale direttiva e all'articolo 71 di tale regolamento è quindi confermata dall'articolo 7, paragrafo 1, lettera c), di tale direttiva, il quale prevede che gli articoli 5 e 6 di tale direttiva non si applicano alle disposizioni degli Stati membri mediante le quali questi ultimi si avvalgono di clausole di salvaguardia previste in atti vincolanti dell'Unione."</w:t>
      </w:r>
    </w:p>
    <w:p w14:paraId="285FA492" w14:textId="77777777">
      <w:pPr>
        <w:widowControl w:val="0"/>
        <w:autoSpaceDE w:val="0"/>
        <w:autoSpaceDN w:val="0"/>
        <w:spacing w:after="0" w:line="240" w:lineRule="auto"/>
        <w:ind w:left="567"/>
        <w:jc w:val="both"/>
        <w:rPr>
          <w:rFonts w:ascii="Times New Roman" w:hAnsi="Times New Roman" w:cs="Times New Roman" w:eastAsia="Times New Roman"/>
          <w:i/>
          <w:iCs/>
          <w:sz w:val="20"/>
          <w:szCs w:val="20"/>
        </w:rPr>
      </w:pPr>
    </w:p>
    <w:p w14:paraId="7FF60EBF" w14:textId="14EB520E">
      <w:pPr>
        <w:pStyle w:val="P68B1DB1-Normal32"/>
        <w:widowControl w:val="0"/>
        <w:autoSpaceDE w:val="0"/>
        <w:autoSpaceDN w:val="0"/>
        <w:spacing w:after="0" w:line="240" w:lineRule="auto"/>
        <w:ind w:left="567"/>
        <w:jc w:val="both"/>
        <w:rPr>
          <w:i/>
          <w:iCs/>
        </w:rPr>
      </w:pPr>
      <w:r>
        <w:t xml:space="preserve">(conclusioni dell'avvocato generale Kokott)</w:t>
      </w:r>
      <w:r>
        <w:rPr>
          <w:i/>
        </w:rPr>
        <w:t xml:space="preserve"> </w:t>
      </w:r>
      <w:bookmarkStart w:id="163" w:name="point58"/>
      <w:r>
        <w:rPr>
          <w:i/>
        </w:rPr>
        <w:t>"</w:t>
      </w:r>
      <w:bookmarkEnd w:id="163"/>
      <w:r>
        <w:rPr>
          <w:i/>
        </w:rPr>
        <w:t xml:space="preserve">58.      È vero che l'articolo 71 del regolamento sui prodotti fitosanitari, a differenza di alcune norme comparabili, non reca il titolo "clausola di salvaguardia", tuttavia, il contenuto di questa disposizione corrisponde alla definizione di clausola di salvaguardia di cui all'articolo 114, paragrafo 10, TFUE. Può pertanto essere considerata anche una clausola di salvaguardia ai sensi dell'articolo 7, paragrafo 1, lettera c), della direttiva sulle notifiche."</w:t>
      </w:r>
    </w:p>
    <w:p w14:paraId="09CE6B87" w14:textId="77777777">
      <w:pPr>
        <w:pStyle w:val="BodyText"/>
        <w:jc w:val="left"/>
      </w:pPr>
    </w:p>
    <w:p w14:paraId="34956999" w14:textId="0CAA9375">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94" w:history="1">
        <w:r>
          <w:rPr>
            <w:rStyle w:val="Hyperlink"/>
            <w:rFonts w:ascii="Times New Roman" w:hAnsi="Times New Roman" w:cs="Times New Roman" w:eastAsia="Times New Roman"/>
            <w:b/>
            <w:i/>
            <w:color w:val="0000FF"/>
            <w:szCs w:val="20"/>
          </w:rPr>
          <w:t xml:space="preserve">Sentenza del 9 marzo 2023</w:t>
        </w:r>
      </w:hyperlink>
      <w:r>
        <w:rPr>
          <w:rFonts w:ascii="Times New Roman" w:hAnsi="Times New Roman" w:cs="Times New Roman" w:eastAsia="Times New Roman"/>
          <w:b/>
          <w:i/>
          <w:szCs w:val="20"/>
        </w:rPr>
        <w:t xml:space="preserve">, Vapo Atlantic, C 604/21</w:t>
        <w:noBreakHyphen/>
        <w:t xml:space="preserve">, ibidem, punti da 55 a 57.</w:t>
      </w:r>
      <w:bookmarkEnd w:id="164"/>
    </w:p>
    <w:p w14:paraId="6300E3F4" w14:textId="77777777">
      <w:pPr>
        <w:widowControl w:val="0"/>
        <w:autoSpaceDE w:val="0"/>
        <w:autoSpaceDN w:val="0"/>
        <w:spacing w:after="0" w:line="240" w:lineRule="auto"/>
        <w:jc w:val="both"/>
        <w:rPr>
          <w:rFonts w:ascii="Times New Roman" w:hAnsi="Times New Roman" w:cs="Times New Roman" w:eastAsia="Times New Roman"/>
          <w:szCs w:val="20"/>
        </w:rPr>
      </w:pPr>
    </w:p>
    <w:p w14:paraId="13992C07" w14:textId="74D47E48">
      <w:pPr>
        <w:widowControl w:val="0"/>
        <w:autoSpaceDE w:val="0"/>
        <w:autoSpaceDN w:val="0"/>
        <w:spacing w:after="0" w:line="240" w:lineRule="auto"/>
        <w:jc w:val="both"/>
        <w:outlineLvl w:val="1"/>
        <w:rPr>
          <w:rFonts w:ascii="Times New Roman" w:hAnsi="Times New Roman" w:cs="Times New Roman" w:eastAsia="Times New Roman"/>
          <w:szCs w:val="20"/>
        </w:rPr>
        <w:pStyle w:val="P68B1DB1-Normal14"/>
      </w:pPr>
      <w:bookmarkStart w:id="165" w:name="_Toc198043893"/>
      <w:r>
        <w:t xml:space="preserve">Un'eccezione all'obbligo di notifica basata su una "clausola di salvaguardia" è possibile solo se l'atto di armonizzazione invocato contiene esplicitamente una clausola corrispondente alla definizione di cui all'articolo 114 del trattato sul funzionamento dell'Unione europea.</w:t>
      </w:r>
      <w:bookmarkEnd w:id="165"/>
    </w:p>
    <w:p w14:paraId="701D9589"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2E98A7C3" w14:textId="65F75C30">
      <w:pPr>
        <w:pStyle w:val="P68B1DB1-Normal20"/>
        <w:widowControl w:val="0"/>
        <w:autoSpaceDE w:val="0"/>
        <w:autoSpaceDN w:val="0"/>
        <w:spacing w:after="0" w:line="240" w:lineRule="auto"/>
        <w:ind w:left="567"/>
        <w:jc w:val="both"/>
        <w:outlineLvl w:val="1"/>
      </w:pPr>
      <w:bookmarkStart w:id="166" w:name="_Toc198043894"/>
      <w:r>
        <w:t xml:space="preserve">"55. Occorre rilevare che i primi due commi dell'articolo 4, paragrafo 1, della direttiva 2009/30 si limitano a fissare agli Stati membri un termine per il suo recepimento, ossia entro il 31 dicembre 2010, mediante disposizioni legislative, regolamentari o amministrative a tal fine necessarie, chiedendo loro nel contempo di comunicare immediatamente alla Commissione il testo di tali disposizioni. Il terzo comma di tale disposizione prevede, a sua volta, che, quando gli Stati membri adottano tali disposizioni, queste contengano un riferimento alla direttiva 2009/30.</w:t>
      </w:r>
      <w:bookmarkEnd w:id="166"/>
    </w:p>
    <w:p w14:paraId="3168B0DE" w14:textId="77777777">
      <w:pPr>
        <w:pStyle w:val="P68B1DB1-Normal20"/>
        <w:widowControl w:val="0"/>
        <w:autoSpaceDE w:val="0"/>
        <w:autoSpaceDN w:val="0"/>
        <w:spacing w:after="0" w:line="240" w:lineRule="auto"/>
        <w:ind w:left="567"/>
        <w:jc w:val="both"/>
        <w:outlineLvl w:val="1"/>
      </w:pPr>
    </w:p>
    <w:p w14:paraId="18560400" w14:textId="0F72F49C">
      <w:pPr>
        <w:pStyle w:val="P68B1DB1-Normal20"/>
        <w:widowControl w:val="0"/>
        <w:autoSpaceDE w:val="0"/>
        <w:autoSpaceDN w:val="0"/>
        <w:spacing w:after="0" w:line="240" w:lineRule="auto"/>
        <w:ind w:left="567"/>
        <w:jc w:val="both"/>
        <w:outlineLvl w:val="1"/>
      </w:pPr>
      <w:bookmarkStart w:id="167" w:name="_Toc198043895"/>
      <w:r>
        <w:t xml:space="preserve">56. Orbene, nulla nel testo dell'articolo 4, paragrafo 1, della direttiva 2009/30 lascia pensare che il legislatore dell'Unione abbia inteso introdurre in quest'ultima una clausola di salvaguardia, ai sensi dell'articolo 114, paragrafo 10, TFUE, di cui gli Stati membri avrebbero potuto avvalersi.</w:t>
      </w:r>
      <w:bookmarkEnd w:id="167"/>
    </w:p>
    <w:p w14:paraId="36E43530" w14:textId="77777777">
      <w:pPr>
        <w:pStyle w:val="P68B1DB1-Normal20"/>
        <w:widowControl w:val="0"/>
        <w:autoSpaceDE w:val="0"/>
        <w:autoSpaceDN w:val="0"/>
        <w:spacing w:after="0" w:line="240" w:lineRule="auto"/>
        <w:ind w:left="567"/>
        <w:jc w:val="both"/>
        <w:outlineLvl w:val="1"/>
      </w:pPr>
    </w:p>
    <w:p w14:paraId="50D2526D" w14:textId="49B1A184">
      <w:pPr>
        <w:pStyle w:val="P68B1DB1-Normal20"/>
        <w:widowControl w:val="0"/>
        <w:autoSpaceDE w:val="0"/>
        <w:autoSpaceDN w:val="0"/>
        <w:spacing w:after="0" w:line="240" w:lineRule="auto"/>
        <w:ind w:left="567"/>
        <w:jc w:val="both"/>
        <w:outlineLvl w:val="1"/>
        <w:rPr>
          <w:iCs/>
        </w:rPr>
      </w:pPr>
      <w:bookmarkStart w:id="168" w:name="_Toc198043896"/>
      <w:r>
        <w:t xml:space="preserve">57. A tale riguardo, quest'ultima disposizione prevede che le misure di armonizzazione comportano, nei casi opportuni, una clausola di salvaguardia che autorizza gli Stati membri ad adottare, per uno o più dei motivi di carattere non economico di cui all'articolo 36 TFUE, misure provvisorie soggette ad una procedura di controllo dell'Unione. Ne consegue che una siffatta clausola di salvaguardia deve essere espressamente prevista dall'atto di armonizzazione. L'articolo 4, paragrafo 1, della direttiva 2009/30 non presenta tali caratteristiche e non può quindi costituire una siffatta clausola di salvaguardia."</w:t>
      </w:r>
      <w:bookmarkEnd w:id="168"/>
    </w:p>
    <w:p w14:paraId="12FF84E6" w14:textId="18A9A21E">
      <w:pPr>
        <w:pStyle w:val="P68B1DB1-Normal29"/>
        <w:spacing w:after="0" w:line="240" w:lineRule="auto"/>
      </w:pPr>
      <w:r>
        <w:br w:type="page"/>
      </w:r>
    </w:p>
    <w:p w14:paraId="6087D716" w14:textId="3F11D8EF">
      <w:pPr>
        <w:pStyle w:val="P68B1DB1-Heading24"/>
        <w:numPr>
          <w:ilvl w:val="0"/>
          <w:numId w:val="37"/>
        </w:numPr>
        <w:spacing w:before="0" w:after="0"/>
        <w:jc w:val="center"/>
        <w:rPr>
          <w:bCs/>
          <w:color w:val="auto"/>
        </w:rPr>
      </w:pPr>
      <w:bookmarkStart w:id="169" w:name="_Ref195517564"/>
      <w:bookmarkStart w:id="170" w:name="_Toc203035682"/>
      <w:r>
        <w:t xml:space="preserve">Modifica conforme a una richiesta della Commissione</w:t>
      </w:r>
      <w:bookmarkEnd w:id="169"/>
      <w:bookmarkEnd w:id="170"/>
    </w:p>
    <w:p w14:paraId="049085CF" w14:textId="77777777">
      <w:pPr>
        <w:pStyle w:val="BodyText"/>
        <w:jc w:val="left"/>
      </w:pPr>
    </w:p>
    <w:p w14:paraId="40F4BBF6" w14:textId="77777777">
      <w:pPr>
        <w:pStyle w:val="P68B1DB1-BodyText11"/>
        <w:ind w:left="567"/>
        <w:rPr>
          <w:iCs/>
        </w:rPr>
      </w:pPr>
      <w:r>
        <w:t xml:space="preserve">"Gli articoli 5 e 6 </w:t>
      </w:r>
      <w:r>
        <w:rPr>
          <w:i w:val="0"/>
        </w:rPr>
        <w:t xml:space="preserve">[relativi all'obbligo di notifica e al termine sospensivo] </w:t>
      </w:r>
      <w:r>
        <w:t xml:space="preserve">non si applicano alle disposizioni legislative, regolamentari e amministrative degli Stati membri o agli accordi volontari mediante i quali gli Stati membri: </w:t>
      </w:r>
    </w:p>
    <w:p w14:paraId="07DBADDA" w14:textId="77777777">
      <w:pPr>
        <w:pStyle w:val="P68B1DB1-BodyText11"/>
        <w:ind w:left="1287" w:firstLine="153"/>
        <w:rPr>
          <w:iCs/>
        </w:rPr>
      </w:pPr>
      <w:r>
        <w:t>[...]</w:t>
      </w:r>
    </w:p>
    <w:p w14:paraId="11A943BD" w14:textId="080C60F0">
      <w:pPr>
        <w:pStyle w:val="P68B1DB1-BodyText11"/>
        <w:ind w:left="1440"/>
        <w:rPr>
          <w:iCs/>
        </w:rPr>
      </w:pPr>
      <w:r>
        <w:t xml:space="preserve">f) si limitano a modificare una regola tecnica ai sensi dell'articolo 1, paragrafo 1, lettera f), su richiesta della Commissione, al fine di eliminare un ostacolo agli scambi o, nel caso di regole relative ai servizi, alla libera circolazione dei servizi o alla libertà di stabilimento degli operatori di servizi."</w:t>
      </w:r>
    </w:p>
    <w:p w14:paraId="21F03EA5" w14:textId="77777777">
      <w:pPr>
        <w:pStyle w:val="BodyText"/>
        <w:jc w:val="center"/>
      </w:pPr>
    </w:p>
    <w:p w14:paraId="7883B4B7" w14:textId="369773F7">
      <w:pPr>
        <w:pStyle w:val="BodyText"/>
        <w:jc w:val="right"/>
      </w:pPr>
      <w:r>
        <w:t xml:space="preserve">(Articolo 7, paragrafo 1, lettera f), della direttiva (UE) 2015/1535)</w:t>
      </w:r>
    </w:p>
    <w:p w14:paraId="21BFE903" w14:textId="77777777">
      <w:pPr>
        <w:pStyle w:val="BodyText"/>
        <w:jc w:val="left"/>
      </w:pPr>
    </w:p>
    <w:p w14:paraId="46B1E740" w14:textId="2C38BA2E">
      <w:pPr>
        <w:pStyle w:val="P68B1DB1-Normal13"/>
        <w:widowControl w:val="0"/>
        <w:autoSpaceDE w:val="0"/>
        <w:autoSpaceDN w:val="0"/>
        <w:spacing w:after="0" w:line="240" w:lineRule="auto"/>
        <w:jc w:val="both"/>
        <w:outlineLvl w:val="1"/>
      </w:pPr>
      <w:hyperlink r:id="rId95" w:history="1">
        <w:r>
          <w:rPr>
            <w:color w:val="0000FF"/>
            <w:u w:val="single"/>
          </w:rPr>
          <w:t xml:space="preserve">Sentenza della Corte di giustizia del 31 gennaio 2013</w:t>
        </w:r>
      </w:hyperlink>
      <w:r>
        <w:t xml:space="preserve">, Belgische Petroleum Unie e altri, C-26/11, punti 56 e 57.</w:t>
      </w:r>
      <w:bookmarkEnd w:id="171"/>
    </w:p>
    <w:p w14:paraId="320154D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95DB689" w14:textId="2F4EA0A1">
      <w:pPr>
        <w:widowControl w:val="0"/>
        <w:tabs>
          <w:tab w:val="left" w:pos="412"/>
        </w:tabs>
        <w:autoSpaceDE w:val="0"/>
        <w:autoSpaceDN w:val="0"/>
        <w:spacing w:after="0" w:line="240" w:lineRule="auto"/>
        <w:jc w:val="both"/>
        <w:rPr>
          <w:rFonts w:ascii="Times New Roman" w:hAnsi="Times New Roman" w:cs="Times New Roman" w:eastAsia="Times New Roman"/>
          <w:szCs w:val="20"/>
        </w:rPr>
        <w:pStyle w:val="P68B1DB1-Normal14"/>
      </w:pPr>
      <w:r>
        <w:t xml:space="preserve">La direttiva non richiede la notifica di un progetto di legge nazionale qualora, dopo la notifica iniziale, il progetto sia stato modificato per tener conto delle osservazioni della Commissione e la versione modificata sia stata successivamente comunicata alla Commissione.</w:t>
      </w:r>
    </w:p>
    <w:p w14:paraId="0634FD8C" w14:textId="77777777">
      <w:pPr>
        <w:widowControl w:val="0"/>
        <w:tabs>
          <w:tab w:val="left" w:pos="412"/>
        </w:tabs>
        <w:autoSpaceDE w:val="0"/>
        <w:autoSpaceDN w:val="0"/>
        <w:spacing w:after="0" w:line="240" w:lineRule="auto"/>
        <w:jc w:val="both"/>
        <w:rPr>
          <w:rFonts w:ascii="Times New Roman" w:hAnsi="Times New Roman" w:cs="Times New Roman" w:eastAsia="Times New Roman"/>
          <w:szCs w:val="20"/>
        </w:rPr>
      </w:pPr>
    </w:p>
    <w:p w14:paraId="7D4E24F0" w14:textId="03842035">
      <w:pPr>
        <w:pStyle w:val="P68B1DB1-Normal15"/>
        <w:widowControl w:val="0"/>
        <w:tabs>
          <w:tab w:val="left" w:pos="412"/>
        </w:tabs>
        <w:autoSpaceDE w:val="0"/>
        <w:autoSpaceDN w:val="0"/>
        <w:spacing w:after="0" w:line="240" w:lineRule="auto"/>
        <w:ind w:left="567"/>
        <w:jc w:val="both"/>
      </w:pPr>
      <w:r>
        <w:t xml:space="preserve">"56. [...] il Regno del Belgio, in tali circostanze, si è limitato a modificare le disposizioni di un progetto di legge conformemente a una richiesta della Commissione di eliminare un ostacolo agli scambi, cosicché, in forza dell'articolo 10, paragrafo 1, ultimo trattino, della direttiva 98/34, l'obbligo di notifica alla Commissione ai sensi dell'articolo 8, paragrafo 1, primo comma, di tale direttiva non si applica al progetto di legge sull'obbligo di miscelazione.</w:t>
      </w:r>
    </w:p>
    <w:p w14:paraId="39EC120F" w14:textId="77777777">
      <w:pPr>
        <w:pStyle w:val="P68B1DB1-Normal15"/>
        <w:widowControl w:val="0"/>
        <w:tabs>
          <w:tab w:val="left" w:pos="412"/>
        </w:tabs>
        <w:autoSpaceDE w:val="0"/>
        <w:autoSpaceDN w:val="0"/>
        <w:spacing w:after="0" w:line="240" w:lineRule="auto"/>
        <w:ind w:left="567"/>
        <w:jc w:val="both"/>
      </w:pPr>
    </w:p>
    <w:p w14:paraId="2E743C69" w14:textId="2B1CBA3C">
      <w:pPr>
        <w:pStyle w:val="P68B1DB1-Normal15"/>
        <w:widowControl w:val="0"/>
        <w:tabs>
          <w:tab w:val="left" w:pos="412"/>
        </w:tabs>
        <w:autoSpaceDE w:val="0"/>
        <w:autoSpaceDN w:val="0"/>
        <w:spacing w:after="0" w:line="240" w:lineRule="auto"/>
        <w:ind w:left="567"/>
        <w:jc w:val="both"/>
        <w:rPr>
          <w:iCs/>
        </w:rPr>
      </w:pPr>
      <w:r>
        <w:t xml:space="preserve">57. In tali circostanze, occorre rispondere alla seconda questione dichiarando che l'articolo 8 della direttiva 98/34, in combinato disposto con l'articolo 10, paragrafo 1, ultimo trattino, di tale direttiva, deve essere interpretato nel senso che non impone la notifica di un progetto di normativa nazionale che obbliga le società petrolifere che immettono sul mercato benzina e/o combustibili diesel a immettere sul mercato anche, nello stesso anno civile, determinate percentuali di biocarburanti, qualora, dopo essere stato notificato ai sensi dell'articolo 8, paragrafo 1, primo comma, il progetto sia stato modificato per tener conto delle osservazioni della Commissione su di esso e il progetto modificato sia stato poi comunicato a quest'ultima".</w:t>
      </w:r>
    </w:p>
    <w:p w14:paraId="1F05DBDF" w14:textId="3ED0BCB3">
      <w:pPr>
        <w:spacing w:after="0" w:line="278" w:lineRule="auto"/>
        <w:rPr>
          <w:rFonts w:ascii="Times New Roman" w:hAnsi="Times New Roman" w:cs="Times New Roman" w:eastAsia="Times New Roman"/>
          <w:sz w:val="24"/>
          <w:szCs w:val="20"/>
        </w:rPr>
      </w:pPr>
      <w:r>
        <w:br w:type="page"/>
      </w:r>
    </w:p>
    <w:p w14:paraId="4DF08AEF" w14:textId="0EBF7EE3">
      <w:pPr>
        <w:pStyle w:val="P68B1DB1-Heading24"/>
        <w:numPr>
          <w:ilvl w:val="1"/>
          <w:numId w:val="1"/>
        </w:numPr>
        <w:spacing w:before="0" w:after="0"/>
        <w:jc w:val="center"/>
        <w:rPr>
          <w:bCs/>
          <w:color w:val="auto"/>
        </w:rPr>
      </w:pPr>
      <w:bookmarkStart w:id="172" w:name="_Ref195517581"/>
      <w:bookmarkStart w:id="173" w:name="_Toc203035683"/>
      <w:r>
        <w:t xml:space="preserve">Circostanze che non costituiscono eccezioni</w:t>
      </w:r>
      <w:bookmarkEnd w:id="172"/>
      <w:bookmarkEnd w:id="173"/>
    </w:p>
    <w:p w14:paraId="6006C68A"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7EFB943D" w14:textId="7608A244">
      <w:pPr>
        <w:pStyle w:val="P68B1DB1-Normal13"/>
        <w:widowControl w:val="0"/>
        <w:autoSpaceDE w:val="0"/>
        <w:autoSpaceDN w:val="0"/>
        <w:spacing w:after="0" w:line="240" w:lineRule="auto"/>
        <w:jc w:val="both"/>
        <w:outlineLvl w:val="1"/>
      </w:pPr>
      <w:hyperlink r:id="rId96" w:history="1">
        <w:r>
          <w:rPr>
            <w:color w:val="0000FF"/>
            <w:u w:val="single"/>
          </w:rPr>
          <w:t xml:space="preserve">Sentenza della Corte di giustizia dell'11 gennaio 1996</w:t>
        </w:r>
      </w:hyperlink>
      <w:r>
        <w:t xml:space="preserve">, Commissione/Paesi Bassi, C-273/94, punti 14 e 15.</w:t>
      </w:r>
      <w:bookmarkEnd w:id="174"/>
    </w:p>
    <w:p w14:paraId="1472EEE2"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18431E5C" w14:textId="0D0BB9C0">
      <w:pPr>
        <w:pStyle w:val="P68B1DB1-Normal14"/>
        <w:widowControl w:val="0"/>
        <w:tabs>
          <w:tab w:val="left" w:pos="396"/>
          <w:tab w:val="left" w:pos="405"/>
        </w:tabs>
        <w:autoSpaceDE w:val="0"/>
        <w:autoSpaceDN w:val="0"/>
        <w:spacing w:after="0" w:line="240" w:lineRule="auto"/>
        <w:jc w:val="both"/>
      </w:pPr>
      <w:r>
        <w:t xml:space="preserve">L'obbligo di notifica non dipende dall'effetto presunto della norma sugli scambi tra Stati membri.</w:t>
      </w:r>
    </w:p>
    <w:p w14:paraId="61F0631F" w14:textId="77777777">
      <w:pPr>
        <w:widowControl w:val="0"/>
        <w:tabs>
          <w:tab w:val="left" w:pos="396"/>
          <w:tab w:val="left" w:pos="405"/>
        </w:tabs>
        <w:autoSpaceDE w:val="0"/>
        <w:autoSpaceDN w:val="0"/>
        <w:spacing w:after="0" w:line="240" w:lineRule="auto"/>
        <w:ind w:hanging="142"/>
        <w:jc w:val="both"/>
        <w:rPr>
          <w:rFonts w:ascii="Times New Roman" w:hAnsi="Times New Roman" w:cs="Times New Roman" w:eastAsia="Times New Roman"/>
          <w:szCs w:val="20"/>
        </w:rPr>
      </w:pPr>
    </w:p>
    <w:p w14:paraId="4DB865D5" w14:textId="0821625F">
      <w:pPr>
        <w:pStyle w:val="P68B1DB1-Normal15"/>
        <w:widowControl w:val="0"/>
        <w:tabs>
          <w:tab w:val="left" w:pos="396"/>
          <w:tab w:val="left" w:pos="405"/>
        </w:tabs>
        <w:autoSpaceDE w:val="0"/>
        <w:autoSpaceDN w:val="0"/>
        <w:spacing w:after="0" w:line="240" w:lineRule="auto"/>
        <w:ind w:left="567"/>
        <w:jc w:val="both"/>
        <w:rPr>
          <w:iCs/>
        </w:rPr>
      </w:pPr>
      <w:r>
        <w:t xml:space="preserve">"14. Questa valutazione non può essere rimessa in discussione dall'argomento del governo dei Paesi Bassi secondo il quale il regolamento controverso avrebbe l'effetto di favorire lo smercio di margarina, di guisa che sarebbe conforme all'obiettivo principale della direttiva che è quello di sopprimere gli ostacoli per gli scambi intracomunitari di merci. </w:t>
      </w:r>
    </w:p>
    <w:p w14:paraId="0A0FB981" w14:textId="77777777">
      <w:pPr>
        <w:pStyle w:val="P68B1DB1-Normal15"/>
        <w:widowControl w:val="0"/>
        <w:tabs>
          <w:tab w:val="left" w:pos="396"/>
          <w:tab w:val="left" w:pos="405"/>
        </w:tabs>
        <w:autoSpaceDE w:val="0"/>
        <w:autoSpaceDN w:val="0"/>
        <w:spacing w:after="0" w:line="240" w:lineRule="auto"/>
        <w:ind w:left="567"/>
        <w:jc w:val="both"/>
        <w:rPr>
          <w:iCs/>
        </w:rPr>
      </w:pPr>
    </w:p>
    <w:p w14:paraId="6299CAB3" w14:textId="03C7906F">
      <w:pPr>
        <w:pStyle w:val="P68B1DB1-Normal15"/>
        <w:widowControl w:val="0"/>
        <w:tabs>
          <w:tab w:val="left" w:pos="396"/>
          <w:tab w:val="left" w:pos="405"/>
        </w:tabs>
        <w:autoSpaceDE w:val="0"/>
        <w:autoSpaceDN w:val="0"/>
        <w:spacing w:after="0" w:line="240" w:lineRule="auto"/>
        <w:ind w:left="567"/>
        <w:jc w:val="both"/>
        <w:rPr>
          <w:iCs/>
        </w:rPr>
      </w:pPr>
      <w:r>
        <w:t xml:space="preserve">15. Gli Stati membri sono tenuti a comunicare alla Commissione qualsiasi progetto di regola tecnica conformemente all'articolo 8 della direttiva. Tale obbligo non può essere subordinato alla valutazione unilaterale, da parte dello Stato membro che ha elaborato il regolamento, degli effetti che esso può avere sul commercio tra Stati membri."</w:t>
      </w:r>
    </w:p>
    <w:p w14:paraId="41021C94"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90F34A8" w14:textId="346D3994">
      <w:pPr>
        <w:pStyle w:val="P68B1DB1-Normal13"/>
        <w:widowControl w:val="0"/>
        <w:autoSpaceDE w:val="0"/>
        <w:autoSpaceDN w:val="0"/>
        <w:spacing w:after="0" w:line="240" w:lineRule="auto"/>
        <w:jc w:val="both"/>
        <w:outlineLvl w:val="1"/>
      </w:pPr>
      <w:hyperlink r:id="rId97" w:history="1">
        <w:r>
          <w:rPr>
            <w:color w:val="0000FF"/>
            <w:u w:val="single"/>
          </w:rPr>
          <w:t xml:space="preserve">Sentenza della Corte di giustizia del 16 giugno 1998</w:t>
        </w:r>
      </w:hyperlink>
      <w:r>
        <w:t xml:space="preserve">, Lemmens, C-226/97, punti da 18 a 20.</w:t>
      </w:r>
      <w:bookmarkEnd w:id="175"/>
    </w:p>
    <w:p w14:paraId="2763D12C"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B5C4B0B" w14:textId="36C19F49">
      <w:pPr>
        <w:pStyle w:val="P68B1DB1-Normal14"/>
        <w:widowControl w:val="0"/>
        <w:tabs>
          <w:tab w:val="left" w:pos="396"/>
          <w:tab w:val="left" w:pos="461"/>
        </w:tabs>
        <w:autoSpaceDE w:val="0"/>
        <w:autoSpaceDN w:val="0"/>
        <w:spacing w:after="0" w:line="240" w:lineRule="auto"/>
        <w:jc w:val="both"/>
      </w:pPr>
      <w:r>
        <w:t xml:space="preserve">La direttiva si applica alle "regole tecniche" indipendentemente dal motivo della loro adozione. Il fatto che una misura riguardi il diritto penale non lo esenta dall'obbligo di notifica. Pertanto, le disposizioni nazionali che disciplinano gli apparecchi di analisi respiratoria utilizzati dalla polizia per misurare l'alcol costituiscono una regola tecnica che avrebbe dovuto essere notificata alla Commissione prima della sua adozione.</w:t>
      </w:r>
    </w:p>
    <w:p w14:paraId="5EB7B877" w14:textId="77777777">
      <w:pPr>
        <w:widowControl w:val="0"/>
        <w:tabs>
          <w:tab w:val="left" w:pos="396"/>
          <w:tab w:val="left" w:pos="461"/>
        </w:tabs>
        <w:autoSpaceDE w:val="0"/>
        <w:autoSpaceDN w:val="0"/>
        <w:spacing w:after="0" w:line="240" w:lineRule="auto"/>
        <w:jc w:val="both"/>
        <w:rPr>
          <w:rFonts w:ascii="Times New Roman" w:hAnsi="Times New Roman" w:cs="Times New Roman" w:eastAsia="Times New Roman"/>
          <w:szCs w:val="20"/>
        </w:rPr>
      </w:pPr>
    </w:p>
    <w:p w14:paraId="7B871DF8" w14:textId="6718B4DE">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Style w:val="P68B1DB1-Normal15"/>
      </w:pPr>
      <w:r>
        <w:t xml:space="preserve">"18. Quanto al governo francese, esso ritiene che la direttiva non si applichi ai prodotti che, come quelli di cui si tratta nella causa principale, sono destinati ad usi che rientrano nella competenza delle pubbliche autorità e, a fortiori, nell'azione penale degli Stati membri.</w:t>
      </w:r>
    </w:p>
    <w:p w14:paraId="09959B2C"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Pr>
    </w:p>
    <w:p w14:paraId="6EE31E9F" w14:textId="39DFA6E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Style w:val="P68B1DB1-Normal15"/>
      </w:pPr>
      <w:r>
        <w:t xml:space="preserve">19. Tali argomenti non possono essere accolti. Anche se, in linea di principio, la legislazione penale e le norme di procedura penale rientrano nella competenza degli Stati membri, non ne consegue che il diritto comunitario non possa incidere su tale settore del diritto (v., in tal senso, sentenze 1989 luglio 195, causa 186/87, Cowan, Racc. pag. 19, punto 1981, e causa 203/80, Casati, Racc. pag. 2595, punto 27).</w:t>
      </w:r>
    </w:p>
    <w:p w14:paraId="1A1AA4B0"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Pr>
    </w:p>
    <w:p w14:paraId="06227DC3" w14:textId="6F9850E1">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Style w:val="P68B1DB1-Normal15"/>
      </w:pPr>
      <w:r>
        <w:t xml:space="preserve">20. Nel caso di specie, nulla nella direttiva suggerisce che le regole tecniche ai sensi del suo articolo 1 siano escluse dall'obbligo di notifica in quanto rientrano nell'ambito di applicazione del diritto penale, o che l'ambito di applicazione della direttiva sia limitato ai prodotti destinati ad essere utilizzati in modo diverso dall'esercizio di pubblici poteri. Come la Corte ha già affermato nella causa C-13/96, Bic Benelux (Racc. 1997, pag. I-1753, punto 19), una direttiva si applica alle regole tecniche indipendentemente dai motivi per i quali sono state adottate."</w:t>
      </w:r>
    </w:p>
    <w:p w14:paraId="28C6FF3B"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Pr>
    </w:p>
    <w:p w14:paraId="743F486D" w14:textId="7F85DF8F">
      <w:pPr>
        <w:pStyle w:val="P68B1DB1-Normal13"/>
        <w:widowControl w:val="0"/>
        <w:autoSpaceDE w:val="0"/>
        <w:autoSpaceDN w:val="0"/>
        <w:spacing w:after="0" w:line="240" w:lineRule="auto"/>
        <w:jc w:val="both"/>
        <w:outlineLvl w:val="1"/>
      </w:pPr>
      <w:hyperlink r:id="rId98" w:history="1">
        <w:r>
          <w:rPr>
            <w:color w:val="0000FF"/>
            <w:u w:val="single"/>
          </w:rPr>
          <w:t xml:space="preserve">Sentenza della Corte di giustizia del 21 aprile 2005</w:t>
        </w:r>
      </w:hyperlink>
      <w:r>
        <w:t xml:space="preserve">, Lindberg, C-267/03, punti 86, 91 e 92.</w:t>
      </w:r>
      <w:bookmarkEnd w:id="176"/>
    </w:p>
    <w:p w14:paraId="3ACA6C58"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02AB316E" w14:textId="77777777">
      <w:pPr>
        <w:pStyle w:val="P68B1DB1-Normal14"/>
        <w:widowControl w:val="0"/>
        <w:tabs>
          <w:tab w:val="left" w:pos="396"/>
          <w:tab w:val="left" w:pos="425"/>
        </w:tabs>
        <w:autoSpaceDE w:val="0"/>
        <w:autoSpaceDN w:val="0"/>
        <w:spacing w:after="0" w:line="240" w:lineRule="auto"/>
        <w:jc w:val="both"/>
      </w:pPr>
      <w:r>
        <w:t xml:space="preserve">Il valore del prodotto cui si riferisce una norma, le dimensioni del suo mercato e l'incidenza di tale norma sugli scambi intracomunitari non costituiscono criteri pertinenti per determinare se una "regola tecnica" debba essere notificata.</w:t>
      </w:r>
    </w:p>
    <w:p w14:paraId="7C940B0B" w14:textId="77777777">
      <w:pPr>
        <w:pStyle w:val="P68B1DB1-ListParagraph2"/>
        <w:tabs>
          <w:tab w:val="left" w:pos="396"/>
          <w:tab w:val="left" w:pos="425"/>
        </w:tabs>
        <w:ind w:left="0" w:right="0" w:firstLine="0"/>
        <w:rPr>
          <w:i/>
          <w:iCs/>
          <w:sz w:val="20"/>
          <w:szCs w:val="16"/>
        </w:rPr>
      </w:pPr>
    </w:p>
    <w:p w14:paraId="097F5F5F" w14:textId="000A86FC">
      <w:pPr>
        <w:pStyle w:val="P68B1DB1-P68B1DB1-ListParagraph226"/>
        <w:tabs>
          <w:tab w:val="left" w:pos="396"/>
          <w:tab w:val="left" w:pos="425"/>
        </w:tabs>
        <w:ind w:left="709"/>
      </w:pPr>
      <w:r>
        <w:t xml:space="preserve">"86. Con la sua quarta questione, il giudice del rinvio interroga la Corte sull'importanza da attribuirsi, ai fini dell'obbligo di notifica previsto dalla direttiva 83/189, alle seguenti circostanze: —</w:t>
      </w:r>
    </w:p>
    <w:p w14:paraId="767A8711" w14:textId="77777777">
      <w:pPr>
        <w:pStyle w:val="P68B1DB1-P68B1DB1-ListParagraph226"/>
        <w:tabs>
          <w:tab w:val="left" w:pos="396"/>
          <w:tab w:val="left" w:pos="425"/>
        </w:tabs>
        <w:ind w:left="709"/>
      </w:pPr>
      <w:r>
        <w:t xml:space="preserve">— La sostituzione dell'obbligo di licenza con un divieto previsto dal diritto nazionale,</w:t>
      </w:r>
    </w:p>
    <w:p w14:paraId="559C82EC" w14:textId="77777777">
      <w:pPr>
        <w:pStyle w:val="P68B1DB1-P68B1DB1-ListParagraph226"/>
        <w:tabs>
          <w:tab w:val="left" w:pos="396"/>
          <w:tab w:val="left" w:pos="425"/>
        </w:tabs>
        <w:ind w:left="709"/>
      </w:pPr>
      <w:r>
        <w:t xml:space="preserve">— Il valore maggiore o minore del prodotto/servizio,</w:t>
      </w:r>
    </w:p>
    <w:p w14:paraId="7057795D" w14:textId="77777777">
      <w:pPr>
        <w:pStyle w:val="P68B1DB1-P68B1DB1-ListParagraph226"/>
        <w:tabs>
          <w:tab w:val="left" w:pos="396"/>
          <w:tab w:val="left" w:pos="425"/>
        </w:tabs>
        <w:ind w:left="709"/>
      </w:pPr>
      <w:r>
        <w:t xml:space="preserve">— Le dimensioni del mercato del prodotto/servizio o</w:t>
      </w:r>
    </w:p>
    <w:p w14:paraId="7E4DCD6F" w14:textId="27AB1FF7">
      <w:pPr>
        <w:pStyle w:val="P68B1DB1-P68B1DB1-ListParagraph226"/>
        <w:tabs>
          <w:tab w:val="left" w:pos="396"/>
          <w:tab w:val="left" w:pos="425"/>
        </w:tabs>
        <w:ind w:left="709"/>
      </w:pPr>
      <w:r>
        <w:t xml:space="preserve">— L'effetto di una nuova disposizione nazionale sull'uso, che potrebbe essere un divieto totale o un divieto o una restrizione all'interno di uno dei vari settori di impiego possibili".</w:t>
      </w:r>
    </w:p>
    <w:p w14:paraId="09CF2785" w14:textId="77777777">
      <w:pPr>
        <w:pStyle w:val="P68B1DB1-ListParagraph2"/>
        <w:tabs>
          <w:tab w:val="left" w:pos="396"/>
          <w:tab w:val="left" w:pos="425"/>
        </w:tabs>
        <w:ind w:left="567" w:right="0" w:firstLine="0"/>
        <w:rPr>
          <w:i/>
          <w:iCs/>
          <w:sz w:val="20"/>
          <w:szCs w:val="16"/>
        </w:rPr>
      </w:pPr>
    </w:p>
    <w:p w14:paraId="3F0A28BA" w14:textId="4FD6ACDF">
      <w:pPr>
        <w:pStyle w:val="P68B1DB1-P68B1DB1-ListParagraph226"/>
        <w:tabs>
          <w:tab w:val="left" w:pos="396"/>
          <w:tab w:val="left" w:pos="425"/>
        </w:tabs>
        <w:ind w:firstLine="0"/>
      </w:pPr>
      <w:r>
        <w:t xml:space="preserve">"91. Quanto alla seconda e alla terza circostanza di cui alla quarta questione pregiudiziale, si deve ricordare che, come già rilevato al punto 50 di questa sentenza, la direttiva 83/189 prevede un meccanismo procedurale di controllo preventivo che consente di verificare se una norma nazionale implicante una regola tecnica rientri nell'ambito d'applicazione delle disposizioni del Trattato sulla libera circolazione delle merci e consenta, eventualmente, di esaminare se una norma siffatta sia compatibile con tali disposizioni.</w:t>
      </w:r>
    </w:p>
    <w:p w14:paraId="057FE2DD" w14:textId="77777777">
      <w:pPr>
        <w:pStyle w:val="P68B1DB1-P68B1DB1-ListParagraph226"/>
        <w:tabs>
          <w:tab w:val="left" w:pos="396"/>
          <w:tab w:val="left" w:pos="425"/>
        </w:tabs>
        <w:ind w:firstLine="0"/>
      </w:pPr>
    </w:p>
    <w:p w14:paraId="56F7C7B8" w14:textId="2531A314">
      <w:pPr>
        <w:pStyle w:val="P68B1DB1-P68B1DB1-ListParagraph226"/>
        <w:tabs>
          <w:tab w:val="left" w:pos="396"/>
          <w:tab w:val="left" w:pos="425"/>
        </w:tabs>
        <w:ind w:firstLine="0"/>
      </w:pPr>
      <w:r>
        <w:t xml:space="preserve">92. A questo proposito, al punto 51 della presente sentenza è stato dichiarato che gli eventuali effetti della regola tecnica sugli scambi intracomunitari non costituiscono un criterio per la definizione dell'ambito di applicazione della direttiva 83/189, per quanto riguarda, in particolare, l'obbligo di notifica da essa previsto".</w:t>
      </w:r>
    </w:p>
    <w:p w14:paraId="197312D1" w14:textId="0484FE14">
      <w:pPr>
        <w:pStyle w:val="P68B1DB1-Normal33"/>
        <w:spacing w:after="0" w:line="278" w:lineRule="auto"/>
        <w:rPr>
          <w:rFonts w:ascii="Times New Roman" w:hAnsi="Times New Roman" w:cs="Times New Roman" w:eastAsia="Times New Roman"/>
          <w:i/>
          <w:iCs/>
        </w:rPr>
      </w:pPr>
      <w:r>
        <w:br w:type="page"/>
      </w:r>
    </w:p>
    <w:p w14:paraId="2785F247" w14:textId="4A9302E3">
      <w:pPr>
        <w:pStyle w:val="P68B1DB1-Heading13"/>
        <w:numPr>
          <w:ilvl w:val="0"/>
          <w:numId w:val="34"/>
        </w:numPr>
        <w:spacing w:before="0" w:after="0"/>
        <w:jc w:val="center"/>
        <w:rPr>
          <w:bCs/>
          <w:color w:val="auto"/>
        </w:rPr>
      </w:pPr>
      <w:bookmarkStart w:id="177" w:name="_Ref194485817"/>
      <w:bookmarkStart w:id="178" w:name="_Toc203035684"/>
      <w:r>
        <w:t>Inapplicabilità</w:t>
      </w:r>
      <w:bookmarkEnd w:id="177"/>
      <w:bookmarkEnd w:id="178"/>
    </w:p>
    <w:p w14:paraId="20AC6D1C" w14:textId="77777777">
      <w:pPr>
        <w:pStyle w:val="BodyText"/>
        <w:ind w:left="2715"/>
        <w:rPr>
          <w:b/>
          <w:bCs/>
          <w:sz w:val="28"/>
          <w:szCs w:val="22"/>
        </w:rPr>
      </w:pPr>
    </w:p>
    <w:p w14:paraId="58AC44F0" w14:textId="1BBB272D">
      <w:pPr>
        <w:pStyle w:val="P68B1DB1-Heading24"/>
        <w:numPr>
          <w:ilvl w:val="0"/>
          <w:numId w:val="38"/>
        </w:numPr>
        <w:spacing w:before="0" w:after="0"/>
        <w:jc w:val="center"/>
        <w:rPr>
          <w:bCs/>
          <w:color w:val="auto"/>
        </w:rPr>
      </w:pPr>
      <w:bookmarkStart w:id="179" w:name="_Ref194485057"/>
      <w:bookmarkStart w:id="180" w:name="_Toc203035685"/>
      <w:r>
        <w:t xml:space="preserve">Inapplicabilità in caso di mancata notifica</w:t>
      </w:r>
      <w:bookmarkEnd w:id="179"/>
      <w:bookmarkEnd w:id="180"/>
    </w:p>
    <w:p w14:paraId="39906D0F"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41D0CCA" w14:textId="7E812DB1">
      <w:pPr>
        <w:pStyle w:val="P68B1DB1-Normal13"/>
        <w:widowControl w:val="0"/>
        <w:autoSpaceDE w:val="0"/>
        <w:autoSpaceDN w:val="0"/>
        <w:spacing w:after="0" w:line="240" w:lineRule="auto"/>
        <w:jc w:val="both"/>
        <w:outlineLvl w:val="1"/>
      </w:pPr>
      <w:hyperlink r:id="rId99" w:history="1">
        <w:r>
          <w:rPr>
            <w:color w:val="0000FF"/>
            <w:u w:val="single"/>
          </w:rPr>
          <w:t xml:space="preserve">Sentenza della Corte di giustizia del 30 aprile 1996</w:t>
        </w:r>
      </w:hyperlink>
      <w:r>
        <w:t xml:space="preserve">, CIA Security International SA, C-194/94, punti 48 e 55.</w:t>
      </w:r>
      <w:bookmarkEnd w:id="181"/>
    </w:p>
    <w:p w14:paraId="6980445F"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8CBEA0B" w14:textId="2A001F71">
      <w:pPr>
        <w:pStyle w:val="P68B1DB1-Normal14"/>
        <w:widowControl w:val="0"/>
        <w:tabs>
          <w:tab w:val="left" w:pos="409"/>
        </w:tabs>
        <w:autoSpaceDE w:val="0"/>
        <w:autoSpaceDN w:val="0"/>
        <w:spacing w:after="0" w:line="240" w:lineRule="auto"/>
        <w:jc w:val="both"/>
      </w:pPr>
      <w:r>
        <w:t xml:space="preserve">La violazione dell'obbligo di notifica comporta l'inapplicabilità delle "regole tecniche" di cui trattasi, cosicché esse non possono essere opposte ai singoli. I singoli possono invocare gli artt. 8 e 9 della direttiva 83/189 dinanzi ad un giudice nazionale che deve rifiutare di applicare una "regola tecnica" nazionale che non sia stata notificata conformemente a tale direttiva.</w:t>
      </w:r>
    </w:p>
    <w:p w14:paraId="41DE99AA" w14:textId="77777777">
      <w:pPr>
        <w:widowControl w:val="0"/>
        <w:tabs>
          <w:tab w:val="left" w:pos="409"/>
        </w:tabs>
        <w:autoSpaceDE w:val="0"/>
        <w:autoSpaceDN w:val="0"/>
        <w:spacing w:after="0" w:line="240" w:lineRule="auto"/>
        <w:jc w:val="both"/>
        <w:rPr>
          <w:rFonts w:ascii="Times New Roman" w:hAnsi="Times New Roman" w:cs="Times New Roman" w:eastAsia="Times New Roman"/>
          <w:szCs w:val="20"/>
        </w:rPr>
      </w:pPr>
    </w:p>
    <w:p w14:paraId="13B9D75E" w14:textId="7C49EE29">
      <w:pPr>
        <w:pStyle w:val="P68B1DB1-Normal18"/>
        <w:widowControl w:val="0"/>
        <w:tabs>
          <w:tab w:val="left" w:pos="409"/>
        </w:tabs>
        <w:autoSpaceDE w:val="0"/>
        <w:autoSpaceDN w:val="0"/>
        <w:spacing w:after="0" w:line="240" w:lineRule="auto"/>
        <w:ind w:left="567"/>
        <w:jc w:val="both"/>
        <w:rPr>
          <w:iCs/>
        </w:rPr>
      </w:pPr>
      <w:r>
        <w:t xml:space="preserve">"48. Siffatta conseguenza dell'inadempimento degli obblighi imposti dalla direttiva 83/189 non è subordinata a una disposizione espressa in tal senso. Come si è già osservato, è assodato che la finalità della direttiva è la tutela della libera circolazione delle merci mediante un controllo preventivo e che l'obbligo di notifica costituisce un mezzo essenziale per l'attuazione del detto controllo comunitario. L'efficacia del controllo comunitario sarà molto maggiore se la direttiva viene interpretata nel senso che la violazione dell'obbligo di notifica costituisce un vizio procedurale sostanziale tale da rendere inapplicabili ai singoli le regole tecniche di cui trattasi".</w:t>
      </w:r>
    </w:p>
    <w:p w14:paraId="5B87E4FF" w14:textId="77777777">
      <w:pPr>
        <w:widowControl w:val="0"/>
        <w:tabs>
          <w:tab w:val="left" w:pos="409"/>
        </w:tabs>
        <w:autoSpaceDE w:val="0"/>
        <w:autoSpaceDN w:val="0"/>
        <w:spacing w:after="0" w:line="240" w:lineRule="auto"/>
        <w:ind w:left="567"/>
        <w:jc w:val="both"/>
        <w:rPr>
          <w:rFonts w:ascii="Times New Roman" w:hAnsi="Times New Roman" w:cs="Times New Roman" w:eastAsia="Times New Roman"/>
          <w:i/>
          <w:iCs/>
          <w:sz w:val="20"/>
          <w:szCs w:val="20"/>
        </w:rPr>
      </w:pPr>
    </w:p>
    <w:p w14:paraId="0768FF27" w14:textId="3B428811">
      <w:pPr>
        <w:pStyle w:val="P68B1DB1-Normal18"/>
        <w:widowControl w:val="0"/>
        <w:tabs>
          <w:tab w:val="left" w:pos="409"/>
        </w:tabs>
        <w:autoSpaceDE w:val="0"/>
        <w:autoSpaceDN w:val="0"/>
        <w:spacing w:after="0" w:line="240" w:lineRule="auto"/>
        <w:ind w:left="567"/>
        <w:jc w:val="both"/>
        <w:rPr>
          <w:iCs/>
        </w:rPr>
      </w:pPr>
      <w:r>
        <w:t xml:space="preserve">"55. Occorre pertanto risolvere la quinta e la sesta questione dichiarando che gli artt. 8 e 9 della direttiva 83/189 devono essere interpretati nel senso che i singoli possono avvalersene dinanzi al giudice nazionale, il quale deve disapplicare una regola tecnica nazionale che non sia stata notificata conformemente alla direttiva".</w:t>
      </w:r>
    </w:p>
    <w:p w14:paraId="44EDD958"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A6C3DD6" w14:textId="2CAC6094">
      <w:pPr>
        <w:pStyle w:val="P68B1DB1-Normal13"/>
        <w:widowControl w:val="0"/>
        <w:autoSpaceDE w:val="0"/>
        <w:autoSpaceDN w:val="0"/>
        <w:spacing w:after="0" w:line="240" w:lineRule="auto"/>
        <w:jc w:val="both"/>
        <w:outlineLvl w:val="1"/>
      </w:pPr>
      <w:hyperlink r:id="rId100" w:history="1">
        <w:r>
          <w:rPr>
            <w:color w:val="0000FF"/>
            <w:u w:val="single"/>
          </w:rPr>
          <w:t xml:space="preserve">Sentenza della Corte di giustizia del 16 giugno 1998</w:t>
        </w:r>
      </w:hyperlink>
      <w:r>
        <w:t xml:space="preserve">, Lemmens, C-226/97, punti da 34 a 37.</w:t>
      </w:r>
      <w:bookmarkEnd w:id="182"/>
    </w:p>
    <w:p w14:paraId="758CEF0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ABB4A98" w14:textId="10F576AA">
      <w:pPr>
        <w:pStyle w:val="P68B1DB1-Normal14"/>
        <w:widowControl w:val="0"/>
        <w:tabs>
          <w:tab w:val="left" w:pos="406"/>
        </w:tabs>
        <w:autoSpaceDE w:val="0"/>
        <w:autoSpaceDN w:val="0"/>
        <w:spacing w:after="0" w:line="240" w:lineRule="auto"/>
        <w:jc w:val="both"/>
      </w:pPr>
      <w:r>
        <w:t xml:space="preserve">Il mancato rispetto dell'obbligo di notifica di una regola tecnica relativa agli apparecchi di analisi dell'apparato respiratorio non ha l'effetto di rendere inapplicabili nei confronti di una persona accusata di guida in stato di ebbrezza le prove ottenute mediante un apparecchio di analisi degli respiratori autorizzato secondo regole che non sono state notificate.</w:t>
      </w:r>
    </w:p>
    <w:p w14:paraId="3E297BB7" w14:textId="77777777">
      <w:pPr>
        <w:widowControl w:val="0"/>
        <w:tabs>
          <w:tab w:val="left" w:pos="406"/>
        </w:tabs>
        <w:autoSpaceDE w:val="0"/>
        <w:autoSpaceDN w:val="0"/>
        <w:spacing w:after="0" w:line="240" w:lineRule="auto"/>
        <w:jc w:val="both"/>
        <w:rPr>
          <w:rFonts w:ascii="Times New Roman" w:hAnsi="Times New Roman" w:cs="Times New Roman" w:eastAsia="Times New Roman"/>
          <w:szCs w:val="20"/>
        </w:rPr>
      </w:pPr>
    </w:p>
    <w:p w14:paraId="25103538" w14:textId="65BB17C7">
      <w:pPr>
        <w:pStyle w:val="P68B1DB1-Normal15"/>
        <w:widowControl w:val="0"/>
        <w:tabs>
          <w:tab w:val="left" w:pos="409"/>
        </w:tabs>
        <w:autoSpaceDE w:val="0"/>
        <w:autoSpaceDN w:val="0"/>
        <w:spacing w:after="0" w:line="240" w:lineRule="auto"/>
        <w:ind w:left="567"/>
        <w:jc w:val="both"/>
      </w:pPr>
      <w:r>
        <w:t xml:space="preserve">"34. In un procedimento penale come la causa principale, le norme applicate nei confronti dell'imputato sono, da un lato, quelle che vietano e puniscono la guida in stato di ebbrezza e, dall'altro, quelle che obbligano il conducente a soffiare in un apparecchio destinato all'esame del tasso alcolico, il risultato del quale costituisce una prova nel procedimento penale. Tali norme sono differenti da quelle che, per il fatto di non essere state comunicate alla Commissione in conformità alla direttiva, sono inopponibili ai privati.</w:t>
      </w:r>
    </w:p>
    <w:p w14:paraId="79D66062" w14:textId="77777777">
      <w:pPr>
        <w:pStyle w:val="P68B1DB1-Normal15"/>
        <w:widowControl w:val="0"/>
        <w:tabs>
          <w:tab w:val="left" w:pos="409"/>
        </w:tabs>
        <w:autoSpaceDE w:val="0"/>
        <w:autoSpaceDN w:val="0"/>
        <w:spacing w:after="0" w:line="240" w:lineRule="auto"/>
        <w:ind w:left="567"/>
        <w:jc w:val="both"/>
      </w:pPr>
    </w:p>
    <w:p w14:paraId="1F291ACA" w14:textId="0D4F54FD">
      <w:pPr>
        <w:pStyle w:val="P68B1DB1-Normal15"/>
        <w:widowControl w:val="0"/>
        <w:tabs>
          <w:tab w:val="left" w:pos="409"/>
        </w:tabs>
        <w:autoSpaceDE w:val="0"/>
        <w:autoSpaceDN w:val="0"/>
        <w:spacing w:after="0" w:line="240" w:lineRule="auto"/>
        <w:ind w:left="567"/>
        <w:jc w:val="both"/>
      </w:pPr>
      <w:r>
        <w:t xml:space="preserve">35. Occorre rilevare che, se la mancata comunicazione di regole tecniche, che costituisce un vizio procedurale in sede d'adozione, le rende inapplicabili in quanto ostacolano l'uso o la commercializzazione di un prodotto non conforme a tali regole, essa non ha per contro l'effetto di rendere illecito ogni uso di un prodotto conforme alle regole non comunicate.</w:t>
      </w:r>
    </w:p>
    <w:p w14:paraId="06F58C0E" w14:textId="77777777">
      <w:pPr>
        <w:pStyle w:val="P68B1DB1-Normal15"/>
        <w:widowControl w:val="0"/>
        <w:tabs>
          <w:tab w:val="left" w:pos="409"/>
        </w:tabs>
        <w:autoSpaceDE w:val="0"/>
        <w:autoSpaceDN w:val="0"/>
        <w:spacing w:after="0" w:line="240" w:lineRule="auto"/>
        <w:ind w:left="567"/>
        <w:jc w:val="both"/>
      </w:pPr>
    </w:p>
    <w:p w14:paraId="56671D2C" w14:textId="0E44A6B4">
      <w:pPr>
        <w:pStyle w:val="P68B1DB1-Normal15"/>
        <w:widowControl w:val="0"/>
        <w:tabs>
          <w:tab w:val="left" w:pos="409"/>
        </w:tabs>
        <w:autoSpaceDE w:val="0"/>
        <w:autoSpaceDN w:val="0"/>
        <w:spacing w:after="0" w:line="240" w:lineRule="auto"/>
        <w:ind w:left="567"/>
        <w:jc w:val="both"/>
      </w:pPr>
      <w:r>
        <w:t xml:space="preserve">36. Orbene, l'utilizzazione del prodotto da parte delle pubbliche autorità, in un caso come quello in esame, non è atta a creare un ostacolo per gli scambi che avrebbe potuto essere evitato se la procedura di comunicazione fosse stata seguita.</w:t>
      </w:r>
    </w:p>
    <w:p w14:paraId="4CD6FBB9" w14:textId="77777777">
      <w:pPr>
        <w:pStyle w:val="P68B1DB1-Normal15"/>
        <w:widowControl w:val="0"/>
        <w:tabs>
          <w:tab w:val="left" w:pos="409"/>
        </w:tabs>
        <w:autoSpaceDE w:val="0"/>
        <w:autoSpaceDN w:val="0"/>
        <w:spacing w:after="0" w:line="240" w:lineRule="auto"/>
        <w:ind w:left="567"/>
        <w:jc w:val="both"/>
      </w:pPr>
    </w:p>
    <w:p w14:paraId="638FC610" w14:textId="5C3DE903">
      <w:pPr>
        <w:pStyle w:val="P68B1DB1-Normal15"/>
        <w:widowControl w:val="0"/>
        <w:tabs>
          <w:tab w:val="left" w:pos="409"/>
        </w:tabs>
        <w:autoSpaceDE w:val="0"/>
        <w:autoSpaceDN w:val="0"/>
        <w:spacing w:after="0" w:line="240" w:lineRule="auto"/>
        <w:ind w:left="567"/>
        <w:jc w:val="both"/>
      </w:pPr>
      <w:r>
        <w:t xml:space="preserve">37. Si deve pertanto rispondere alla prima questione dichiarando che la direttiva deve essere interpretata nel senso che la violazione dell'obbligo, imposto dal suo articolo 8, di notificare una regola tecnica relativa agli apparecchi per l'analisi dello stato delle vie respiratorie non ha l'effetto di rendere impossibile far valere nei confronti di un individuo accusato di guida sotto l'effetto dell'alcol le prove ottenute mediante tali apparecchi, autorizzati conformemente a regole non notificate".</w:t>
      </w:r>
    </w:p>
    <w:p w14:paraId="03B0AE90"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AD84CA2" w14:textId="7A7E4DF0">
      <w:pPr>
        <w:pStyle w:val="P68B1DB1-Normal13"/>
        <w:widowControl w:val="0"/>
        <w:autoSpaceDE w:val="0"/>
        <w:autoSpaceDN w:val="0"/>
        <w:spacing w:after="0" w:line="240" w:lineRule="auto"/>
        <w:jc w:val="both"/>
        <w:outlineLvl w:val="1"/>
      </w:pPr>
      <w:hyperlink r:id="rId101" w:history="1">
        <w:r>
          <w:rPr>
            <w:color w:val="0000FF"/>
            <w:u w:val="single"/>
          </w:rPr>
          <w:t xml:space="preserve">Sentenza della Corte di giustizia del 6 giugno 2002</w:t>
        </w:r>
      </w:hyperlink>
      <w:r>
        <w:t xml:space="preserve">, Sapod Audic, C-159/00, punti 52 e 53.</w:t>
      </w:r>
      <w:bookmarkEnd w:id="183"/>
    </w:p>
    <w:p w14:paraId="7700A11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88E293C" w14:textId="6294F0EB">
      <w:pPr>
        <w:widowControl w:val="0"/>
        <w:tabs>
          <w:tab w:val="left" w:pos="409"/>
        </w:tabs>
        <w:autoSpaceDE w:val="0"/>
        <w:autoSpaceDN w:val="0"/>
        <w:spacing w:after="0" w:line="240" w:lineRule="auto"/>
        <w:jc w:val="both"/>
        <w:rPr>
          <w:rFonts w:ascii="Times New Roman" w:hAnsi="Times New Roman" w:cs="Times New Roman" w:eastAsia="Times New Roman"/>
          <w:szCs w:val="20"/>
        </w:rPr>
        <w:pStyle w:val="P68B1DB1-Normal14"/>
      </w:pPr>
      <w:r>
        <w:t xml:space="preserve">Spetta al giudice nazionale rifiutare l'applicazione di disposizioni inapplicabili a causa della mancata notifica. Le conseguenze di tale inapplicabilità sono disciplinate dal diritto nazionale, purché essa non sia meno favorevole rispetto a ricorsi analoghi di natura interna e non renda impossibile l'esercizio dei diritti dell'Unione.</w:t>
      </w:r>
    </w:p>
    <w:p w14:paraId="1E2D83F5" w14:textId="77777777">
      <w:pPr>
        <w:widowControl w:val="0"/>
        <w:tabs>
          <w:tab w:val="left" w:pos="409"/>
        </w:tabs>
        <w:autoSpaceDE w:val="0"/>
        <w:autoSpaceDN w:val="0"/>
        <w:spacing w:after="0" w:line="240" w:lineRule="auto"/>
        <w:jc w:val="both"/>
        <w:rPr>
          <w:rFonts w:ascii="Times New Roman" w:hAnsi="Times New Roman" w:cs="Times New Roman" w:eastAsia="Times New Roman"/>
          <w:szCs w:val="20"/>
        </w:rPr>
      </w:pPr>
    </w:p>
    <w:p w14:paraId="4757B367" w14:textId="5B286B77">
      <w:pPr>
        <w:pStyle w:val="P68B1DB1-Normal15"/>
        <w:widowControl w:val="0"/>
        <w:tabs>
          <w:tab w:val="left" w:pos="409"/>
        </w:tabs>
        <w:autoSpaceDE w:val="0"/>
        <w:autoSpaceDN w:val="0"/>
        <w:spacing w:after="0"/>
        <w:ind w:left="567"/>
        <w:jc w:val="both"/>
      </w:pPr>
      <w:r>
        <w:t xml:space="preserve">"52. Occorre tuttavia rilevare che la questione delle conseguenze da trarre nel procedimento principale dall'inapplicabilità dell'articolo 4, secondo comma, del decreto n. 92-377 per quanto riguarda la severità della sanzione prevista dal diritto nazionale applicabile, come la nullità o l'inopponibilità del contratto tra la Sapod e la Eco-Emballages, è una questione disciplinata dal diritto nazionale, in particolare per quanto riguarda le norme e i principi del diritto contrattuale che limitano o adeguano tale sanzione al fine di renderla proporzionata al particolare vizio constatato. Tuttavia, tali norme e principi non possono essere meno favorevoli di quelli che riguardano ricorsi analoghi di natura interna (principio di equivalenza) e non possono essere concepiti in modo da rendere praticamente impossibile l'esercizio dei diritti conferiti dall'ordinamento giuridico comunitario (principio di effettività) (v., in particolare, sentenze 1976 luglio 1989, causa 33/76, Rewe, Racc. pag. 5, punto 2001, e cause riunite C-52/99 e C-53/99, Camorotto e Vignone, Racc. pag. I-1395, punto 21).</w:t>
      </w:r>
    </w:p>
    <w:p w14:paraId="0A8A5A27" w14:textId="77777777">
      <w:pPr>
        <w:pStyle w:val="P68B1DB1-Normal15"/>
        <w:widowControl w:val="0"/>
        <w:tabs>
          <w:tab w:val="left" w:pos="409"/>
        </w:tabs>
        <w:autoSpaceDE w:val="0"/>
        <w:autoSpaceDN w:val="0"/>
        <w:spacing w:after="0"/>
        <w:ind w:left="567"/>
        <w:jc w:val="both"/>
      </w:pPr>
    </w:p>
    <w:p w14:paraId="26C97D99" w14:textId="2C79F108">
      <w:pPr>
        <w:pStyle w:val="P68B1DB1-Normal15"/>
        <w:widowControl w:val="0"/>
        <w:tabs>
          <w:tab w:val="left" w:pos="409"/>
        </w:tabs>
        <w:autoSpaceDE w:val="0"/>
        <w:autoSpaceDN w:val="0"/>
        <w:spacing w:after="0"/>
        <w:ind w:left="567"/>
        <w:jc w:val="both"/>
      </w:pPr>
      <w:r>
        <w:t xml:space="preserve">53. Occorre pertanto rispondere alla seconda parte della seconda questione, nella parte in cui riguarda la direttiva 83/189, nel senso che, nell'ipotesi in cui una disposizione nazionale come l'articolo 4, secondo comma, del decreto n. 92-377 dovesse essere interpretata nel senso che impone l'apposizione di un marchio o di un'etichetta, un singolo può invocare la mancata notifica di tale disposizione nazionale conformemente all'articolo 8 di tale direttiva. Spetta poi al giudice nazionale negare l'applicazione di tale disposizione, poiché la questione delle conseguenze da trarre dall'inapplicabilità di tale disposizione nazionale per quanto riguarda la severità della sanzione prevista dal diritto nazionale applicabile, come la nullità o l'inopponibilità di un contratto, è una questione disciplinata dal diritto nazionale. Tale conclusione è tuttavia subordinata alla condizione che le norme nazionali applicabili non siano meno favorevoli di quelle che riguardano ricorsi analoghi di natura interna e non siano strutturate in modo da rendere praticamente impossibile l'esercizio dei diritti conferiti dall'ordinamento giuridico comunitario".</w:t>
      </w:r>
    </w:p>
    <w:p w14:paraId="7ECA13E2" w14:textId="77777777">
      <w:pPr>
        <w:pStyle w:val="P68B1DB1-Normal15"/>
        <w:widowControl w:val="0"/>
        <w:tabs>
          <w:tab w:val="left" w:pos="409"/>
        </w:tabs>
        <w:autoSpaceDE w:val="0"/>
        <w:autoSpaceDN w:val="0"/>
        <w:spacing w:after="0"/>
        <w:jc w:val="both"/>
      </w:pPr>
    </w:p>
    <w:p w14:paraId="25CD0695" w14:textId="4587EFBF">
      <w:pPr>
        <w:pStyle w:val="P68B1DB1-Normal13"/>
        <w:widowControl w:val="0"/>
        <w:autoSpaceDE w:val="0"/>
        <w:autoSpaceDN w:val="0"/>
        <w:spacing w:after="0" w:line="240" w:lineRule="auto"/>
        <w:jc w:val="both"/>
        <w:outlineLvl w:val="1"/>
      </w:pPr>
      <w:hyperlink r:id="rId102" w:history="1">
        <w:r>
          <w:rPr>
            <w:color w:val="0000FF"/>
            <w:u w:val="single"/>
          </w:rPr>
          <w:t xml:space="preserve">Sentenza della Corte di giustizia dell'8 settembre 2005</w:t>
        </w:r>
      </w:hyperlink>
      <w:r>
        <w:t xml:space="preserve">, Lidl Italia, C-303/04, punti 22 e 23.</w:t>
      </w:r>
    </w:p>
    <w:p w14:paraId="4582547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63F8A9D" w14:textId="77777777">
      <w:pPr>
        <w:pStyle w:val="P68B1DB1-Normal14"/>
        <w:widowControl w:val="0"/>
        <w:tabs>
          <w:tab w:val="left" w:pos="403"/>
        </w:tabs>
        <w:autoSpaceDE w:val="0"/>
        <w:autoSpaceDN w:val="0"/>
        <w:spacing w:after="0" w:line="240" w:lineRule="auto"/>
        <w:jc w:val="both"/>
      </w:pPr>
      <w:r>
        <w:t xml:space="preserve">La violazione dell'obbligo di notifica costituisce un vizio procedurale sostanziale tale da rendere inapplicabili le "regole tecniche" di cui trattasi e, di conseguenza, inopponibili ai singoli.</w:t>
      </w:r>
    </w:p>
    <w:p w14:paraId="099B7D88" w14:textId="77777777">
      <w:pPr>
        <w:widowControl w:val="0"/>
        <w:tabs>
          <w:tab w:val="left" w:pos="393"/>
        </w:tabs>
        <w:autoSpaceDE w:val="0"/>
        <w:autoSpaceDN w:val="0"/>
        <w:spacing w:after="0" w:line="240" w:lineRule="auto"/>
        <w:jc w:val="both"/>
        <w:rPr>
          <w:rFonts w:ascii="Times New Roman" w:hAnsi="Times New Roman" w:cs="Times New Roman" w:eastAsia="Times New Roman"/>
          <w:szCs w:val="20"/>
        </w:rPr>
      </w:pPr>
    </w:p>
    <w:p w14:paraId="54B8211C" w14:textId="31CFA17B">
      <w:pPr>
        <w:pStyle w:val="P68B1DB1-Normal15"/>
        <w:widowControl w:val="0"/>
        <w:tabs>
          <w:tab w:val="left" w:pos="393"/>
        </w:tabs>
        <w:autoSpaceDE w:val="0"/>
        <w:autoSpaceDN w:val="0"/>
        <w:spacing w:after="0" w:line="240" w:lineRule="auto"/>
        <w:ind w:left="567"/>
        <w:jc w:val="both"/>
      </w:pPr>
      <w:r>
        <w:t xml:space="preserve">"22. [...] secondo una giurisprudenza costante, la direttiva 98/34 mira a tutelare, mediante controlli preventivi, la libera circolazione delle merci, che costituisce uno dei fondamenti della Comunità e che tale controllo è utile in quanto le regole tecniche che rientrano nell'ambito di applicazione di tale direttiva possono costituire ostacoli agli scambi di merci tra gli Stati membri, ostacoli che possono essere ammessi solo se sono necessari per soddisfare esigenze imperative di interesse generale (v., in tal senso, sentenze 1996 gennaio 2201, causa C-194/94, CIA Security International, Racc. pag. I-40, punto 1998, e causa C-226/97, Lemmens, Racc. pag. I-3711, punto 32).</w:t>
      </w:r>
    </w:p>
    <w:p w14:paraId="36DAFFCC" w14:textId="77777777">
      <w:pPr>
        <w:pStyle w:val="P68B1DB1-Normal15"/>
        <w:widowControl w:val="0"/>
        <w:tabs>
          <w:tab w:val="left" w:pos="393"/>
        </w:tabs>
        <w:autoSpaceDE w:val="0"/>
        <w:autoSpaceDN w:val="0"/>
        <w:spacing w:after="0" w:line="240" w:lineRule="auto"/>
        <w:ind w:left="567"/>
        <w:jc w:val="both"/>
      </w:pPr>
    </w:p>
    <w:p w14:paraId="149570C3" w14:textId="7B9615CB">
      <w:pPr>
        <w:pStyle w:val="P68B1DB1-Normal15"/>
        <w:widowControl w:val="0"/>
        <w:tabs>
          <w:tab w:val="left" w:pos="393"/>
        </w:tabs>
        <w:autoSpaceDE w:val="0"/>
        <w:autoSpaceDN w:val="0"/>
        <w:spacing w:after="0" w:line="240" w:lineRule="auto"/>
        <w:ind w:left="567"/>
        <w:jc w:val="both"/>
      </w:pPr>
      <w:r>
        <w:t xml:space="preserve">23. Poiché l'obbligo di notifica di cui, in particolare, all'articolo 8, paragrafo 1, primo comma, della direttiva 98/34 è essenziale per realizzare tale controllo comunitario, l'efficacia di tale controllo sarà molto maggiore se tale direttiva viene interpretata nel senso che l'inosservanza dell'obbligo di notifica costituisce un vizio procedurale sostanziale tale da rendere inapplicabili le regole tecniche di cui trattasi e quindi inopponibili ai singoli (sentenze CIA Security International, cit., punti 44, 48 e 54, e Lemmens, cit., punto 33)".</w:t>
      </w:r>
    </w:p>
    <w:p w14:paraId="6E201D8A" w14:textId="77777777">
      <w:pPr>
        <w:pStyle w:val="P68B1DB1-Normal15"/>
        <w:widowControl w:val="0"/>
        <w:tabs>
          <w:tab w:val="left" w:pos="393"/>
        </w:tabs>
        <w:autoSpaceDE w:val="0"/>
        <w:autoSpaceDN w:val="0"/>
        <w:spacing w:after="0" w:line="240" w:lineRule="auto"/>
        <w:ind w:left="567"/>
        <w:jc w:val="both"/>
        <w:rPr>
          <w:i w:val="0"/>
          <w:iCs/>
          <w:szCs w:val="20"/>
        </w:rPr>
      </w:pPr>
    </w:p>
    <w:p w14:paraId="3A7A3401" w14:textId="5474014F">
      <w:pPr>
        <w:pStyle w:val="P68B1DB1-Normal13"/>
        <w:widowControl w:val="0"/>
        <w:autoSpaceDE w:val="0"/>
        <w:autoSpaceDN w:val="0"/>
        <w:spacing w:after="0" w:line="240" w:lineRule="auto"/>
        <w:jc w:val="both"/>
        <w:outlineLvl w:val="1"/>
      </w:pPr>
      <w:hyperlink r:id="rId103" w:history="1">
        <w:r>
          <w:rPr>
            <w:color w:val="0000FF"/>
            <w:u w:val="single"/>
          </w:rPr>
          <w:t xml:space="preserve">Sentenza della Corte di giustizia del 31 gennaio 2013</w:t>
        </w:r>
      </w:hyperlink>
      <w:r>
        <w:t xml:space="preserve">, Belgische Petroleum Unie e a., C</w:t>
        <w:noBreakHyphen/>
        <w:t xml:space="preserve">26/11, punto 50.</w:t>
      </w:r>
      <w:bookmarkEnd w:id="184"/>
    </w:p>
    <w:p w14:paraId="7D29DEE1"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A5859BF" w14:textId="23CC69D0">
      <w:pPr>
        <w:pStyle w:val="P68B1DB1-Normal14"/>
        <w:widowControl w:val="0"/>
        <w:tabs>
          <w:tab w:val="left" w:pos="403"/>
        </w:tabs>
        <w:autoSpaceDE w:val="0"/>
        <w:autoSpaceDN w:val="0"/>
        <w:spacing w:after="0" w:line="240" w:lineRule="auto"/>
        <w:jc w:val="both"/>
      </w:pPr>
      <w:r>
        <w:t xml:space="preserve">La violazione dell'obbligo di notifica costituisce un vizio procedurale sostanziale tale da rendere inapplicabili le "regole tecniche" di cui trattasi e, di conseguenza, inopponibili ai singoli.</w:t>
      </w:r>
    </w:p>
    <w:p w14:paraId="3A77BF8A"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1EFBF218" w14:textId="0E7DE8F3">
      <w:pPr>
        <w:pStyle w:val="P68B1DB1-Normal15"/>
        <w:widowControl w:val="0"/>
        <w:tabs>
          <w:tab w:val="left" w:pos="403"/>
        </w:tabs>
        <w:autoSpaceDE w:val="0"/>
        <w:autoSpaceDN w:val="0"/>
        <w:spacing w:after="0" w:line="240" w:lineRule="auto"/>
        <w:ind w:left="567"/>
        <w:jc w:val="both"/>
        <w:rPr>
          <w:iCs/>
        </w:rPr>
      </w:pPr>
      <w:r>
        <w:t>"</w:t>
      </w:r>
      <w:bookmarkStart w:id="185" w:name="point50"/>
      <w:r>
        <w:t>50</w:t>
      </w:r>
      <w:bookmarkEnd w:id="185"/>
      <w:r>
        <w:t xml:space="preserve">.  Poiché l'obbligo di notifica di cui all'articolo 8, paragrafo 1, primo comma, della direttiva 98/34 è essenziale per realizzare tale controllo, l'efficacia di tale controllo sarà molto maggiore se tale direttiva viene interpretata nel senso che l'inosservanza dell'obbligo di notifica costituisce un vizio procedurale sostanziale tale da rendere inapplicabili le regole tecniche di cui trattasi e quindi inopponibili ai singoli (v. citate sentenze Lidl Italia, punto 23, e Sandström, punto 43)".</w:t>
      </w:r>
    </w:p>
    <w:p w14:paraId="5A7C1A11"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3F877C96" w14:textId="12F7ED6C">
      <w:pPr>
        <w:pStyle w:val="P68B1DB1-Normal13"/>
        <w:widowControl w:val="0"/>
        <w:autoSpaceDE w:val="0"/>
        <w:autoSpaceDN w:val="0"/>
        <w:spacing w:after="0" w:line="240" w:lineRule="auto"/>
        <w:jc w:val="both"/>
        <w:outlineLvl w:val="1"/>
      </w:pPr>
      <w:hyperlink r:id="rId104" w:history="1">
        <w:r>
          <w:rPr>
            <w:color w:val="0000FF"/>
            <w:u w:val="single"/>
          </w:rPr>
          <w:t xml:space="preserve">Sentenza della Corte di giustizia del 2 febbraio 2016</w:t>
        </w:r>
      </w:hyperlink>
      <w:r>
        <w:t xml:space="preserve">, Ince, C-336/14, punti 67 e 68.</w:t>
      </w:r>
      <w:bookmarkEnd w:id="186"/>
    </w:p>
    <w:p w14:paraId="5109C791" w14:textId="77777777">
      <w:pPr>
        <w:pStyle w:val="P68B1DB1-Normal13"/>
        <w:widowControl w:val="0"/>
        <w:autoSpaceDE w:val="0"/>
        <w:autoSpaceDN w:val="0"/>
        <w:spacing w:after="0" w:line="240" w:lineRule="auto"/>
        <w:jc w:val="both"/>
        <w:outlineLvl w:val="1"/>
      </w:pPr>
    </w:p>
    <w:p w14:paraId="0118741A" w14:textId="59CA11D9">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La mancata comunicazione di una "regola tecnica" rende quest'ultima inapplicabile e inopponibile ai singoli. Quest'ultima può invocare l'articolo 8 della direttiva 98/34 dinanzi ai giudici nazionali, i quali sono pertanto tenuti a rifiutare l'applicazione della norma non notificata.</w:t>
      </w:r>
    </w:p>
    <w:p w14:paraId="33041BEA" w14:textId="77777777">
      <w:pPr>
        <w:widowControl w:val="0"/>
        <w:autoSpaceDE w:val="0"/>
        <w:autoSpaceDN w:val="0"/>
        <w:spacing w:after="0" w:line="240" w:lineRule="auto"/>
        <w:jc w:val="both"/>
        <w:rPr>
          <w:rFonts w:ascii="Times New Roman" w:hAnsi="Times New Roman" w:cs="Times New Roman" w:eastAsia="Times New Roman"/>
          <w:i/>
          <w:iCs/>
          <w:sz w:val="20"/>
          <w:szCs w:val="20"/>
        </w:rPr>
      </w:pPr>
    </w:p>
    <w:p w14:paraId="0B90620E" w14:textId="22B6DE21">
      <w:pPr>
        <w:pStyle w:val="P68B1DB1-Normal18"/>
        <w:widowControl w:val="0"/>
        <w:autoSpaceDE w:val="0"/>
        <w:autoSpaceDN w:val="0"/>
        <w:spacing w:after="0" w:line="240" w:lineRule="auto"/>
        <w:ind w:left="567"/>
        <w:jc w:val="both"/>
      </w:pPr>
      <w:r>
        <w:t xml:space="preserve">"67. In via preliminare, occorre ricordare che la violazione dell'obbligo di notifica previsto all'articolo 8, paragrafo 1, della direttiva 98/34 costituisce un vizio procedurale nell'adozione delle regole tecniche di cui trattasi e rende queste ultime inapplicabili e, pertanto, inopponibili ai singoli (v., in particolare, sentenza Ivansson e a., C-307/13, punto 48 e giurisprudenza ivi citata).</w:t>
      </w:r>
    </w:p>
    <w:p w14:paraId="3D0E63B7" w14:textId="77777777">
      <w:pPr>
        <w:pStyle w:val="P68B1DB1-Normal18"/>
        <w:widowControl w:val="0"/>
        <w:autoSpaceDE w:val="0"/>
        <w:autoSpaceDN w:val="0"/>
        <w:spacing w:after="0" w:line="240" w:lineRule="auto"/>
        <w:ind w:left="567"/>
        <w:jc w:val="both"/>
      </w:pPr>
    </w:p>
    <w:p w14:paraId="0BF09E0D" w14:textId="771301DC">
      <w:pPr>
        <w:pStyle w:val="P68B1DB1-Normal18"/>
        <w:widowControl w:val="0"/>
        <w:autoSpaceDE w:val="0"/>
        <w:autoSpaceDN w:val="0"/>
        <w:spacing w:after="0" w:line="240" w:lineRule="auto"/>
        <w:ind w:left="567"/>
        <w:jc w:val="both"/>
        <w:rPr>
          <w:iCs/>
        </w:rPr>
      </w:pPr>
      <w:r>
        <w:t xml:space="preserve">68. A tal riguardo, occorre sottolineare che, come rilevato dall'avvocato generale al paragrafo 60 delle sue conclusioni, sebbene l'articolo 8, paragrafo 1, di tale direttiva esiga che l'intero progetto di legge contenente regole tecniche sia comunicato alla Commissione (v., in tal senso, sentenza Commissione/Italia, C-279/94, punti 40 e 41), l'inapplicabilità risultante dalla violazione di tale obbligo si estende non a tutte le disposizioni di una siffatta legge, ma solo alle regole tecniche in essa contenute."</w:t>
      </w:r>
    </w:p>
    <w:p w14:paraId="3958CBE4"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33409741" w14:textId="429ECE6F">
      <w:pPr>
        <w:pStyle w:val="P68B1DB1-Normal13"/>
        <w:widowControl w:val="0"/>
        <w:autoSpaceDE w:val="0"/>
        <w:autoSpaceDN w:val="0"/>
        <w:spacing w:after="0" w:line="240" w:lineRule="auto"/>
        <w:jc w:val="both"/>
        <w:outlineLvl w:val="1"/>
      </w:pPr>
      <w:hyperlink r:id="rId105" w:history="1">
        <w:r>
          <w:rPr>
            <w:color w:val="0000FF"/>
            <w:u w:val="single"/>
          </w:rPr>
          <w:t xml:space="preserve">Ordinanza del 21 aprile 2016</w:t>
        </w:r>
      </w:hyperlink>
      <w:r>
        <w:t xml:space="preserve">, Beca Engineering, C-285/15, non ancora pubblicata, punto 37.</w:t>
      </w:r>
      <w:bookmarkEnd w:id="187"/>
    </w:p>
    <w:p w14:paraId="4FF7730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95C5D13" w14:textId="319BB418">
      <w:pPr>
        <w:widowControl w:val="0"/>
        <w:tabs>
          <w:tab w:val="left" w:pos="436"/>
        </w:tabs>
        <w:autoSpaceDE w:val="0"/>
        <w:autoSpaceDN w:val="0"/>
        <w:spacing w:after="0" w:line="240" w:lineRule="auto"/>
        <w:jc w:val="both"/>
        <w:rPr>
          <w:rFonts w:ascii="Times New Roman" w:hAnsi="Times New Roman" w:cs="Times New Roman" w:eastAsia="Times New Roman"/>
          <w:szCs w:val="20"/>
        </w:rPr>
        <w:pStyle w:val="P68B1DB1-Normal14"/>
      </w:pPr>
      <w:r>
        <w:t xml:space="preserve">La mancata comunicazione di una "regola tecnica" la rende inapplicabile e inopponibile ai singoli, i quali possono invocare l'articolo 8 della direttiva 98/34 dinanzi ai giudici nazionali, i quali sono pertanto tenuti a respingerla.</w:t>
      </w:r>
    </w:p>
    <w:p w14:paraId="4B5D090C" w14:textId="77777777">
      <w:pPr>
        <w:widowControl w:val="0"/>
        <w:tabs>
          <w:tab w:val="left" w:pos="436"/>
        </w:tabs>
        <w:autoSpaceDE w:val="0"/>
        <w:autoSpaceDN w:val="0"/>
        <w:spacing w:after="0" w:line="240" w:lineRule="auto"/>
        <w:jc w:val="both"/>
        <w:rPr>
          <w:rFonts w:ascii="Times New Roman" w:hAnsi="Times New Roman" w:cs="Times New Roman" w:eastAsia="Times New Roman"/>
          <w:szCs w:val="20"/>
        </w:rPr>
      </w:pPr>
    </w:p>
    <w:p w14:paraId="4CE283BE" w14:textId="354C4BFD">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(Poiché l'ordine è disponibile esclusivamente in francese e in italiano, il testo seguente è una traduzione).</w:t>
      </w:r>
    </w:p>
    <w:p w14:paraId="71B521E7" w14:textId="77777777">
      <w:pPr>
        <w:widowControl w:val="0"/>
        <w:tabs>
          <w:tab w:val="left" w:pos="436"/>
        </w:tabs>
        <w:autoSpaceDE w:val="0"/>
        <w:autoSpaceDN w:val="0"/>
        <w:spacing w:after="0" w:line="240" w:lineRule="auto"/>
        <w:jc w:val="both"/>
        <w:rPr>
          <w:rFonts w:ascii="Times New Roman" w:hAnsi="Times New Roman" w:cs="Times New Roman" w:eastAsia="Times New Roman"/>
          <w:szCs w:val="20"/>
        </w:rPr>
      </w:pPr>
    </w:p>
    <w:p w14:paraId="176B997E" w14:textId="2F3B42D8">
      <w:pPr>
        <w:pStyle w:val="P68B1DB1-Normal15"/>
        <w:widowControl w:val="0"/>
        <w:tabs>
          <w:tab w:val="left" w:pos="436"/>
        </w:tabs>
        <w:autoSpaceDE w:val="0"/>
        <w:autoSpaceDN w:val="0"/>
        <w:spacing w:after="0" w:line="240" w:lineRule="auto"/>
        <w:ind w:left="567"/>
        <w:jc w:val="both"/>
        <w:rPr>
          <w:iCs/>
        </w:rPr>
      </w:pPr>
      <w:r>
        <w:t xml:space="preserve">"37. Secondo una giurisprudenza costante, l'inosservanza dell'obbligo di notifica immediata delle regole tecniche da parte degli Stati membri alla Commissione, previsto all'articolo 8 della direttiva 98/34, rende inapplicabili le regole tecniche di cui trattasi, di modo che esse non possono essere opposte ai singoli e questi ultimi possono quindi invocare l'articolo 8 della direttiva 98/34 dinanzi al giudice nazionale, il quale deve rifiutare di applicare una regola tecnica nazionale che non è stata notificata conformemente a tale direttiva (v., in tal senso, sentenze del 30</w:t>
        <w:noBreakHyphen/>
        <w:t xml:space="preserve">aprile 1996, CIA Security International, 194/94, punti 44 e 54; del 26 settembre 2000, Unilever,</w:t>
        <w:noBreakHyphen/>
        <w:t xml:space="preserve">443/98, n. 49; e del 16 luglio 2015, UNIC e Uni.co.pel, 95/14</w:t>
        <w:noBreakHyphen/>
        <w:t xml:space="preserve">, ed., paragrafo 29)."</w:t>
      </w:r>
    </w:p>
    <w:p w14:paraId="316A0C5A"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72DF0B9D" w14:textId="49BEF45B">
      <w:pPr>
        <w:pStyle w:val="P68B1DB1-Normal13"/>
        <w:widowControl w:val="0"/>
        <w:autoSpaceDE w:val="0"/>
        <w:autoSpaceDN w:val="0"/>
        <w:spacing w:after="0" w:line="240" w:lineRule="auto"/>
        <w:jc w:val="both"/>
        <w:outlineLvl w:val="1"/>
      </w:pPr>
      <w:hyperlink r:id="rId106" w:history="1">
        <w:r>
          <w:rPr>
            <w:color w:val="0000FF"/>
            <w:u w:val="single"/>
          </w:rPr>
          <w:t xml:space="preserve">Sentenza del 1º febbraio 2017</w:t>
        </w:r>
      </w:hyperlink>
      <w:r>
        <w:t xml:space="preserve">, Município de Palmela, C</w:t>
        <w:noBreakHyphen/>
        <w:t xml:space="preserve">144/16, ecueil des arrêts et décisions, punti 36 e 37.</w:t>
      </w:r>
      <w:bookmarkEnd w:id="188"/>
    </w:p>
    <w:p w14:paraId="71CD8CD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48608F0" w14:textId="4E7B20FD">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L'inapplicabilità delle regole tecniche non notificate si estende solo alle disposizioni che si qualificano come tali e non all'intero testo in cui sono stabilite. </w:t>
      </w:r>
    </w:p>
    <w:p w14:paraId="75A4341D" w14:textId="77777777">
      <w:pPr>
        <w:widowControl w:val="0"/>
        <w:tabs>
          <w:tab w:val="left" w:pos="506"/>
        </w:tabs>
        <w:autoSpaceDE w:val="0"/>
        <w:autoSpaceDN w:val="0"/>
        <w:spacing w:after="0" w:line="240" w:lineRule="auto"/>
        <w:jc w:val="both"/>
        <w:rPr>
          <w:rFonts w:ascii="Times New Roman" w:hAnsi="Times New Roman" w:cs="Times New Roman" w:eastAsia="Times New Roman"/>
          <w:szCs w:val="20"/>
        </w:rPr>
      </w:pPr>
    </w:p>
    <w:p w14:paraId="0AB4BF23" w14:textId="0FC0DDA5">
      <w:pPr>
        <w:pStyle w:val="P68B1DB1-Normal15"/>
        <w:widowControl w:val="0"/>
        <w:tabs>
          <w:tab w:val="left" w:pos="506"/>
        </w:tabs>
        <w:autoSpaceDE w:val="0"/>
        <w:autoSpaceDN w:val="0"/>
        <w:spacing w:after="0" w:line="240" w:lineRule="auto"/>
        <w:ind w:left="567"/>
        <w:jc w:val="both"/>
      </w:pPr>
      <w:r>
        <w:t xml:space="preserve">"36. Inoltre, la sanzione dell'inosservanza di un siffatto obbligo di notifica consiste nell'inapplicabilità di regole tecniche non notificate (v., in tal senso, per quanto riguarda la direttiva 83/189, sentenze del 30 aprile 1996, CIA Security International, C-194/94, punto 54, e, per quanto riguarda la direttiva 98/34, sentenza del 4 febbraio 2016, Ince, C-336/14, punto 67 e giurisprudenza ivi citata).</w:t>
      </w:r>
    </w:p>
    <w:p w14:paraId="53154754" w14:textId="77777777">
      <w:pPr>
        <w:pStyle w:val="P68B1DB1-Normal15"/>
        <w:widowControl w:val="0"/>
        <w:tabs>
          <w:tab w:val="left" w:pos="506"/>
        </w:tabs>
        <w:autoSpaceDE w:val="0"/>
        <w:autoSpaceDN w:val="0"/>
        <w:spacing w:after="0" w:line="240" w:lineRule="auto"/>
        <w:ind w:left="567"/>
        <w:jc w:val="both"/>
      </w:pPr>
    </w:p>
    <w:p w14:paraId="3D0698B5" w14:textId="300775AA">
      <w:pPr>
        <w:pStyle w:val="P68B1DB1-Normal15"/>
        <w:widowControl w:val="0"/>
        <w:tabs>
          <w:tab w:val="left" w:pos="506"/>
        </w:tabs>
        <w:autoSpaceDE w:val="0"/>
        <w:autoSpaceDN w:val="0"/>
        <w:spacing w:after="0" w:line="240" w:lineRule="auto"/>
        <w:ind w:left="567"/>
        <w:jc w:val="both"/>
        <w:rPr>
          <w:iCs/>
        </w:rPr>
      </w:pPr>
      <w:r>
        <w:t xml:space="preserve">37. Per quanto riguarda la portata di una siffatta sanzione, sebbene l'articolo 8, paragrafo 1, della direttiva 83/189 e l'articolo 8, paragrafo 1, della direttiva 98/34 impongano di comunicare alla Commissione l'intero progetto di legge contenente regole tecniche, l'inapplicabilità risultante dalla violazione di tale obbligo si estende non a tutte le disposizioni di una siffatta legge, ma unicamente alle regole tecniche in essa contenute (v., in tal senso, sentenza del 4 febbraio 2016, Ince, C-336/14, punto 68)."</w:t>
      </w:r>
    </w:p>
    <w:p w14:paraId="554FD65A"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6C171BE6" w14:textId="2B08C6DC">
      <w:pPr>
        <w:pStyle w:val="P68B1DB1-Normal13"/>
        <w:widowControl w:val="0"/>
        <w:autoSpaceDE w:val="0"/>
        <w:autoSpaceDN w:val="0"/>
        <w:spacing w:after="0" w:line="240" w:lineRule="auto"/>
        <w:jc w:val="both"/>
        <w:outlineLvl w:val="1"/>
      </w:pPr>
      <w:hyperlink r:id="rId107" w:history="1">
        <w:r>
          <w:rPr>
            <w:color w:val="0000FF"/>
            <w:u w:val="single"/>
          </w:rPr>
          <w:t xml:space="preserve">Sentenza della Corte di giustizia del 12 settembre 2019</w:t>
        </w:r>
      </w:hyperlink>
      <w:r>
        <w:t xml:space="preserve">, VG Media, C-299/17, punto 39.</w:t>
      </w:r>
      <w:bookmarkEnd w:id="189"/>
    </w:p>
    <w:p w14:paraId="4D9638D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70EAA48" w14:textId="672654D1">
      <w:pPr>
        <w:pStyle w:val="P68B1DB1-Normal14"/>
        <w:widowControl w:val="0"/>
        <w:tabs>
          <w:tab w:val="left" w:pos="396"/>
        </w:tabs>
        <w:autoSpaceDE w:val="0"/>
        <w:autoSpaceDN w:val="0"/>
        <w:spacing w:after="0" w:line="240" w:lineRule="auto"/>
        <w:jc w:val="both"/>
      </w:pPr>
      <w:r>
        <w:t xml:space="preserve">L'inapplicabilità di una "regola tecnica" non notificata può essere invocata nell'ambito di una controversia tra privati.</w:t>
      </w:r>
    </w:p>
    <w:p w14:paraId="28A74567" w14:textId="77777777">
      <w:pPr>
        <w:widowControl w:val="0"/>
        <w:tabs>
          <w:tab w:val="left" w:pos="396"/>
        </w:tabs>
        <w:autoSpaceDE w:val="0"/>
        <w:autoSpaceDN w:val="0"/>
        <w:spacing w:after="0" w:line="240" w:lineRule="auto"/>
        <w:jc w:val="both"/>
        <w:rPr>
          <w:rFonts w:ascii="Times New Roman" w:hAnsi="Times New Roman" w:cs="Times New Roman" w:eastAsia="Times New Roman"/>
          <w:szCs w:val="20"/>
        </w:rPr>
      </w:pPr>
    </w:p>
    <w:p w14:paraId="341E5191" w14:textId="072C374E">
      <w:pPr>
        <w:pStyle w:val="P68B1DB1-Normal15"/>
        <w:widowControl w:val="0"/>
        <w:tabs>
          <w:tab w:val="left" w:pos="396"/>
        </w:tabs>
        <w:autoSpaceDE w:val="0"/>
        <w:autoSpaceDN w:val="0"/>
        <w:spacing w:after="0" w:line="240" w:lineRule="auto"/>
        <w:ind w:left="567"/>
        <w:jc w:val="both"/>
        <w:rPr>
          <w:iCs/>
        </w:rPr>
      </w:pPr>
      <w:r>
        <w:t>"</w:t>
      </w:r>
      <w:bookmarkStart w:id="190" w:name="point39"/>
      <w:r>
        <w:t>39</w:t>
      </w:r>
      <w:bookmarkEnd w:id="190"/>
      <w:r>
        <w:t xml:space="preserve">. Nella misura in cui una regola, come quella di cui al procedimento principale, riguarda specificamente i servizi della società dell'informazione, il progetto di regola tecnica deve essere oggetto di previa notifica alla Commissione in virtù dell'articolo 8, paragrafo 1, della direttiva 98/34. In mancanza, secondo una giurisprudenza costante, l'inapplicabilità di una regola tecnica che non sia stata notificata conformemente a tale disposizione può essere fatta valere nell'ambito di una controversia tra privati (sentenza del 27 ottobre 2016, James Elliott Construction, C</w:t>
        <w:noBreakHyphen/>
        <w:t xml:space="preserve">613/14, iure, punto 64 e giurisprudenza ivi citata)".</w:t>
      </w:r>
    </w:p>
    <w:p w14:paraId="67343887" w14:textId="77777777">
      <w:pPr>
        <w:pStyle w:val="P68B1DB1-Normal16"/>
        <w:spacing w:after="0" w:line="240" w:lineRule="auto"/>
        <w:rPr>
          <w:i/>
          <w:iCs/>
        </w:rPr>
      </w:pPr>
      <w:r>
        <w:br w:type="page"/>
      </w:r>
    </w:p>
    <w:p w14:paraId="3EE7303A" w14:textId="250577BE">
      <w:pPr>
        <w:pStyle w:val="P68B1DB1-Heading24"/>
        <w:numPr>
          <w:ilvl w:val="0"/>
          <w:numId w:val="38"/>
        </w:numPr>
        <w:spacing w:before="0" w:after="0"/>
        <w:jc w:val="center"/>
        <w:rPr>
          <w:bCs/>
          <w:color w:val="auto"/>
        </w:rPr>
      </w:pPr>
      <w:bookmarkStart w:id="191" w:name="_Ref194485069"/>
      <w:bookmarkStart w:id="192" w:name="_Toc203035686"/>
      <w:r>
        <w:t xml:space="preserve">Inapplicabilità in caso di adozione durante il periodo di sospensione</w:t>
      </w:r>
      <w:bookmarkEnd w:id="191"/>
      <w:bookmarkEnd w:id="192"/>
    </w:p>
    <w:p w14:paraId="37876FE6" w14:textId="77777777">
      <w:pPr>
        <w:widowControl w:val="0"/>
        <w:tabs>
          <w:tab w:val="left" w:pos="396"/>
        </w:tabs>
        <w:autoSpaceDE w:val="0"/>
        <w:autoSpaceDN w:val="0"/>
        <w:spacing w:after="0" w:line="240" w:lineRule="auto"/>
        <w:ind w:left="567"/>
        <w:jc w:val="both"/>
        <w:rPr>
          <w:rFonts w:ascii="Times New Roman" w:hAnsi="Times New Roman" w:cs="Times New Roman" w:eastAsia="Times New Roman"/>
          <w:i/>
          <w:iCs/>
          <w:sz w:val="20"/>
          <w:szCs w:val="16"/>
        </w:rPr>
      </w:pPr>
    </w:p>
    <w:p w14:paraId="0D0639E5" w14:textId="5783481F">
      <w:pPr>
        <w:pStyle w:val="P68B1DB1-Normal13"/>
        <w:widowControl w:val="0"/>
        <w:autoSpaceDE w:val="0"/>
        <w:autoSpaceDN w:val="0"/>
        <w:spacing w:after="0" w:line="240" w:lineRule="auto"/>
        <w:jc w:val="both"/>
        <w:outlineLvl w:val="1"/>
      </w:pPr>
      <w:hyperlink r:id="rId108" w:history="1">
        <w:r>
          <w:rPr>
            <w:color w:val="0000FF"/>
            <w:u w:val="single"/>
          </w:rPr>
          <w:t xml:space="preserve">Sentenza della Corte di giustizia del 26 settembre 2000</w:t>
        </w:r>
      </w:hyperlink>
      <w:r>
        <w:t xml:space="preserve">, Unilever, C-443/98, punti 44 e 49.</w:t>
      </w:r>
      <w:bookmarkEnd w:id="193"/>
    </w:p>
    <w:p w14:paraId="42E7AF6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BBEE81D" w14:textId="01D7910A">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La violazione dell'obbligo di posticipare l'adozione di una "regola tecnica" costituisce un vizio procedurale sostanziale e la conseguente inapplicabilità può essere sollevata nell'ambito di un procedimento contenzioso in materia di diritto civile dei contratti.</w:t>
      </w:r>
    </w:p>
    <w:p w14:paraId="44D1FDCE" w14:textId="77777777">
      <w:pPr>
        <w:widowControl w:val="0"/>
        <w:autoSpaceDE w:val="0"/>
        <w:autoSpaceDN w:val="0"/>
        <w:spacing w:after="0" w:line="240" w:lineRule="auto"/>
        <w:jc w:val="both"/>
        <w:rPr>
          <w:rFonts w:ascii="Times New Roman" w:hAnsi="Times New Roman" w:cs="Times New Roman" w:eastAsia="Times New Roman"/>
          <w:szCs w:val="20"/>
        </w:rPr>
      </w:pPr>
    </w:p>
    <w:p w14:paraId="75DB8828" w14:textId="28728DEC">
      <w:pPr>
        <w:pStyle w:val="P68B1DB1-Normal15"/>
        <w:widowControl w:val="0"/>
        <w:autoSpaceDE w:val="0"/>
        <w:autoSpaceDN w:val="0"/>
        <w:spacing w:after="0"/>
        <w:ind w:left="567"/>
        <w:jc w:val="both"/>
      </w:pPr>
      <w:r>
        <w:t xml:space="preserve">"44. Sebbene, al punto 48 della sentenza CIA Security, dopo aver ricordato che la direttiva 83/189 aveva lo scopo di tutelare la libera circolazione delle merci mediante un controllo preventivo e che l'obbligo di notifica fosse essenziale per la realizzazione di tale controllo comunitario, la Corte ha constatato che l'efficacia di tale controllo sarebbe molto maggiore se la direttiva fosse interpretata nel senso che la violazione dell'obbligo di notifica costituiva un vizio procedurale sostanziale tale da rendere le regole tecniche di cui trattasi inapplicabili ai singoli, dalle considerazioni esposte ai punti da 40 a 43 della presente sentenza risulta che anche la violazione degli obblighi di rinvio dell'adozione di cui all'articolo 9 della direttiva 83/189 costituisce un vizio procedurale sostanziale tale da rendere inapplicabili le regole tecniche."</w:t>
      </w:r>
    </w:p>
    <w:p w14:paraId="02036EC1" w14:textId="77777777">
      <w:pPr>
        <w:widowControl w:val="0"/>
        <w:autoSpaceDE w:val="0"/>
        <w:autoSpaceDN w:val="0"/>
        <w:spacing w:after="0" w:line="240" w:lineRule="auto"/>
        <w:ind w:left="567"/>
        <w:jc w:val="both"/>
        <w:rPr>
          <w:rFonts w:ascii="Times New Roman" w:hAnsi="Times New Roman" w:cs="Times New Roman" w:eastAsia="Times New Roman"/>
          <w:i/>
          <w:iCs/>
          <w:sz w:val="20"/>
          <w:szCs w:val="16"/>
        </w:rPr>
      </w:pPr>
    </w:p>
    <w:p w14:paraId="58BC9E48" w14:textId="635AF4A5">
      <w:pPr>
        <w:pStyle w:val="P68B1DB1-Normal15"/>
        <w:widowControl w:val="0"/>
        <w:autoSpaceDE w:val="0"/>
        <w:autoSpaceDN w:val="0"/>
        <w:spacing w:after="0" w:line="240" w:lineRule="auto"/>
        <w:ind w:left="567"/>
        <w:jc w:val="both"/>
        <w:rPr>
          <w:iCs/>
        </w:rPr>
      </w:pPr>
      <w:r>
        <w:t xml:space="preserve">"49. Pertanto, dalla giurisprudenza della Corte risulta che l'inapplicabilità di una regola tecnica che non è stata notificata conformemente all'articolo 8 della direttiva 83/189 può essere invocata nell'ambito di una controversia tra privati per i motivi esposti ai punti da 40 a 43 della presente sentenza. Lo stesso vale per il mancato rispetto degli obblighi previsti dall'articolo 9 di tale direttiva e non è necessario, a tale riguardo, trattare le controversie tra privati in materia di concorrenza sleale in modo diverso, come nella causa CIA Security International, dalle controversie tra privati relative a diritti e obblighi di natura contrattuale, come nel procedimento principale."</w:t>
      </w:r>
    </w:p>
    <w:p w14:paraId="2398ED1C"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DE1608D" w14:textId="65CDF631">
      <w:pPr>
        <w:pStyle w:val="P68B1DB1-Normal13"/>
        <w:widowControl w:val="0"/>
        <w:autoSpaceDE w:val="0"/>
        <w:autoSpaceDN w:val="0"/>
        <w:spacing w:after="0" w:line="240" w:lineRule="auto"/>
        <w:jc w:val="both"/>
        <w:outlineLvl w:val="1"/>
      </w:pPr>
      <w:hyperlink r:id="rId109" w:history="1">
        <w:r>
          <w:rPr>
            <w:color w:val="0000FF"/>
            <w:u w:val="single"/>
          </w:rPr>
          <w:t xml:space="preserve">Sentenza della Corte di giustizia del 16 luglio 2015</w:t>
        </w:r>
      </w:hyperlink>
      <w:r>
        <w:t xml:space="preserve">, UNIC e Uni.co.pel, C-95/14, punti 29 e 30.</w:t>
      </w:r>
      <w:bookmarkEnd w:id="194"/>
    </w:p>
    <w:p w14:paraId="1A2641F5" w14:textId="77777777">
      <w:pPr>
        <w:pStyle w:val="P68B1DB1-Normal13"/>
        <w:widowControl w:val="0"/>
        <w:autoSpaceDE w:val="0"/>
        <w:autoSpaceDN w:val="0"/>
        <w:spacing w:after="0" w:line="240" w:lineRule="auto"/>
        <w:jc w:val="both"/>
        <w:outlineLvl w:val="1"/>
        <w:rPr>
          <w:color w:val="0000FF"/>
          <w:u w:val="single"/>
        </w:rPr>
      </w:pPr>
    </w:p>
    <w:p w14:paraId="6A41CA20" w14:textId="5D78CD99">
      <w:pPr>
        <w:pStyle w:val="P68B1DB1-Normal14"/>
        <w:widowControl w:val="0"/>
        <w:tabs>
          <w:tab w:val="left" w:pos="458"/>
        </w:tabs>
        <w:autoSpaceDE w:val="0"/>
        <w:autoSpaceDN w:val="0"/>
        <w:spacing w:after="0" w:line="240" w:lineRule="auto"/>
        <w:jc w:val="both"/>
      </w:pPr>
      <w:r>
        <w:t xml:space="preserve">Una "regola tecnica" non può essere applicata se non è stata notificata o se, pur essendo stata notificata, è stata adottata e attuata prima della scadenza del termine sospensivo. Il mancato rispetto di tale termine sospensivo costituisce un vizio procedurale sostanziale che rende inapplicabile e inopponibile ai singoli la "regola tecnica" di cui trattasi.</w:t>
      </w:r>
    </w:p>
    <w:p w14:paraId="78F423B5" w14:textId="77777777">
      <w:pPr>
        <w:widowControl w:val="0"/>
        <w:tabs>
          <w:tab w:val="left" w:pos="458"/>
        </w:tabs>
        <w:autoSpaceDE w:val="0"/>
        <w:autoSpaceDN w:val="0"/>
        <w:spacing w:after="0" w:line="240" w:lineRule="auto"/>
        <w:jc w:val="both"/>
        <w:rPr>
          <w:rFonts w:ascii="Times New Roman" w:hAnsi="Times New Roman" w:cs="Times New Roman" w:eastAsia="Times New Roman"/>
          <w:szCs w:val="20"/>
        </w:rPr>
      </w:pPr>
    </w:p>
    <w:p w14:paraId="671D359F" w14:textId="02315FA1">
      <w:pPr>
        <w:pStyle w:val="P68B1DB1-Normal15"/>
        <w:widowControl w:val="0"/>
        <w:tabs>
          <w:tab w:val="left" w:pos="413"/>
        </w:tabs>
        <w:autoSpaceDE w:val="0"/>
        <w:autoSpaceDN w:val="0"/>
        <w:spacing w:after="0" w:line="240" w:lineRule="auto"/>
        <w:ind w:left="567"/>
        <w:jc w:val="both"/>
      </w:pPr>
      <w:r>
        <w:t xml:space="preserve">"29. A tal riguardo, occorre rilevare che una regola tecnica non può essere applicata se non è stata notificata conformemente all'articolo 8, paragrafo 1, della direttiva 98/34 o se, pur essendo stata notificata, è stata adottata e attuata prima della scadenza del termine sospensivo di tre mesi previsto dall'articolo 9, paragrafo 1, di tale direttiva (v. sentenze CIA Security International, C-194/94, punti 41, 44 e 54, e Unilever, C-443/98, punto 49).</w:t>
      </w:r>
    </w:p>
    <w:p w14:paraId="669F0D65" w14:textId="77777777">
      <w:pPr>
        <w:pStyle w:val="P68B1DB1-Normal15"/>
        <w:widowControl w:val="0"/>
        <w:tabs>
          <w:tab w:val="left" w:pos="413"/>
        </w:tabs>
        <w:autoSpaceDE w:val="0"/>
        <w:autoSpaceDN w:val="0"/>
        <w:spacing w:after="0" w:line="240" w:lineRule="auto"/>
        <w:ind w:left="567"/>
        <w:jc w:val="both"/>
      </w:pPr>
    </w:p>
    <w:p w14:paraId="6F40553C" w14:textId="5546CC32">
      <w:pPr>
        <w:pStyle w:val="P68B1DB1-Normal15"/>
        <w:widowControl w:val="0"/>
        <w:tabs>
          <w:tab w:val="left" w:pos="413"/>
        </w:tabs>
        <w:autoSpaceDE w:val="0"/>
        <w:autoSpaceDN w:val="0"/>
        <w:spacing w:after="0" w:line="240" w:lineRule="auto"/>
        <w:ind w:left="567"/>
        <w:jc w:val="both"/>
        <w:rPr>
          <w:iCs/>
        </w:rPr>
      </w:pPr>
      <w:r>
        <w:t xml:space="preserve">30. Di conseguenza, nel procedimento principale, spetta al giudice del rinvio verificare se la legge n. 8/2013 sia entrata in vigore senza rispettare il termine sospensivo richiesto dall'articolo 9 della direttiva 98/34. In caso affermativo, la violazione di detto termine costituisce un vizio sostanziale di procedura tale da comportare l'inapplicabilità della regola tecnica in questione. Come rilevato dall'avvocato generale ai paragrafi da 44 a 47 delle sue conclusioni, l'articolo 3, paragrafo 2, della legge n. 8/2103 sarebbe, in tal caso, inopponibile ai singoli."</w:t>
      </w:r>
    </w:p>
    <w:p w14:paraId="6059C0DE"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23CFB923" w14:textId="1D33D9D9">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10" w:history="1">
        <w:r>
          <w:rPr>
            <w:rStyle w:val="Hyperlink"/>
            <w:rFonts w:ascii="Times New Roman" w:hAnsi="Times New Roman" w:cs="Times New Roman" w:eastAsia="Times New Roman"/>
            <w:b/>
            <w:i/>
            <w:color w:val="0000FF"/>
            <w:szCs w:val="20"/>
          </w:rPr>
          <w:t xml:space="preserve">Sentenza della Corte di giustizia del 21 dicembre 2023</w:t>
        </w:r>
      </w:hyperlink>
      <w:r>
        <w:rPr>
          <w:rFonts w:ascii="Times New Roman" w:hAnsi="Times New Roman" w:cs="Times New Roman" w:eastAsia="Times New Roman"/>
          <w:b/>
          <w:i/>
          <w:szCs w:val="20"/>
        </w:rPr>
        <w:t xml:space="preserve">, Papier Mettler Italia, C-86/22, punti 48 e 51.</w:t>
      </w:r>
      <w:bookmarkEnd w:id="195"/>
    </w:p>
    <w:p w14:paraId="72FE2D2F"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C184A21" w14:textId="5074D777">
      <w:pPr>
        <w:pStyle w:val="P68B1DB1-Normal17"/>
        <w:widowControl w:val="0"/>
        <w:autoSpaceDE w:val="0"/>
        <w:autoSpaceDN w:val="0"/>
        <w:spacing w:after="0" w:line="240" w:lineRule="auto"/>
        <w:jc w:val="both"/>
      </w:pPr>
      <w:r>
        <w:t xml:space="preserve">L'adozione di un progetto di "regola tecnica" sei giorni dopo la sua notifica è contraria alla direttiva.</w:t>
      </w:r>
    </w:p>
    <w:p w14:paraId="6AE096BF" w14:textId="77777777">
      <w:pPr>
        <w:widowControl w:val="0"/>
        <w:autoSpaceDE w:val="0"/>
        <w:autoSpaceDN w:val="0"/>
        <w:spacing w:after="0" w:line="240" w:lineRule="auto"/>
        <w:jc w:val="both"/>
        <w:rPr>
          <w:rFonts w:ascii="Times New Roman" w:hAnsi="Times New Roman" w:cs="Times New Roman" w:eastAsia="Times New Roman"/>
        </w:rPr>
      </w:pPr>
    </w:p>
    <w:p w14:paraId="49072627" w14:textId="0533C648">
      <w:pPr>
        <w:pStyle w:val="P68B1DB1-Normal17"/>
        <w:widowControl w:val="0"/>
        <w:autoSpaceDE w:val="0"/>
        <w:autoSpaceDN w:val="0"/>
        <w:spacing w:after="0" w:line="240" w:lineRule="auto"/>
        <w:jc w:val="both"/>
      </w:pPr>
      <w:r>
        <w:t xml:space="preserve">Le clausole che subordinano l'entrata in vigore di una legislazione all'assenza di reazioni da parte della Commissione in merito a tale legislazione ("clausole sospensive") sono contrarie alla direttiva in quanto l'adozione di tale legislazione non consente di tener conto delle opinioni degli altri Stati membri e viola il principio della certezza del diritto. </w:t>
      </w:r>
    </w:p>
    <w:p w14:paraId="324F8208"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2F3C3AE8" w14:textId="66B8593F">
      <w:pPr>
        <w:pStyle w:val="P68B1DB1-Normal15"/>
        <w:widowControl w:val="0"/>
        <w:autoSpaceDE w:val="0"/>
        <w:autoSpaceDN w:val="0"/>
        <w:spacing w:after="0" w:line="240" w:lineRule="auto"/>
        <w:ind w:left="567"/>
        <w:jc w:val="both"/>
        <w:outlineLvl w:val="1"/>
        <w:rPr>
          <w:iCs/>
        </w:rPr>
      </w:pPr>
      <w:bookmarkStart w:id="196" w:name="_Toc198043912"/>
      <w:r>
        <w:t>"</w:t>
      </w:r>
      <w:bookmarkStart w:id="197" w:name="point48"/>
      <w:r>
        <w:t>48</w:t>
      </w:r>
      <w:bookmarkEnd w:id="197"/>
      <w:r>
        <w:t xml:space="preserve">. In secondo luogo, l'adozione del decreto di cui trattasi nel procedimento principale entro sei giorni dalla sua notifica alla Commissione ai sensi dell'articolo 8, paragrafo 1, di tale direttiva viola altresì l'obbligo previsto all'articolo 9, paragrafo 1, di quest'ultima, in forza del quale gli Stati membri rinviano l'adozione di un "progetto di regola tecnica" di tre mesi a decorrere dalla data in cui la Commissione ha ricevuto la comunicazione di cui all'articolo 8, paragrafo 1, di tale direttiva."</w:t>
      </w:r>
      <w:bookmarkEnd w:id="196"/>
    </w:p>
    <w:p w14:paraId="34ACB37E" w14:textId="77777777">
      <w:pPr>
        <w:widowControl w:val="0"/>
        <w:autoSpaceDE w:val="0"/>
        <w:autoSpaceDN w:val="0"/>
        <w:spacing w:after="0" w:line="240" w:lineRule="auto"/>
        <w:ind w:left="567"/>
        <w:jc w:val="both"/>
        <w:outlineLvl w:val="1"/>
      </w:pPr>
    </w:p>
    <w:p w14:paraId="14BB6DC8" w14:textId="1355B8C7">
      <w:pPr>
        <w:pStyle w:val="P68B1DB1-Normal15"/>
        <w:widowControl w:val="0"/>
        <w:autoSpaceDE w:val="0"/>
        <w:autoSpaceDN w:val="0"/>
        <w:spacing w:after="0" w:line="240" w:lineRule="auto"/>
        <w:ind w:left="567"/>
        <w:jc w:val="both"/>
        <w:rPr>
          <w:iCs/>
        </w:rPr>
      </w:pPr>
      <w:r>
        <w:t>"</w:t>
      </w:r>
      <w:bookmarkStart w:id="198" w:name="point51"/>
      <w:r>
        <w:t>51</w:t>
      </w:r>
      <w:bookmarkEnd w:id="198"/>
      <w:r>
        <w:t xml:space="preserve">. Dall'altro lato, detto governo sostiene che l'entrata in vigore del decreto di cui trattasi nel procedimento principale sarebbe stata subordinata, in forza dell'articolo 6 di quest'ultimo, alla condizione della conclusione con "esito favorevole" della procedura di comunicazione avviata il 12 marzo 2013 sul fondamento dell'articolo 8, paragrafo 1, della direttiva 98/34. Orbene, detta Procedura non avrebbe avuto un tale esito, dal momento che la Commissione non avrebbe emesso alcun parere in merito a detto decreto. Tale argomento deve essere respinto in quanto, da un lato, l'adozione e la pubblicazione di tale decreto sono di per sé idonee a produrre determinati effetti sulla libera circolazione delle merci di cui trattasi; in secondo luogo, esse non avrebbero consentito di tener conto delle osservazioni e dei pareri circostanziati emessi dal Regno dei Paesi Bassi, dal Regno di Svezia e dal Regno Unito di Gran Bretagna e Irlanda del Nord; in terzo luogo, come rilevato dall'avvocato generale al paragrafo 52 delle sue conclusioni, esse costituiscono una tecnica legislativa incompatibile con il principio della certezza del diritto".</w:t>
      </w:r>
    </w:p>
    <w:p w14:paraId="4AC163BF" w14:textId="77777777">
      <w:pPr>
        <w:pStyle w:val="P68B1DB1-Normal16"/>
        <w:spacing w:after="0" w:line="240" w:lineRule="auto"/>
        <w:rPr>
          <w:i/>
          <w:iCs/>
        </w:rPr>
      </w:pPr>
      <w:r>
        <w:br w:type="page"/>
      </w:r>
    </w:p>
    <w:p w14:paraId="781C6309" w14:textId="325A6AD3">
      <w:pPr>
        <w:pStyle w:val="P68B1DB1-Heading24"/>
        <w:numPr>
          <w:ilvl w:val="0"/>
          <w:numId w:val="38"/>
        </w:numPr>
        <w:spacing w:before="0" w:after="0"/>
        <w:jc w:val="center"/>
        <w:rPr>
          <w:bCs/>
          <w:color w:val="auto"/>
        </w:rPr>
      </w:pPr>
      <w:bookmarkStart w:id="199" w:name="_Ref194485197"/>
      <w:bookmarkStart w:id="200" w:name="_Toc203035687"/>
      <w:r>
        <w:t xml:space="preserve">Chiarimento in merito all'effetto dell'inapplicabilità</w:t>
      </w:r>
      <w:bookmarkEnd w:id="199"/>
      <w:bookmarkEnd w:id="200"/>
    </w:p>
    <w:p w14:paraId="606EC11D" w14:textId="756F529E">
      <w:pPr>
        <w:pStyle w:val="P68B1DB1-Normal15"/>
        <w:widowControl w:val="0"/>
        <w:autoSpaceDE w:val="0"/>
        <w:autoSpaceDN w:val="0"/>
        <w:spacing w:after="0" w:line="240" w:lineRule="auto"/>
        <w:ind w:left="567"/>
        <w:jc w:val="both"/>
        <w:rPr>
          <w:iCs/>
        </w:rPr>
      </w:pPr>
      <w:r>
        <w:t xml:space="preserve">          </w:t>
      </w:r>
    </w:p>
    <w:p w14:paraId="7D2667CD" w14:textId="02A04B70">
      <w:pPr>
        <w:pStyle w:val="P68B1DB1-Normal13"/>
        <w:widowControl w:val="0"/>
        <w:autoSpaceDE w:val="0"/>
        <w:autoSpaceDN w:val="0"/>
        <w:spacing w:after="0" w:line="240" w:lineRule="auto"/>
        <w:jc w:val="both"/>
        <w:outlineLvl w:val="1"/>
      </w:pPr>
      <w:hyperlink r:id="rId111" w:anchor="ctx1" w:history="1">
        <w:r>
          <w:rPr>
            <w:color w:val="0000FF"/>
            <w:u w:val="single"/>
          </w:rPr>
          <w:t xml:space="preserve">Sentenza della Corte di giustizia dell'11 giugno 2015</w:t>
        </w:r>
      </w:hyperlink>
      <w:r>
        <w:t xml:space="preserve">, Berlington Hungary e altri, C-98/14, punti 108 e 109.</w:t>
      </w:r>
      <w:bookmarkEnd w:id="201"/>
    </w:p>
    <w:p w14:paraId="45692878"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568A195" w14:textId="7B49416F">
      <w:pPr>
        <w:widowControl w:val="0"/>
        <w:tabs>
          <w:tab w:val="left" w:pos="416"/>
        </w:tabs>
        <w:autoSpaceDE w:val="0"/>
        <w:autoSpaceDN w:val="0"/>
        <w:spacing w:after="0" w:line="240" w:lineRule="auto"/>
        <w:jc w:val="both"/>
        <w:rPr>
          <w:rFonts w:ascii="Times New Roman" w:hAnsi="Times New Roman" w:cs="Times New Roman" w:eastAsia="Times New Roman"/>
          <w:szCs w:val="20"/>
        </w:rPr>
        <w:pStyle w:val="P68B1DB1-Normal14"/>
      </w:pPr>
      <w:r>
        <w:t xml:space="preserve">Gli obblighi di notifica e di sospensione non sono intesi a conferire diritti ai singoli. Di conseguenza, la loro violazione da parte di uno Stato membro non conferisce ai singoli, in forza del diritto dell'Unione, il diritto di chiedere a tale Stato membro il risarcimento dei danni che ne derivano.</w:t>
      </w:r>
    </w:p>
    <w:p w14:paraId="3D1B5CA6" w14:textId="77777777">
      <w:pPr>
        <w:widowControl w:val="0"/>
        <w:tabs>
          <w:tab w:val="left" w:pos="416"/>
        </w:tabs>
        <w:autoSpaceDE w:val="0"/>
        <w:autoSpaceDN w:val="0"/>
        <w:spacing w:after="0" w:line="240" w:lineRule="auto"/>
        <w:jc w:val="both"/>
        <w:rPr>
          <w:rFonts w:ascii="Times New Roman" w:hAnsi="Times New Roman" w:cs="Times New Roman" w:eastAsia="Times New Roman"/>
          <w:szCs w:val="20"/>
        </w:rPr>
      </w:pPr>
    </w:p>
    <w:p w14:paraId="689BAE8B" w14:textId="2C62B4CE">
      <w:pPr>
        <w:pStyle w:val="P68B1DB1-Normal15"/>
        <w:widowControl w:val="0"/>
        <w:tabs>
          <w:tab w:val="left" w:pos="416"/>
        </w:tabs>
        <w:autoSpaceDE w:val="0"/>
        <w:autoSpaceDN w:val="0"/>
        <w:spacing w:after="0" w:line="240" w:lineRule="auto"/>
        <w:ind w:left="567"/>
        <w:jc w:val="both"/>
      </w:pPr>
      <w:r>
        <w:t xml:space="preserve">"108. A tal riguardo, dalla giurisprudenza risulta che, sebbene la direttiva 98/34 miri a garantire la libera circolazione delle merci organizzando un controllo preventivo la cui efficacia esige la disapplicazione, nell'ambito di una controversia tra privati, di una misura nazionale adottata in violazione degli articoli 8 e 9 della stessa, tale direttiva non definisce in alcun modo la portata sostanziale della norma giuridica sulla base della quale il giudice nazionale deve dirimere la controversia di cui è investito. Pertanto, tale direttiva non crea né diritti né obblighi per i singoli (sentenza Unilever, C-443/98, ecueil punto 51).</w:t>
      </w:r>
    </w:p>
    <w:p w14:paraId="3783F5A5" w14:textId="77777777">
      <w:pPr>
        <w:pStyle w:val="P68B1DB1-Normal15"/>
        <w:widowControl w:val="0"/>
        <w:tabs>
          <w:tab w:val="left" w:pos="416"/>
        </w:tabs>
        <w:autoSpaceDE w:val="0"/>
        <w:autoSpaceDN w:val="0"/>
        <w:spacing w:after="0" w:line="240" w:lineRule="auto"/>
        <w:ind w:left="567"/>
        <w:jc w:val="both"/>
      </w:pPr>
    </w:p>
    <w:p w14:paraId="6B92FF8B" w14:textId="78BC6D0C">
      <w:pPr>
        <w:pStyle w:val="P68B1DB1-Normal15"/>
        <w:widowControl w:val="0"/>
        <w:tabs>
          <w:tab w:val="left" w:pos="416"/>
        </w:tabs>
        <w:autoSpaceDE w:val="0"/>
        <w:autoSpaceDN w:val="0"/>
        <w:spacing w:after="0" w:line="240" w:lineRule="auto"/>
        <w:ind w:left="567"/>
        <w:jc w:val="both"/>
        <w:rPr>
          <w:iCs/>
        </w:rPr>
      </w:pPr>
      <w:r>
        <w:t xml:space="preserve">109. In tali circostanze, si deve constatare che la prima delle condizioni elencate al punto 104 non è soddisfatta, cosicché i singoli non possono invocare la violazione degli articoli 8 e 9 di tale direttiva per far valere la responsabilità dello Stato membro interessato sulla base del diritto dell'Unione."</w:t>
      </w:r>
    </w:p>
    <w:p w14:paraId="73CEA11C" w14:textId="62A8886A">
      <w:pPr>
        <w:pStyle w:val="P68B1DB1-Normal29"/>
        <w:spacing w:after="0" w:line="240" w:lineRule="auto"/>
        <w:rPr>
          <w:i/>
          <w:iCs/>
        </w:rPr>
      </w:pPr>
      <w:r>
        <w:br w:type="page"/>
      </w:r>
    </w:p>
    <w:p w14:paraId="1EE58DB8" w14:textId="063FB854">
      <w:pPr>
        <w:pStyle w:val="P68B1DB1-Heading24"/>
        <w:numPr>
          <w:ilvl w:val="0"/>
          <w:numId w:val="38"/>
        </w:numPr>
        <w:spacing w:before="0" w:after="0"/>
        <w:jc w:val="center"/>
        <w:rPr>
          <w:bCs/>
          <w:color w:val="auto"/>
        </w:rPr>
      </w:pPr>
      <w:bookmarkStart w:id="202" w:name="_Ref194943555"/>
      <w:bookmarkStart w:id="203" w:name="_Toc198043914"/>
      <w:bookmarkStart w:id="204" w:name="_Toc203035688"/>
      <w:r>
        <w:t xml:space="preserve">Procedura di infrazione</w:t>
      </w:r>
      <w:bookmarkEnd w:id="202"/>
      <w:bookmarkEnd w:id="203"/>
      <w:bookmarkEnd w:id="204"/>
    </w:p>
    <w:p w14:paraId="7CCCC140"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2B64A1E" w14:textId="69A5682B">
      <w:pPr>
        <w:pStyle w:val="P68B1DB1-Normal13"/>
        <w:widowControl w:val="0"/>
        <w:autoSpaceDE w:val="0"/>
        <w:autoSpaceDN w:val="0"/>
        <w:spacing w:after="0" w:line="240" w:lineRule="auto"/>
        <w:jc w:val="both"/>
        <w:outlineLvl w:val="1"/>
      </w:pPr>
      <w:hyperlink r:id="rId112" w:history="1">
        <w:r>
          <w:rPr>
            <w:color w:val="0000FF"/>
            <w:u w:val="single"/>
          </w:rPr>
          <w:t xml:space="preserve">Sentenza della Corte di giustizia del 4 giugno 2009</w:t>
        </w:r>
      </w:hyperlink>
      <w:r>
        <w:t xml:space="preserve">, Commissione/Grecia, C-109/08, punti da 14 a 17.</w:t>
      </w:r>
      <w:bookmarkEnd w:id="205"/>
    </w:p>
    <w:p w14:paraId="764614BF" w14:textId="77777777">
      <w:pPr>
        <w:widowControl w:val="0"/>
        <w:autoSpaceDE w:val="0"/>
        <w:autoSpaceDN w:val="0"/>
        <w:spacing w:after="0" w:line="240" w:lineRule="auto"/>
        <w:jc w:val="both"/>
        <w:rPr>
          <w:rFonts w:ascii="Times New Roman" w:hAnsi="Times New Roman" w:cs="Times New Roman" w:eastAsia="Times New Roman"/>
          <w:szCs w:val="20"/>
        </w:rPr>
      </w:pPr>
    </w:p>
    <w:p w14:paraId="2AE57DC7" w14:textId="4EB830F5">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Una sentenza della Corte che constata un inadempimento dell'obbligo di notifica deve essere eseguita immediatamente al fine di garantire l'applicazione uniforme del diritto dell'Unione. La questione se vi sia stata una siffatta violazione ai sensi dell'articolo 228 CE è valutata alla scadenza del termine fissato nel parere motivato. Nel caso di specie, poiché la Grecia non ha adottato alcuna misura prima della scadenza del termine impartito, essa è venuta meno agli obblighi ad essa incombenti in forza dell'articolo 228, paragrafo 1, CE.</w:t>
      </w:r>
    </w:p>
    <w:p w14:paraId="09B61ED9" w14:textId="77777777">
      <w:pPr>
        <w:widowControl w:val="0"/>
        <w:autoSpaceDE w:val="0"/>
        <w:autoSpaceDN w:val="0"/>
        <w:spacing w:after="0" w:line="240" w:lineRule="auto"/>
        <w:jc w:val="both"/>
        <w:rPr>
          <w:rFonts w:ascii="Times New Roman" w:hAnsi="Times New Roman" w:cs="Times New Roman" w:eastAsia="Times New Roman"/>
          <w:szCs w:val="20"/>
        </w:rPr>
      </w:pPr>
    </w:p>
    <w:p w14:paraId="387679BD" w14:textId="0C49733C">
      <w:pPr>
        <w:spacing w:after="0" w:line="240" w:lineRule="auto"/>
        <w:ind w:left="567"/>
        <w:jc w:val="both"/>
        <w:rPr>
          <w:rFonts w:ascii="Times New Roman" w:hAnsi="Times New Roman" w:cs="Times New Roman"/>
          <w:i/>
          <w:iCs/>
          <w:sz w:val="20"/>
          <w:szCs w:val="20"/>
        </w:rPr>
        <w:pStyle w:val="P68B1DB1-Normal20"/>
      </w:pPr>
      <w:r>
        <w:t>"</w:t>
      </w:r>
      <w:bookmarkStart w:id="206" w:name="point14"/>
      <w:r>
        <w:t>14</w:t>
      </w:r>
      <w:bookmarkEnd w:id="206"/>
      <w:r>
        <w:t xml:space="preserve">. Sebbene l'articolo 228 CE non specifichi il termine entro il quale deve essere eseguita la sentenza della Corte che accerta l'inadempimento di uno Stato membro, da una giurisprudenza costante risulta che l'importanza dell'applicazione immediata e uniforme del diritto comunitario implica che il processo di esecuzione debba iniziare immediatamente e concludersi nel più breve tempo possibile (v., in particolare, sentenza 2008</w:t>
        <w:noBreakHyphen/>
        <w:t xml:space="preserve">luglio 0000, causa C-121/07, Commissione/Francia, non ancora pubblicata nella Raccolta, punto 21</w:t>
        <w:noBreakHyphen/>
        <w:t xml:space="preserve">e giurisprudenza ivi citata).</w:t>
      </w:r>
    </w:p>
    <w:p w14:paraId="79FE7B6A" w14:textId="77777777">
      <w:pPr>
        <w:spacing w:after="0" w:line="240" w:lineRule="auto"/>
        <w:ind w:left="567"/>
        <w:jc w:val="both"/>
        <w:rPr>
          <w:rFonts w:ascii="Times New Roman" w:hAnsi="Times New Roman" w:cs="Times New Roman"/>
          <w:i/>
          <w:iCs/>
          <w:sz w:val="20"/>
          <w:szCs w:val="20"/>
        </w:rPr>
      </w:pPr>
    </w:p>
    <w:p w14:paraId="34290D7F" w14:textId="2B2B8F25">
      <w:pPr>
        <w:spacing w:after="0" w:line="240" w:lineRule="auto"/>
        <w:ind w:left="567"/>
        <w:jc w:val="both"/>
        <w:rPr>
          <w:rFonts w:ascii="Times New Roman" w:hAnsi="Times New Roman" w:cs="Times New Roman"/>
          <w:i/>
          <w:iCs/>
          <w:sz w:val="20"/>
          <w:szCs w:val="20"/>
        </w:rPr>
        <w:pStyle w:val="P68B1DB1-Normal20"/>
      </w:pPr>
      <w:bookmarkStart w:id="207" w:name="point15"/>
      <w:r>
        <w:t>15</w:t>
      </w:r>
      <w:bookmarkEnd w:id="207"/>
      <w:r>
        <w:t xml:space="preserve">. Inoltre, la data di riferimento per valutare l'esistenza di un inadempimento ai sensi dell'articolo 228 CE è la data di scadenza del termine impartito nel parere motivato emesso ai sensi di tale disposizione (v., in particolare, sentenza 2007</w:t>
        <w:noBreakHyphen/>
        <w:t xml:space="preserve">giugno 6153, causa 503/04</w:t>
        <w:noBreakHyphen/>
        <w:t xml:space="preserve">, Commissione/Germania, non ancora pubblicata nella Raccolta, punto 19 e</w:t>
        <w:noBreakHyphen/>
        <w:t xml:space="preserve">giurisprudenza ivi citata).</w:t>
      </w:r>
    </w:p>
    <w:p w14:paraId="473BFE9F" w14:textId="77777777">
      <w:pPr>
        <w:spacing w:after="0" w:line="240" w:lineRule="auto"/>
        <w:ind w:left="567"/>
        <w:jc w:val="both"/>
        <w:rPr>
          <w:rFonts w:ascii="Times New Roman" w:hAnsi="Times New Roman" w:cs="Times New Roman"/>
          <w:i/>
          <w:iCs/>
          <w:sz w:val="20"/>
          <w:szCs w:val="20"/>
        </w:rPr>
      </w:pPr>
    </w:p>
    <w:p w14:paraId="25F77FB4" w14:textId="525C8130">
      <w:pPr>
        <w:spacing w:after="0" w:line="240" w:lineRule="auto"/>
        <w:ind w:left="567"/>
        <w:jc w:val="both"/>
        <w:rPr>
          <w:rFonts w:ascii="Times New Roman" w:hAnsi="Times New Roman" w:cs="Times New Roman"/>
          <w:i/>
          <w:iCs/>
          <w:sz w:val="20"/>
          <w:szCs w:val="20"/>
        </w:rPr>
        <w:pStyle w:val="P68B1DB1-Normal20"/>
      </w:pPr>
      <w:bookmarkStart w:id="208" w:name="point16"/>
      <w:r>
        <w:t>16</w:t>
      </w:r>
      <w:bookmarkEnd w:id="208"/>
      <w:r>
        <w:t xml:space="preserve">. Nel caso di specie, è del tutto evidente che, alla data di scadenza del termine di due mesi fissato nel parere motivato del 29 giugno 2007, la Repubblica ellenica non aveva adottato alcuna delle misure necessarie per conformarsi alla sentenza Commissione/Grecia (</w:t>
        <w:noBreakHyphen/>
        <w:t xml:space="preserve">65/05), dal momento che il progetto di un primo provvedimento diretto all'esecuzione di tale sentenza è stato notificato alla Commissione solo il 7 maggio 2008.</w:t>
      </w:r>
    </w:p>
    <w:p w14:paraId="42C25375" w14:textId="77777777">
      <w:pPr>
        <w:spacing w:after="0" w:line="240" w:lineRule="auto"/>
        <w:ind w:left="567"/>
        <w:jc w:val="both"/>
        <w:rPr>
          <w:rFonts w:ascii="Times New Roman" w:hAnsi="Times New Roman" w:cs="Times New Roman"/>
          <w:i/>
          <w:iCs/>
          <w:sz w:val="20"/>
          <w:szCs w:val="20"/>
        </w:rPr>
      </w:pPr>
    </w:p>
    <w:p w14:paraId="4F21B78F" w14:textId="2C79CD2A">
      <w:pPr>
        <w:spacing w:after="0" w:line="240" w:lineRule="auto"/>
        <w:ind w:left="567"/>
        <w:jc w:val="both"/>
        <w:rPr>
          <w:rFonts w:ascii="Times New Roman" w:hAnsi="Times New Roman" w:cs="Times New Roman"/>
          <w:i/>
          <w:iCs/>
          <w:sz w:val="20"/>
          <w:szCs w:val="20"/>
        </w:rPr>
        <w:pStyle w:val="P68B1DB1-Normal20"/>
      </w:pPr>
      <w:bookmarkStart w:id="209" w:name="point17"/>
      <w:r>
        <w:t>17</w:t>
      </w:r>
      <w:bookmarkEnd w:id="209"/>
      <w:r>
        <w:t xml:space="preserve">. Ciò premesso, si deve dichiarare che, come essa stessa riconosce, la Repubblica ellenica è venuta meno agli obblighi ad essa incombenti in forza dell'articolo 228, paragrafo 1, CE".</w:t>
      </w:r>
    </w:p>
    <w:sectPr>
      <w:headerReference w:type="even" r:id="rId113"/>
      <w:headerReference w:type="default" r:id="rId114"/>
      <w:footerReference w:type="even" r:id="rId115"/>
      <w:footerReference w:type="default" r:id="rId116"/>
      <w:headerReference w:type="first" r:id="rId117"/>
      <w:footerReference w:type="first" r:id="rId1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82E30" w14:textId="77777777">
      <w:pPr>
        <w:spacing w:after="0" w:line="240" w:lineRule="auto"/>
      </w:pPr>
      <w:r>
        <w:separator/>
      </w:r>
    </w:p>
  </w:endnote>
  <w:endnote w:type="continuationSeparator" w:id="0">
    <w:p w14:paraId="42F9C42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76B0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162115"/>
      <w:docPartObj>
        <w:docPartGallery w:val="Page Numbers (Bottom of Page)"/>
        <w:docPartUnique/>
      </w:docPartObj>
    </w:sdtPr>
    <w:sdtEndPr>
      <w:rPr>
        <w:noProof/>
      </w:rPr>
    </w:sdtEndPr>
    <w:sdtContent>
      <w:p w14:paraId="169A474F" w14:textId="1212D73C">
        <w:pPr>
          <w:pStyle w:val="Footer"/>
          <w:jc w:val="center"/>
        </w:pPr>
        <w:r>
          <w:fldChar w:fldCharType="begin"/>
        </w:r>
        <w:r>
          <w:instrText xml:space="preserve"> PAGE   \* MERGEFORMAT </w:instrText>
        </w:r>
        <w:r>
          <w:fldChar w:fldCharType="separate"/>
        </w:r>
        <w:r>
          <w:t>2</w:t>
        </w:r>
        <w:r>
          <w:fldChar w:fldCharType="end"/>
        </w:r>
      </w:p>
    </w:sdtContent>
  </w:sdt>
  <w:p w14:paraId="3E6C886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916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3A389" w14:textId="77777777">
      <w:pPr>
        <w:spacing w:after="0" w:line="240" w:lineRule="auto"/>
      </w:pPr>
      <w:r>
        <w:separator/>
      </w:r>
    </w:p>
  </w:footnote>
  <w:footnote w:type="continuationSeparator" w:id="0">
    <w:p w14:paraId="415CF120" w14:textId="77777777">
      <w:pPr>
        <w:spacing w:after="0" w:line="240" w:lineRule="auto"/>
      </w:pPr>
      <w:r>
        <w:continuationSeparator/>
      </w:r>
    </w:p>
  </w:footnote>
  <w:footnote w:id="1">
    <w:p w14:paraId="1FA0C861" w14:textId="399A73E6">
      <w:pPr>
        <w:pStyle w:val="FootnoteText"/>
        <w:jc w:val="both"/>
        <w:rPr>
          <w:rFonts w:ascii="Times New Roman" w:hAnsi="Times New Roman" w:cs="Times New Roman"/>
          <w:i/>
          <w:iCs/>
          <w:sz w:val="18"/>
          <w:szCs w:val="18"/>
        </w:rPr>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Il confronto tra la direttiva 2015/1535 e la direttiva 83/189/CEE si basa sugli atti originari non modificati, mentre il confronto della direttiva 98/34/CE si basa sulla versione modificata dalla direttiva 98/48/CE del 20 luglio 1998.</w:t>
      </w:r>
    </w:p>
  </w:footnote>
  <w:footnote w:id="2">
    <w:p w14:paraId="76340588" w14:textId="755D0E80">
      <w:pPr>
        <w:pStyle w:val="FootnoteText"/>
        <w:jc w:val="both"/>
        <w:rPr>
          <w:rFonts w:ascii="Times New Roman" w:hAnsi="Times New Roman" w:cs="Times New Roman"/>
          <w:i/>
          <w:iCs/>
          <w:sz w:val="18"/>
          <w:szCs w:val="18"/>
        </w:rPr>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Direttiva (UE) 2015/1535 del Parlamento europeo e del Consiglio, del 9 settembre 2015, che prevede una procedura d'informazione nel settore delle regolamentazioni tecniche e delle regole relative ai servizi della società dell'informazione (codificazione)</w:t>
      </w:r>
    </w:p>
  </w:footnote>
  <w:footnote w:id="3">
    <w:p w14:paraId="44C51982" w14:textId="0D8DBE21">
      <w:pPr>
        <w:pStyle w:val="FootnoteText"/>
        <w:jc w:val="both"/>
        <w:rPr>
          <w:rFonts w:ascii="Times New Roman" w:hAnsi="Times New Roman" w:cs="Times New Roman"/>
          <w:i/>
          <w:iCs/>
          <w:sz w:val="18"/>
          <w:szCs w:val="18"/>
        </w:rPr>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Direttiva 98/34/CE del Parlamento europeo e del Consiglio, del 22 giugno 1998, che prevede una procedura d'informazione nel settore delle norme e delle regolamentazioni tecniche, modificata dalla direttiva 98/48/CE del 20 luglio 1998 (comprese le regole relative ai servizi)</w:t>
      </w:r>
    </w:p>
  </w:footnote>
  <w:footnote w:id="4">
    <w:p w14:paraId="587067AB" w14:textId="06FBABC3">
      <w:pPr>
        <w:pStyle w:val="FootnoteText"/>
        <w:jc w:val="both"/>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Direttiva 83/189/CEE del Consiglio, del 28 marzo 1983, che prevede una procedura d'informazione nel settore delle norme e delle regolamentazioni tecniche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FD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9FF6" w14:textId="236766A6">
    <w:pPr>
      <w:pStyle w:val="P68B1DB1-Title1"/>
      <w:spacing w:before="0"/>
      <w:ind w:left="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EFB8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225A"/>
    <w:multiLevelType w:val="hybridMultilevel"/>
    <w:tmpl w:val="010ED82C"/>
    <w:lvl w:ilvl="0" w:tplc="F5D80FDE">
      <w:start w:val="1"/>
      <w:numFmt w:val="lowerLetter"/>
      <w:lvlText w:val="%1."/>
      <w:lvlJc w:val="left"/>
      <w:pPr>
        <w:ind w:left="1440" w:hanging="360"/>
      </w:pPr>
      <w:rPr>
        <w:rFonts w:hint="default"/>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 w15:restartNumberingAfterBreak="0">
    <w:nsid w:val="0AF1625A"/>
    <w:multiLevelType w:val="hybridMultilevel"/>
    <w:tmpl w:val="A2B2F5CC"/>
    <w:lvl w:ilvl="0" w:tplc="20CA2DBA">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 w15:restartNumberingAfterBreak="0">
    <w:nsid w:val="0DC43F72"/>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49310EC"/>
    <w:multiLevelType w:val="hybridMultilevel"/>
    <w:tmpl w:val="0C2EB568"/>
    <w:lvl w:ilvl="0" w:tplc="7E12F6AE">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4" w15:restartNumberingAfterBreak="0">
    <w:nsid w:val="167F49A9"/>
    <w:multiLevelType w:val="hybridMultilevel"/>
    <w:tmpl w:val="5B0068A6"/>
    <w:lvl w:ilvl="0" w:tplc="3A24D51C">
      <w:start w:val="1"/>
      <w:numFmt w:val="decimal"/>
      <w:lvlText w:val="%1)"/>
      <w:lvlJc w:val="left"/>
      <w:pPr>
        <w:ind w:left="1020" w:hanging="360"/>
      </w:pPr>
    </w:lvl>
    <w:lvl w:ilvl="1" w:tplc="125A5C02">
      <w:start w:val="1"/>
      <w:numFmt w:val="decimal"/>
      <w:lvlText w:val="%2)"/>
      <w:lvlJc w:val="left"/>
      <w:pPr>
        <w:ind w:left="1020" w:hanging="360"/>
      </w:pPr>
    </w:lvl>
    <w:lvl w:ilvl="2" w:tplc="1AFA6D0C">
      <w:start w:val="1"/>
      <w:numFmt w:val="decimal"/>
      <w:lvlText w:val="%3)"/>
      <w:lvlJc w:val="left"/>
      <w:pPr>
        <w:ind w:left="1020" w:hanging="360"/>
      </w:pPr>
    </w:lvl>
    <w:lvl w:ilvl="3" w:tplc="CBDAF276">
      <w:start w:val="1"/>
      <w:numFmt w:val="decimal"/>
      <w:lvlText w:val="%4)"/>
      <w:lvlJc w:val="left"/>
      <w:pPr>
        <w:ind w:left="1020" w:hanging="360"/>
      </w:pPr>
    </w:lvl>
    <w:lvl w:ilvl="4" w:tplc="2166B310">
      <w:start w:val="1"/>
      <w:numFmt w:val="decimal"/>
      <w:lvlText w:val="%5)"/>
      <w:lvlJc w:val="left"/>
      <w:pPr>
        <w:ind w:left="1020" w:hanging="360"/>
      </w:pPr>
    </w:lvl>
    <w:lvl w:ilvl="5" w:tplc="04D0DE84">
      <w:start w:val="1"/>
      <w:numFmt w:val="decimal"/>
      <w:lvlText w:val="%6)"/>
      <w:lvlJc w:val="left"/>
      <w:pPr>
        <w:ind w:left="1020" w:hanging="360"/>
      </w:pPr>
    </w:lvl>
    <w:lvl w:ilvl="6" w:tplc="1E228612">
      <w:start w:val="1"/>
      <w:numFmt w:val="decimal"/>
      <w:lvlText w:val="%7)"/>
      <w:lvlJc w:val="left"/>
      <w:pPr>
        <w:ind w:left="1020" w:hanging="360"/>
      </w:pPr>
    </w:lvl>
    <w:lvl w:ilvl="7" w:tplc="D7021F9C">
      <w:start w:val="1"/>
      <w:numFmt w:val="decimal"/>
      <w:lvlText w:val="%8)"/>
      <w:lvlJc w:val="left"/>
      <w:pPr>
        <w:ind w:left="1020" w:hanging="360"/>
      </w:pPr>
    </w:lvl>
    <w:lvl w:ilvl="8" w:tplc="1A70A482">
      <w:start w:val="1"/>
      <w:numFmt w:val="decimal"/>
      <w:lvlText w:val="%9)"/>
      <w:lvlJc w:val="left"/>
      <w:pPr>
        <w:ind w:left="1020" w:hanging="360"/>
      </w:pPr>
    </w:lvl>
  </w:abstractNum>
  <w:abstractNum w:abstractNumId="5" w15:restartNumberingAfterBreak="0">
    <w:nsid w:val="16C372E0"/>
    <w:multiLevelType w:val="hybridMultilevel"/>
    <w:tmpl w:val="F2F082AA"/>
    <w:lvl w:ilvl="0" w:tplc="0FDE36C8">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6" w15:restartNumberingAfterBreak="0">
    <w:nsid w:val="175D724D"/>
    <w:multiLevelType w:val="hybridMultilevel"/>
    <w:tmpl w:val="FE303218"/>
    <w:lvl w:ilvl="0" w:tplc="B44444F0">
      <w:start w:val="1"/>
      <w:numFmt w:val="bullet"/>
      <w:lvlText w:val="-"/>
      <w:lvlJc w:val="left"/>
      <w:pPr>
        <w:ind w:left="927" w:hanging="360"/>
      </w:pPr>
      <w:rPr>
        <w:rFonts w:ascii="Aptos" w:eastAsiaTheme="minorHAnsi" w:hAnsi="Aptos" w:cstheme="minorBidi"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7" w15:restartNumberingAfterBreak="0">
    <w:nsid w:val="17A252B1"/>
    <w:multiLevelType w:val="hybridMultilevel"/>
    <w:tmpl w:val="936870DE"/>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D021F90"/>
    <w:multiLevelType w:val="hybridMultilevel"/>
    <w:tmpl w:val="BAFE4132"/>
    <w:lvl w:ilvl="0" w:tplc="7F08DD2E">
      <w:start w:val="4"/>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9" w15:restartNumberingAfterBreak="0">
    <w:nsid w:val="1F426828"/>
    <w:multiLevelType w:val="hybridMultilevel"/>
    <w:tmpl w:val="EF5AD44C"/>
    <w:lvl w:ilvl="0" w:tplc="33F6B108">
      <w:start w:val="1"/>
      <w:numFmt w:val="decimal"/>
      <w:lvlText w:val="%1."/>
      <w:lvlJc w:val="left"/>
      <w:pPr>
        <w:ind w:left="927" w:hanging="360"/>
      </w:pPr>
      <w:rPr>
        <w:rFonts w:hint="default"/>
      </w:rPr>
    </w:lvl>
    <w:lvl w:ilvl="1" w:tplc="18090019">
      <w:start w:val="1"/>
      <w:numFmt w:val="lowerLetter"/>
      <w:lvlText w:val="%2."/>
      <w:lvlJc w:val="left"/>
      <w:pPr>
        <w:ind w:left="1647" w:hanging="360"/>
      </w:pPr>
    </w:lvl>
    <w:lvl w:ilvl="2" w:tplc="1809001B">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0" w15:restartNumberingAfterBreak="0">
    <w:nsid w:val="21D2371B"/>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28E67F7"/>
    <w:multiLevelType w:val="hybridMultilevel"/>
    <w:tmpl w:val="825EF55E"/>
    <w:lvl w:ilvl="0" w:tplc="E1C26E36">
      <w:start w:val="2"/>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5682F2F"/>
    <w:multiLevelType w:val="hybridMultilevel"/>
    <w:tmpl w:val="6242F30A"/>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5F42A0D"/>
    <w:multiLevelType w:val="hybridMultilevel"/>
    <w:tmpl w:val="AEB26076"/>
    <w:lvl w:ilvl="0" w:tplc="5A141406">
      <w:start w:val="1"/>
      <w:numFmt w:val="bullet"/>
      <w:lvlText w:val="-"/>
      <w:lvlJc w:val="left"/>
      <w:pPr>
        <w:ind w:left="927" w:hanging="360"/>
      </w:pPr>
      <w:rPr>
        <w:rFonts w:ascii="Aptos" w:eastAsiaTheme="minorHAnsi" w:hAnsi="Aptos" w:cstheme="minorBidi"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14" w15:restartNumberingAfterBreak="0">
    <w:nsid w:val="2D025A04"/>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DC75B28"/>
    <w:multiLevelType w:val="hybridMultilevel"/>
    <w:tmpl w:val="59601DDA"/>
    <w:lvl w:ilvl="0" w:tplc="1A00D246">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6" w15:restartNumberingAfterBreak="0">
    <w:nsid w:val="2F6B6AB7"/>
    <w:multiLevelType w:val="hybridMultilevel"/>
    <w:tmpl w:val="D0AC01D8"/>
    <w:lvl w:ilvl="0" w:tplc="91B8A490">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7" w15:restartNumberingAfterBreak="0">
    <w:nsid w:val="35303A97"/>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7296099"/>
    <w:multiLevelType w:val="hybridMultilevel"/>
    <w:tmpl w:val="2A705CA2"/>
    <w:lvl w:ilvl="0" w:tplc="7F08DD2E">
      <w:start w:val="1"/>
      <w:numFmt w:val="lowerLetter"/>
      <w:lvlText w:val="%1."/>
      <w:lvlJc w:val="left"/>
      <w:pPr>
        <w:ind w:left="1440" w:hanging="360"/>
      </w:pPr>
      <w:rPr>
        <w:i w:val="0"/>
        <w:i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73415B6"/>
    <w:multiLevelType w:val="hybridMultilevel"/>
    <w:tmpl w:val="B554F348"/>
    <w:lvl w:ilvl="0" w:tplc="15F4A3B4">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0" w15:restartNumberingAfterBreak="0">
    <w:nsid w:val="37B979D4"/>
    <w:multiLevelType w:val="hybridMultilevel"/>
    <w:tmpl w:val="2B5A74C2"/>
    <w:lvl w:ilvl="0" w:tplc="7D78FE44">
      <w:start w:val="5"/>
      <w:numFmt w:val="bullet"/>
      <w:lvlText w:val="-"/>
      <w:lvlJc w:val="left"/>
      <w:pPr>
        <w:ind w:left="927" w:hanging="360"/>
      </w:pPr>
      <w:rPr>
        <w:rFonts w:ascii="Times New Roman" w:eastAsia="Times New Roman" w:hAnsi="Times New Roman" w:cs="Times New Roman"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1" w15:restartNumberingAfterBreak="0">
    <w:nsid w:val="41841F32"/>
    <w:multiLevelType w:val="hybridMultilevel"/>
    <w:tmpl w:val="43346CB6"/>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390360F"/>
    <w:multiLevelType w:val="hybridMultilevel"/>
    <w:tmpl w:val="4A62FD58"/>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3" w15:restartNumberingAfterBreak="0">
    <w:nsid w:val="51601A36"/>
    <w:multiLevelType w:val="hybridMultilevel"/>
    <w:tmpl w:val="3022F154"/>
    <w:lvl w:ilvl="0" w:tplc="CF547ED6">
      <w:start w:val="1"/>
      <w:numFmt w:val="upperRoman"/>
      <w:lvlText w:val="%1."/>
      <w:lvlJc w:val="left"/>
      <w:pPr>
        <w:ind w:left="1080" w:hanging="720"/>
      </w:pPr>
      <w:rPr>
        <w:rFonts w:hint="default"/>
        <w:sz w:val="40"/>
        <w:szCs w:val="4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5D04C1A"/>
    <w:multiLevelType w:val="hybridMultilevel"/>
    <w:tmpl w:val="D334EE56"/>
    <w:lvl w:ilvl="0" w:tplc="A4560BD8">
      <w:start w:val="1"/>
      <w:numFmt w:val="upperRoman"/>
      <w:lvlText w:val="%1."/>
      <w:lvlJc w:val="left"/>
      <w:pPr>
        <w:ind w:left="2715" w:hanging="720"/>
      </w:pPr>
      <w:rPr>
        <w:rFonts w:hint="default"/>
      </w:rPr>
    </w:lvl>
    <w:lvl w:ilvl="1" w:tplc="18090019" w:tentative="1">
      <w:start w:val="1"/>
      <w:numFmt w:val="lowerLetter"/>
      <w:lvlText w:val="%2."/>
      <w:lvlJc w:val="left"/>
      <w:pPr>
        <w:ind w:left="3075" w:hanging="360"/>
      </w:pPr>
    </w:lvl>
    <w:lvl w:ilvl="2" w:tplc="1809001B" w:tentative="1">
      <w:start w:val="1"/>
      <w:numFmt w:val="lowerRoman"/>
      <w:lvlText w:val="%3."/>
      <w:lvlJc w:val="right"/>
      <w:pPr>
        <w:ind w:left="3795" w:hanging="180"/>
      </w:pPr>
    </w:lvl>
    <w:lvl w:ilvl="3" w:tplc="1809000F" w:tentative="1">
      <w:start w:val="1"/>
      <w:numFmt w:val="decimal"/>
      <w:lvlText w:val="%4."/>
      <w:lvlJc w:val="left"/>
      <w:pPr>
        <w:ind w:left="4515" w:hanging="360"/>
      </w:pPr>
    </w:lvl>
    <w:lvl w:ilvl="4" w:tplc="18090019" w:tentative="1">
      <w:start w:val="1"/>
      <w:numFmt w:val="lowerLetter"/>
      <w:lvlText w:val="%5."/>
      <w:lvlJc w:val="left"/>
      <w:pPr>
        <w:ind w:left="5235" w:hanging="360"/>
      </w:pPr>
    </w:lvl>
    <w:lvl w:ilvl="5" w:tplc="1809001B" w:tentative="1">
      <w:start w:val="1"/>
      <w:numFmt w:val="lowerRoman"/>
      <w:lvlText w:val="%6."/>
      <w:lvlJc w:val="right"/>
      <w:pPr>
        <w:ind w:left="5955" w:hanging="180"/>
      </w:pPr>
    </w:lvl>
    <w:lvl w:ilvl="6" w:tplc="1809000F" w:tentative="1">
      <w:start w:val="1"/>
      <w:numFmt w:val="decimal"/>
      <w:lvlText w:val="%7."/>
      <w:lvlJc w:val="left"/>
      <w:pPr>
        <w:ind w:left="6675" w:hanging="360"/>
      </w:pPr>
    </w:lvl>
    <w:lvl w:ilvl="7" w:tplc="18090019" w:tentative="1">
      <w:start w:val="1"/>
      <w:numFmt w:val="lowerLetter"/>
      <w:lvlText w:val="%8."/>
      <w:lvlJc w:val="left"/>
      <w:pPr>
        <w:ind w:left="7395" w:hanging="360"/>
      </w:pPr>
    </w:lvl>
    <w:lvl w:ilvl="8" w:tplc="1809001B" w:tentative="1">
      <w:start w:val="1"/>
      <w:numFmt w:val="lowerRoman"/>
      <w:lvlText w:val="%9."/>
      <w:lvlJc w:val="right"/>
      <w:pPr>
        <w:ind w:left="8115" w:hanging="180"/>
      </w:pPr>
    </w:lvl>
  </w:abstractNum>
  <w:abstractNum w:abstractNumId="25" w15:restartNumberingAfterBreak="0">
    <w:nsid w:val="562A56D8"/>
    <w:multiLevelType w:val="hybridMultilevel"/>
    <w:tmpl w:val="B1C08C96"/>
    <w:lvl w:ilvl="0" w:tplc="8DE862CC">
      <w:start w:val="1"/>
      <w:numFmt w:val="decimal"/>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6" w15:restartNumberingAfterBreak="0">
    <w:nsid w:val="58835420"/>
    <w:multiLevelType w:val="hybridMultilevel"/>
    <w:tmpl w:val="3B7A2A46"/>
    <w:lvl w:ilvl="0" w:tplc="7F08DD2E">
      <w:start w:val="1"/>
      <w:numFmt w:val="lowerLetter"/>
      <w:lvlText w:val="%1."/>
      <w:lvlJc w:val="left"/>
      <w:pPr>
        <w:ind w:left="2160" w:hanging="360"/>
      </w:pPr>
      <w:rPr>
        <w:i w:val="0"/>
        <w:iCs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7" w15:restartNumberingAfterBreak="0">
    <w:nsid w:val="5A900DE7"/>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668261C9"/>
    <w:multiLevelType w:val="hybridMultilevel"/>
    <w:tmpl w:val="FC82B53A"/>
    <w:lvl w:ilvl="0" w:tplc="35C2C75E">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9" w15:restartNumberingAfterBreak="0">
    <w:nsid w:val="6B796262"/>
    <w:multiLevelType w:val="hybridMultilevel"/>
    <w:tmpl w:val="80723CDA"/>
    <w:lvl w:ilvl="0" w:tplc="295CF590">
      <w:start w:val="1"/>
      <w:numFmt w:val="upperRoman"/>
      <w:lvlText w:val="%1)"/>
      <w:lvlJc w:val="left"/>
      <w:pPr>
        <w:ind w:left="1080" w:hanging="720"/>
      </w:pPr>
      <w:rPr>
        <w:rFonts w:hint="default"/>
      </w:rPr>
    </w:lvl>
    <w:lvl w:ilvl="1" w:tplc="D658AE2E">
      <w:start w:val="1"/>
      <w:numFmt w:val="lowerLetter"/>
      <w:lvlText w:val="%2."/>
      <w:lvlJc w:val="left"/>
      <w:pPr>
        <w:ind w:left="1440" w:hanging="360"/>
      </w:pPr>
      <w:rPr>
        <w:b w:val="0"/>
        <w:bCs w:val="0"/>
        <w:i w:val="0"/>
        <w:iCs w:val="0"/>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D4B2126"/>
    <w:multiLevelType w:val="hybridMultilevel"/>
    <w:tmpl w:val="41F6FC34"/>
    <w:lvl w:ilvl="0" w:tplc="20302D40">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1" w15:restartNumberingAfterBreak="0">
    <w:nsid w:val="6D6D3A31"/>
    <w:multiLevelType w:val="hybridMultilevel"/>
    <w:tmpl w:val="34CCDBBE"/>
    <w:lvl w:ilvl="0" w:tplc="FFFFFFFF">
      <w:start w:val="1"/>
      <w:numFmt w:val="lowerLetter"/>
      <w:lvlText w:val="%1."/>
      <w:lvlJc w:val="left"/>
      <w:pPr>
        <w:ind w:left="21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DA4040B"/>
    <w:multiLevelType w:val="hybridMultilevel"/>
    <w:tmpl w:val="9DBCA204"/>
    <w:lvl w:ilvl="0" w:tplc="075CAACA">
      <w:start w:val="1"/>
      <w:numFmt w:val="lowerLetter"/>
      <w:lvlText w:val="%1."/>
      <w:lvlJc w:val="left"/>
      <w:pPr>
        <w:ind w:left="1440" w:hanging="360"/>
      </w:pPr>
      <w:rPr>
        <w:rFonts w:hint="default"/>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3" w15:restartNumberingAfterBreak="0">
    <w:nsid w:val="6F6B2BDA"/>
    <w:multiLevelType w:val="hybridMultilevel"/>
    <w:tmpl w:val="1A6CE3C2"/>
    <w:lvl w:ilvl="0" w:tplc="0B227EE8">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4" w15:restartNumberingAfterBreak="0">
    <w:nsid w:val="6FD45B5F"/>
    <w:multiLevelType w:val="hybridMultilevel"/>
    <w:tmpl w:val="BA76F484"/>
    <w:lvl w:ilvl="0" w:tplc="5B6842F8">
      <w:start w:val="1"/>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5" w15:restartNumberingAfterBreak="0">
    <w:nsid w:val="72EA3F19"/>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77C64A56"/>
    <w:multiLevelType w:val="hybridMultilevel"/>
    <w:tmpl w:val="34DAEC8C"/>
    <w:lvl w:ilvl="0" w:tplc="7F08DD2E">
      <w:start w:val="1"/>
      <w:numFmt w:val="lowerLetter"/>
      <w:lvlText w:val="%1."/>
      <w:lvlJc w:val="left"/>
      <w:pPr>
        <w:ind w:left="2160" w:hanging="360"/>
      </w:pPr>
      <w:rPr>
        <w:i w:val="0"/>
        <w:iCs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7" w15:restartNumberingAfterBreak="0">
    <w:nsid w:val="7DA32368"/>
    <w:multiLevelType w:val="hybridMultilevel"/>
    <w:tmpl w:val="17CEBB60"/>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689067590">
    <w:abstractNumId w:val="29"/>
  </w:num>
  <w:num w:numId="2" w16cid:durableId="1149712612">
    <w:abstractNumId w:val="22"/>
  </w:num>
  <w:num w:numId="3" w16cid:durableId="522597413">
    <w:abstractNumId w:val="18"/>
  </w:num>
  <w:num w:numId="4" w16cid:durableId="131093797">
    <w:abstractNumId w:val="3"/>
  </w:num>
  <w:num w:numId="5" w16cid:durableId="930895856">
    <w:abstractNumId w:val="8"/>
  </w:num>
  <w:num w:numId="6" w16cid:durableId="859314359">
    <w:abstractNumId w:val="26"/>
  </w:num>
  <w:num w:numId="7" w16cid:durableId="222370173">
    <w:abstractNumId w:val="33"/>
  </w:num>
  <w:num w:numId="8" w16cid:durableId="2057385159">
    <w:abstractNumId w:val="36"/>
  </w:num>
  <w:num w:numId="9" w16cid:durableId="1794322050">
    <w:abstractNumId w:val="0"/>
  </w:num>
  <w:num w:numId="10" w16cid:durableId="3677297">
    <w:abstractNumId w:val="17"/>
  </w:num>
  <w:num w:numId="11" w16cid:durableId="1485776725">
    <w:abstractNumId w:val="10"/>
  </w:num>
  <w:num w:numId="12" w16cid:durableId="882793964">
    <w:abstractNumId w:val="2"/>
  </w:num>
  <w:num w:numId="13" w16cid:durableId="1924220346">
    <w:abstractNumId w:val="35"/>
  </w:num>
  <w:num w:numId="14" w16cid:durableId="407272038">
    <w:abstractNumId w:val="14"/>
  </w:num>
  <w:num w:numId="15" w16cid:durableId="402528430">
    <w:abstractNumId w:val="27"/>
  </w:num>
  <w:num w:numId="16" w16cid:durableId="2008940943">
    <w:abstractNumId w:val="31"/>
  </w:num>
  <w:num w:numId="17" w16cid:durableId="29764232">
    <w:abstractNumId w:val="24"/>
  </w:num>
  <w:num w:numId="18" w16cid:durableId="1598323702">
    <w:abstractNumId w:val="11"/>
  </w:num>
  <w:num w:numId="19" w16cid:durableId="894586789">
    <w:abstractNumId w:val="20"/>
  </w:num>
  <w:num w:numId="20" w16cid:durableId="935164786">
    <w:abstractNumId w:val="19"/>
  </w:num>
  <w:num w:numId="21" w16cid:durableId="1832065826">
    <w:abstractNumId w:val="9"/>
  </w:num>
  <w:num w:numId="22" w16cid:durableId="576403216">
    <w:abstractNumId w:val="28"/>
  </w:num>
  <w:num w:numId="23" w16cid:durableId="539055433">
    <w:abstractNumId w:val="5"/>
  </w:num>
  <w:num w:numId="24" w16cid:durableId="958028667">
    <w:abstractNumId w:val="6"/>
  </w:num>
  <w:num w:numId="25" w16cid:durableId="1079519155">
    <w:abstractNumId w:val="13"/>
  </w:num>
  <w:num w:numId="26" w16cid:durableId="1120418109">
    <w:abstractNumId w:val="30"/>
  </w:num>
  <w:num w:numId="27" w16cid:durableId="153690731">
    <w:abstractNumId w:val="15"/>
  </w:num>
  <w:num w:numId="28" w16cid:durableId="1952590443">
    <w:abstractNumId w:val="32"/>
  </w:num>
  <w:num w:numId="29" w16cid:durableId="893469427">
    <w:abstractNumId w:val="34"/>
  </w:num>
  <w:num w:numId="30" w16cid:durableId="596908438">
    <w:abstractNumId w:val="16"/>
  </w:num>
  <w:num w:numId="31" w16cid:durableId="995496117">
    <w:abstractNumId w:val="1"/>
  </w:num>
  <w:num w:numId="32" w16cid:durableId="1634409818">
    <w:abstractNumId w:val="4"/>
  </w:num>
  <w:num w:numId="33" w16cid:durableId="750465225">
    <w:abstractNumId w:val="25"/>
  </w:num>
  <w:num w:numId="34" w16cid:durableId="1072579241">
    <w:abstractNumId w:val="23"/>
  </w:num>
  <w:num w:numId="35" w16cid:durableId="1444232820">
    <w:abstractNumId w:val="21"/>
  </w:num>
  <w:num w:numId="36" w16cid:durableId="1960531220">
    <w:abstractNumId w:val="12"/>
  </w:num>
  <w:num w:numId="37" w16cid:durableId="2066171962">
    <w:abstractNumId w:val="37"/>
  </w:num>
  <w:num w:numId="38" w16cid:durableId="1650931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036EB0"/>
    <w:rsid w:val="00040F59"/>
    <w:rsid w:val="00041401"/>
    <w:rsid w:val="000421A2"/>
    <w:rsid w:val="0007551C"/>
    <w:rsid w:val="00093525"/>
    <w:rsid w:val="000A18C4"/>
    <w:rsid w:val="000A1DAE"/>
    <w:rsid w:val="000B320E"/>
    <w:rsid w:val="000C20A2"/>
    <w:rsid w:val="000C2978"/>
    <w:rsid w:val="000D1631"/>
    <w:rsid w:val="000D631B"/>
    <w:rsid w:val="000F5423"/>
    <w:rsid w:val="000F7992"/>
    <w:rsid w:val="000F7DA5"/>
    <w:rsid w:val="00106EDB"/>
    <w:rsid w:val="00112FD1"/>
    <w:rsid w:val="001305B4"/>
    <w:rsid w:val="0013272D"/>
    <w:rsid w:val="00137427"/>
    <w:rsid w:val="00137B20"/>
    <w:rsid w:val="001557BC"/>
    <w:rsid w:val="00182A36"/>
    <w:rsid w:val="00186890"/>
    <w:rsid w:val="0018765D"/>
    <w:rsid w:val="001910C8"/>
    <w:rsid w:val="001913A5"/>
    <w:rsid w:val="00192492"/>
    <w:rsid w:val="00193FFC"/>
    <w:rsid w:val="001C2C44"/>
    <w:rsid w:val="001D4E5E"/>
    <w:rsid w:val="001E525A"/>
    <w:rsid w:val="001F5CEA"/>
    <w:rsid w:val="00227D5B"/>
    <w:rsid w:val="0023316E"/>
    <w:rsid w:val="0023465A"/>
    <w:rsid w:val="00241E4F"/>
    <w:rsid w:val="00245EEF"/>
    <w:rsid w:val="002547A4"/>
    <w:rsid w:val="00260293"/>
    <w:rsid w:val="00265197"/>
    <w:rsid w:val="00272AFD"/>
    <w:rsid w:val="00274ED4"/>
    <w:rsid w:val="002829DC"/>
    <w:rsid w:val="00285458"/>
    <w:rsid w:val="0029429C"/>
    <w:rsid w:val="002977CE"/>
    <w:rsid w:val="002B0265"/>
    <w:rsid w:val="002B042F"/>
    <w:rsid w:val="002C2477"/>
    <w:rsid w:val="002C37D7"/>
    <w:rsid w:val="002C7310"/>
    <w:rsid w:val="002D416D"/>
    <w:rsid w:val="002F31E8"/>
    <w:rsid w:val="002F562D"/>
    <w:rsid w:val="00307893"/>
    <w:rsid w:val="003116E4"/>
    <w:rsid w:val="00311818"/>
    <w:rsid w:val="0031192C"/>
    <w:rsid w:val="003307D4"/>
    <w:rsid w:val="00334A0D"/>
    <w:rsid w:val="00341F32"/>
    <w:rsid w:val="003421A4"/>
    <w:rsid w:val="00345FC9"/>
    <w:rsid w:val="00355497"/>
    <w:rsid w:val="00363DCF"/>
    <w:rsid w:val="00390589"/>
    <w:rsid w:val="003B39B7"/>
    <w:rsid w:val="003E20F0"/>
    <w:rsid w:val="003E2812"/>
    <w:rsid w:val="003E787C"/>
    <w:rsid w:val="003E78A4"/>
    <w:rsid w:val="00411B0D"/>
    <w:rsid w:val="00455195"/>
    <w:rsid w:val="00470FB3"/>
    <w:rsid w:val="00477CB9"/>
    <w:rsid w:val="0048519F"/>
    <w:rsid w:val="004A0A95"/>
    <w:rsid w:val="004A1BC1"/>
    <w:rsid w:val="004A497A"/>
    <w:rsid w:val="004D43FB"/>
    <w:rsid w:val="004E0CCF"/>
    <w:rsid w:val="004E15FB"/>
    <w:rsid w:val="004F52D0"/>
    <w:rsid w:val="004F549F"/>
    <w:rsid w:val="00503A50"/>
    <w:rsid w:val="0051744C"/>
    <w:rsid w:val="0053273A"/>
    <w:rsid w:val="00534A40"/>
    <w:rsid w:val="0054357E"/>
    <w:rsid w:val="00545171"/>
    <w:rsid w:val="00551C5D"/>
    <w:rsid w:val="005938BC"/>
    <w:rsid w:val="005A15B3"/>
    <w:rsid w:val="005A7E2B"/>
    <w:rsid w:val="005B5418"/>
    <w:rsid w:val="005B6867"/>
    <w:rsid w:val="005C0F66"/>
    <w:rsid w:val="005C12E8"/>
    <w:rsid w:val="005F057E"/>
    <w:rsid w:val="005F1C4E"/>
    <w:rsid w:val="006014C8"/>
    <w:rsid w:val="006100D5"/>
    <w:rsid w:val="006141C3"/>
    <w:rsid w:val="006178BF"/>
    <w:rsid w:val="00632AD7"/>
    <w:rsid w:val="0063307C"/>
    <w:rsid w:val="00642218"/>
    <w:rsid w:val="00644D71"/>
    <w:rsid w:val="00645AC3"/>
    <w:rsid w:val="0065142E"/>
    <w:rsid w:val="00655279"/>
    <w:rsid w:val="00655B51"/>
    <w:rsid w:val="00657D92"/>
    <w:rsid w:val="00661EB7"/>
    <w:rsid w:val="006644E8"/>
    <w:rsid w:val="00664793"/>
    <w:rsid w:val="00667654"/>
    <w:rsid w:val="0067271E"/>
    <w:rsid w:val="00690AF6"/>
    <w:rsid w:val="00691D55"/>
    <w:rsid w:val="00693ADF"/>
    <w:rsid w:val="006A0998"/>
    <w:rsid w:val="006B09DD"/>
    <w:rsid w:val="006B220F"/>
    <w:rsid w:val="006B6267"/>
    <w:rsid w:val="006C7A98"/>
    <w:rsid w:val="006D242E"/>
    <w:rsid w:val="006E1007"/>
    <w:rsid w:val="006E369B"/>
    <w:rsid w:val="006E6449"/>
    <w:rsid w:val="006F0DE7"/>
    <w:rsid w:val="006F1D25"/>
    <w:rsid w:val="006F4BEB"/>
    <w:rsid w:val="00701DE2"/>
    <w:rsid w:val="00712783"/>
    <w:rsid w:val="007140D1"/>
    <w:rsid w:val="007158E5"/>
    <w:rsid w:val="00724C8A"/>
    <w:rsid w:val="00724EFA"/>
    <w:rsid w:val="00737915"/>
    <w:rsid w:val="00751FE6"/>
    <w:rsid w:val="00756332"/>
    <w:rsid w:val="007575A4"/>
    <w:rsid w:val="0076355C"/>
    <w:rsid w:val="00767671"/>
    <w:rsid w:val="0077396A"/>
    <w:rsid w:val="007851D0"/>
    <w:rsid w:val="007925D9"/>
    <w:rsid w:val="007C2EE0"/>
    <w:rsid w:val="007C57A2"/>
    <w:rsid w:val="007D1474"/>
    <w:rsid w:val="007D3DE5"/>
    <w:rsid w:val="007E199A"/>
    <w:rsid w:val="007E2D57"/>
    <w:rsid w:val="007E3AA5"/>
    <w:rsid w:val="007E6C4C"/>
    <w:rsid w:val="007F205B"/>
    <w:rsid w:val="007F7D69"/>
    <w:rsid w:val="008057ED"/>
    <w:rsid w:val="008115AB"/>
    <w:rsid w:val="008224AE"/>
    <w:rsid w:val="00824EA7"/>
    <w:rsid w:val="00831726"/>
    <w:rsid w:val="00831F89"/>
    <w:rsid w:val="00842A96"/>
    <w:rsid w:val="008635C4"/>
    <w:rsid w:val="00884F4A"/>
    <w:rsid w:val="008B31BD"/>
    <w:rsid w:val="008B7C81"/>
    <w:rsid w:val="008C36F6"/>
    <w:rsid w:val="008C523D"/>
    <w:rsid w:val="008C7BCF"/>
    <w:rsid w:val="008E22D9"/>
    <w:rsid w:val="008E7EAB"/>
    <w:rsid w:val="008F17FD"/>
    <w:rsid w:val="008F3B3C"/>
    <w:rsid w:val="009167EE"/>
    <w:rsid w:val="00916E26"/>
    <w:rsid w:val="009270FD"/>
    <w:rsid w:val="00944592"/>
    <w:rsid w:val="00961323"/>
    <w:rsid w:val="00973E73"/>
    <w:rsid w:val="0098183C"/>
    <w:rsid w:val="0098326E"/>
    <w:rsid w:val="009963AC"/>
    <w:rsid w:val="009C60BA"/>
    <w:rsid w:val="009D04F7"/>
    <w:rsid w:val="009D0547"/>
    <w:rsid w:val="009D515C"/>
    <w:rsid w:val="009F199A"/>
    <w:rsid w:val="00A079BE"/>
    <w:rsid w:val="00A23485"/>
    <w:rsid w:val="00A23B5B"/>
    <w:rsid w:val="00A32846"/>
    <w:rsid w:val="00A36893"/>
    <w:rsid w:val="00A429BC"/>
    <w:rsid w:val="00A461D6"/>
    <w:rsid w:val="00A655E9"/>
    <w:rsid w:val="00A73F71"/>
    <w:rsid w:val="00A909E5"/>
    <w:rsid w:val="00A920C3"/>
    <w:rsid w:val="00A93C86"/>
    <w:rsid w:val="00AA2AB3"/>
    <w:rsid w:val="00AA4F20"/>
    <w:rsid w:val="00AA5C41"/>
    <w:rsid w:val="00AC368B"/>
    <w:rsid w:val="00AC4926"/>
    <w:rsid w:val="00AD230C"/>
    <w:rsid w:val="00AD28AA"/>
    <w:rsid w:val="00AF1412"/>
    <w:rsid w:val="00AF2C96"/>
    <w:rsid w:val="00AF5A1B"/>
    <w:rsid w:val="00B143D4"/>
    <w:rsid w:val="00B176DB"/>
    <w:rsid w:val="00B200E5"/>
    <w:rsid w:val="00B313DA"/>
    <w:rsid w:val="00B4195B"/>
    <w:rsid w:val="00B41B63"/>
    <w:rsid w:val="00B52094"/>
    <w:rsid w:val="00B60C64"/>
    <w:rsid w:val="00B63F8E"/>
    <w:rsid w:val="00B679CF"/>
    <w:rsid w:val="00B95631"/>
    <w:rsid w:val="00BA6A9C"/>
    <w:rsid w:val="00BB4944"/>
    <w:rsid w:val="00BC697C"/>
    <w:rsid w:val="00BD0D44"/>
    <w:rsid w:val="00BE2C14"/>
    <w:rsid w:val="00BE3AAE"/>
    <w:rsid w:val="00BE4185"/>
    <w:rsid w:val="00C053A0"/>
    <w:rsid w:val="00C05416"/>
    <w:rsid w:val="00C14379"/>
    <w:rsid w:val="00C26DB7"/>
    <w:rsid w:val="00C40932"/>
    <w:rsid w:val="00C50C46"/>
    <w:rsid w:val="00C52D02"/>
    <w:rsid w:val="00C53371"/>
    <w:rsid w:val="00C60A10"/>
    <w:rsid w:val="00C64A0F"/>
    <w:rsid w:val="00C674A9"/>
    <w:rsid w:val="00C71512"/>
    <w:rsid w:val="00C73ECB"/>
    <w:rsid w:val="00CA0C57"/>
    <w:rsid w:val="00CA0F6D"/>
    <w:rsid w:val="00CC16E0"/>
    <w:rsid w:val="00CD328F"/>
    <w:rsid w:val="00CD546D"/>
    <w:rsid w:val="00CE7482"/>
    <w:rsid w:val="00D049DE"/>
    <w:rsid w:val="00D10FFD"/>
    <w:rsid w:val="00D138B3"/>
    <w:rsid w:val="00D15504"/>
    <w:rsid w:val="00D175E6"/>
    <w:rsid w:val="00D17CC7"/>
    <w:rsid w:val="00D17E5E"/>
    <w:rsid w:val="00D200F4"/>
    <w:rsid w:val="00D43595"/>
    <w:rsid w:val="00D4431B"/>
    <w:rsid w:val="00D57485"/>
    <w:rsid w:val="00D627EA"/>
    <w:rsid w:val="00D674E0"/>
    <w:rsid w:val="00D67EBB"/>
    <w:rsid w:val="00D83EC6"/>
    <w:rsid w:val="00D84AD6"/>
    <w:rsid w:val="00D84C84"/>
    <w:rsid w:val="00DA04D9"/>
    <w:rsid w:val="00DA7543"/>
    <w:rsid w:val="00DB2A7B"/>
    <w:rsid w:val="00DC5693"/>
    <w:rsid w:val="00DC6A5A"/>
    <w:rsid w:val="00DC711F"/>
    <w:rsid w:val="00DD4985"/>
    <w:rsid w:val="00DE5BE7"/>
    <w:rsid w:val="00DE7A7A"/>
    <w:rsid w:val="00E00CFA"/>
    <w:rsid w:val="00E02E7F"/>
    <w:rsid w:val="00E15D6C"/>
    <w:rsid w:val="00E277F3"/>
    <w:rsid w:val="00E4168D"/>
    <w:rsid w:val="00E420CF"/>
    <w:rsid w:val="00E560EE"/>
    <w:rsid w:val="00E57CA4"/>
    <w:rsid w:val="00E6387C"/>
    <w:rsid w:val="00EA357C"/>
    <w:rsid w:val="00EA689F"/>
    <w:rsid w:val="00EA6994"/>
    <w:rsid w:val="00EA7BA1"/>
    <w:rsid w:val="00EA7E10"/>
    <w:rsid w:val="00EB5792"/>
    <w:rsid w:val="00EC1A8B"/>
    <w:rsid w:val="00EC381E"/>
    <w:rsid w:val="00EE3F9B"/>
    <w:rsid w:val="00EE4C2F"/>
    <w:rsid w:val="00EF6B42"/>
    <w:rsid w:val="00F038BC"/>
    <w:rsid w:val="00F059E9"/>
    <w:rsid w:val="00F21D98"/>
    <w:rsid w:val="00F3475E"/>
    <w:rsid w:val="00F35643"/>
    <w:rsid w:val="00F562FA"/>
    <w:rsid w:val="00F56389"/>
    <w:rsid w:val="00F61BB5"/>
    <w:rsid w:val="00F64037"/>
    <w:rsid w:val="00F720F5"/>
    <w:rsid w:val="00F849FE"/>
    <w:rsid w:val="00F90EFA"/>
    <w:rsid w:val="00FA26A5"/>
    <w:rsid w:val="00FA51CC"/>
    <w:rsid w:val="00FB282E"/>
    <w:rsid w:val="00FC003C"/>
    <w:rsid w:val="00FC20F6"/>
    <w:rsid w:val="00FC5890"/>
    <w:rsid w:val="00FD29DC"/>
    <w:rsid w:val="00FD373D"/>
    <w:rsid w:val="00FD5EC6"/>
    <w:rsid w:val="00FE5AA9"/>
    <w:rsid w:val="00FF0D22"/>
    <w:rsid w:val="00FF65BC"/>
  </w:rsids>
  <m:mathPr>
    <m:mathFont m:val="Cambria Math"/>
    <m:brkBin m:val="before"/>
    <m:brkBinSub m:val="--"/>
    <m:smallFrac m:val="0"/>
    <m:dispDef/>
    <m:lMargin m:val="0"/>
    <m:rMargin m:val="0"/>
    <m:defJc m:val="centerGroup"/>
    <m:wrapIndent m:val="1440"/>
    <m:intLim m:val="subSup"/>
    <m:naryLim m:val="undOvr"/>
  </m:mathPr>
  <w:themeFontLang w:val="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6FF16"/>
  <w15:chartTrackingRefBased/>
  <w15:docId w15:val="{A34D24E0-96EA-4058-9A94-33AE47BDF93C}"/>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78" w:lineRule="auto"/>
      </w:pPr>
    </w:pPrDefault>
    <w:rPrDefault>
      <w:rPr>
        <w:rFonts w:asciiTheme="minorHAnsi" w:hAnsiTheme="minorHAnsi" w:cstheme="minorBidi" w:eastAsiaTheme="minorHAnsi"/>
        <w:kern w:val="2"/>
        <w:sz w:val="24"/>
        <w:szCs w:val="24"/>
        <w14:ligatures w14:val="standardContextual"/>
        <w:lang w:val="it"/>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5B"/>
    <w:pPr>
      <w:spacing w:line="259" w:lineRule="auto"/>
    </w:pPr>
    <w:rPr>
      <w:kern w:val="0"/>
      <w:sz w:val="22"/>
      <w:szCs w:val="22"/>
      <w14:ligatures w14:val="none"/>
    </w:rPr>
  </w:style>
  <w:style w:type="paragraph" w:styleId="Heading1">
    <w:name w:val="heading 1"/>
    <w:basedOn w:val="Normal"/>
    <w:next w:val="Normal"/>
    <w:link w:val="Heading1Char"/>
    <w:uiPriority w:val="9"/>
    <w:qFormat/>
    <w:rsid w:val="007F205B"/>
    <w:pPr>
      <w:keepNext/>
      <w:keepLines/>
      <w:spacing w:before="360" w:after="80"/>
      <w:outlineLvl w:val="0"/>
    </w:pPr>
    <w:rPr>
      <w:rFonts w:asciiTheme="majorHAnsi" w:hAnsiTheme="majorHAnsi" w:cstheme="majorBidi" w:eastAsiaTheme="majorEastAsia"/>
      <w:color w:val="0F4761" w:themeColor="accent1" w:themeShade="BF"/>
      <w:sz w:val="40"/>
      <w:szCs w:val="40"/>
    </w:rPr>
  </w:style>
  <w:style w:type="paragraph" w:styleId="Heading2">
    <w:name w:val="heading 2"/>
    <w:basedOn w:val="Normal"/>
    <w:next w:val="Normal"/>
    <w:link w:val="Heading2Char"/>
    <w:uiPriority w:val="9"/>
    <w:unhideWhenUsed/>
    <w:qFormat/>
    <w:rsid w:val="007F205B"/>
    <w:pPr>
      <w:keepNext/>
      <w:keepLines/>
      <w:spacing w:before="160" w:after="80"/>
      <w:outlineLvl w:val="1"/>
    </w:pPr>
    <w:rPr>
      <w:rFonts w:asciiTheme="majorHAnsi" w:hAnsiTheme="majorHAnsi" w:cstheme="majorBidi" w:eastAsiaTheme="majorEastAsia"/>
      <w:color w:val="0F4761" w:themeColor="accent1" w:themeShade="BF"/>
      <w:sz w:val="32"/>
      <w:szCs w:val="32"/>
    </w:rPr>
  </w:style>
  <w:style w:type="paragraph" w:styleId="Heading3">
    <w:name w:val="heading 3"/>
    <w:basedOn w:val="Normal"/>
    <w:next w:val="Normal"/>
    <w:link w:val="Heading3Char"/>
    <w:uiPriority w:val="9"/>
    <w:semiHidden/>
    <w:unhideWhenUsed/>
    <w:qFormat/>
    <w:rsid w:val="007F205B"/>
    <w:pPr>
      <w:keepNext/>
      <w:keepLines/>
      <w:spacing w:before="160" w:after="80"/>
      <w:outlineLvl w:val="2"/>
    </w:pPr>
    <w:rPr>
      <w:rFonts w:cstheme="majorBid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7F205B"/>
    <w:pPr>
      <w:keepNext/>
      <w:keepLines/>
      <w:spacing w:before="80" w:after="40"/>
      <w:outlineLvl w:val="3"/>
    </w:pPr>
    <w:rPr>
      <w:rFont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7F205B"/>
    <w:pPr>
      <w:keepNext/>
      <w:keepLines/>
      <w:spacing w:before="80" w:after="40"/>
      <w:outlineLvl w:val="4"/>
    </w:pPr>
    <w:rPr>
      <w:rFont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7F205B"/>
    <w:pPr>
      <w:keepNext/>
      <w:keepLines/>
      <w:spacing w:before="40" w:after="0"/>
      <w:outlineLvl w:val="5"/>
    </w:pPr>
    <w:rPr>
      <w:rFont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7F205B"/>
    <w:pPr>
      <w:keepNext/>
      <w:keepLines/>
      <w:spacing w:before="40" w:after="0"/>
      <w:outlineLvl w:val="6"/>
    </w:pPr>
    <w:rPr>
      <w:rFont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7F205B"/>
    <w:pPr>
      <w:keepNext/>
      <w:keepLines/>
      <w:spacing w:after="0"/>
      <w:outlineLvl w:val="7"/>
    </w:pPr>
    <w:rPr>
      <w:rFont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7F205B"/>
    <w:pPr>
      <w:keepNext/>
      <w:keepLines/>
      <w:spacing w:after="0"/>
      <w:outlineLvl w:val="8"/>
    </w:pPr>
    <w:rPr>
      <w:rFonts w:cstheme="majorBidi"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05B"/>
    <w:rPr>
      <w:rFonts w:asciiTheme="majorHAnsi" w:hAnsiTheme="majorHAnsi" w:cstheme="majorBidi" w:eastAsiaTheme="majorEastAsia"/>
      <w:color w:val="0F4761" w:themeColor="accent1" w:themeShade="BF"/>
      <w:sz w:val="40"/>
      <w:szCs w:val="40"/>
    </w:rPr>
  </w:style>
  <w:style w:type="character" w:customStyle="1" w:styleId="Heading2Char">
    <w:name w:val="Heading 2 Char"/>
    <w:basedOn w:val="DefaultParagraphFont"/>
    <w:link w:val="Heading2"/>
    <w:uiPriority w:val="9"/>
    <w:rsid w:val="007F205B"/>
    <w:rPr>
      <w:rFonts w:asciiTheme="majorHAnsi" w:hAnsiTheme="majorHAnsi" w:cstheme="majorBidi" w:eastAsiaTheme="majorEastAsia"/>
      <w:color w:val="0F4761" w:themeColor="accent1" w:themeShade="BF"/>
      <w:sz w:val="32"/>
      <w:szCs w:val="32"/>
    </w:rPr>
  </w:style>
  <w:style w:type="character" w:customStyle="1" w:styleId="Heading3Char">
    <w:name w:val="Heading 3 Char"/>
    <w:basedOn w:val="DefaultParagraphFont"/>
    <w:link w:val="Heading3"/>
    <w:uiPriority w:val="9"/>
    <w:semiHidden/>
    <w:rsid w:val="007F205B"/>
    <w:rPr>
      <w:rFonts w:cstheme="majorBidi" w:eastAsiaTheme="majorEastAsia"/>
      <w:color w:val="0F4761" w:themeColor="accent1" w:themeShade="BF"/>
      <w:sz w:val="28"/>
      <w:szCs w:val="28"/>
    </w:rPr>
  </w:style>
  <w:style w:type="character" w:customStyle="1" w:styleId="Heading4Char">
    <w:name w:val="Heading 4 Char"/>
    <w:basedOn w:val="DefaultParagraphFont"/>
    <w:link w:val="Heading4"/>
    <w:uiPriority w:val="9"/>
    <w:semiHidden/>
    <w:rsid w:val="007F205B"/>
    <w:rPr>
      <w:rFonts w:cstheme="majorBidi" w:eastAsiaTheme="majorEastAsia"/>
      <w:i/>
      <w:iCs/>
      <w:color w:val="0F4761" w:themeColor="accent1" w:themeShade="BF"/>
    </w:rPr>
  </w:style>
  <w:style w:type="character" w:customStyle="1" w:styleId="Heading5Char">
    <w:name w:val="Heading 5 Char"/>
    <w:basedOn w:val="DefaultParagraphFont"/>
    <w:link w:val="Heading5"/>
    <w:uiPriority w:val="9"/>
    <w:semiHidden/>
    <w:rsid w:val="007F205B"/>
    <w:rPr>
      <w:rFonts w:cstheme="majorBidi" w:eastAsiaTheme="majorEastAsia"/>
      <w:color w:val="0F4761" w:themeColor="accent1" w:themeShade="BF"/>
    </w:rPr>
  </w:style>
  <w:style w:type="character" w:customStyle="1" w:styleId="Heading6Char">
    <w:name w:val="Heading 6 Char"/>
    <w:basedOn w:val="DefaultParagraphFont"/>
    <w:link w:val="Heading6"/>
    <w:uiPriority w:val="9"/>
    <w:semiHidden/>
    <w:rsid w:val="007F205B"/>
    <w:rPr>
      <w:rFonts w:cstheme="majorBidi" w:eastAsiaTheme="majorEastAsia"/>
      <w:i/>
      <w:iCs/>
      <w:color w:val="595959" w:themeColor="text1" w:themeTint="A6"/>
    </w:rPr>
  </w:style>
  <w:style w:type="character" w:customStyle="1" w:styleId="Heading7Char">
    <w:name w:val="Heading 7 Char"/>
    <w:basedOn w:val="DefaultParagraphFont"/>
    <w:link w:val="Heading7"/>
    <w:uiPriority w:val="9"/>
    <w:semiHidden/>
    <w:rsid w:val="007F205B"/>
    <w:rPr>
      <w:rFonts w:cstheme="majorBidi" w:eastAsiaTheme="majorEastAsia"/>
      <w:color w:val="595959" w:themeColor="text1" w:themeTint="A6"/>
    </w:rPr>
  </w:style>
  <w:style w:type="character" w:customStyle="1" w:styleId="Heading8Char">
    <w:name w:val="Heading 8 Char"/>
    <w:basedOn w:val="DefaultParagraphFont"/>
    <w:link w:val="Heading8"/>
    <w:uiPriority w:val="9"/>
    <w:semiHidden/>
    <w:rsid w:val="007F205B"/>
    <w:rPr>
      <w:rFonts w:cstheme="majorBidi" w:eastAsiaTheme="majorEastAsia"/>
      <w:i/>
      <w:iCs/>
      <w:color w:val="272727" w:themeColor="text1" w:themeTint="D8"/>
    </w:rPr>
  </w:style>
  <w:style w:type="character" w:customStyle="1" w:styleId="Heading9Char">
    <w:name w:val="Heading 9 Char"/>
    <w:basedOn w:val="DefaultParagraphFont"/>
    <w:link w:val="Heading9"/>
    <w:uiPriority w:val="9"/>
    <w:semiHidden/>
    <w:rsid w:val="007F205B"/>
    <w:rPr>
      <w:rFonts w:cstheme="majorBidi" w:eastAsiaTheme="majorEastAsia"/>
      <w:color w:val="272727" w:themeColor="text1" w:themeTint="D8"/>
    </w:rPr>
  </w:style>
  <w:style w:type="paragraph" w:styleId="Title">
    <w:name w:val="Title"/>
    <w:basedOn w:val="Normal"/>
    <w:next w:val="Normal"/>
    <w:link w:val="TitleChar"/>
    <w:uiPriority w:val="10"/>
    <w:qFormat/>
    <w:rsid w:val="007F205B"/>
    <w:pPr>
      <w:spacing w:after="80" w:line="240" w:lineRule="auto"/>
      <w:contextualSpacing/>
    </w:pPr>
    <w:rPr>
      <w:rFonts w:asciiTheme="majorHAnsi" w:hAnsiTheme="majorHAnsi" w:cstheme="majorBidi" w:eastAsiaTheme="majorEastAsia"/>
      <w:kern w:val="28"/>
      <w:sz w:val="56"/>
      <w:szCs w:val="56"/>
    </w:rPr>
  </w:style>
  <w:style w:type="character" w:customStyle="1" w:styleId="TitleChar">
    <w:name w:val="Title Char"/>
    <w:basedOn w:val="DefaultParagraphFont"/>
    <w:link w:val="Title"/>
    <w:uiPriority w:val="10"/>
    <w:rsid w:val="007F205B"/>
    <w:rPr>
      <w:rFonts w:asciiTheme="majorHAnsi" w:hAnsiTheme="majorHAnsi" w:cstheme="majorBidi" w:eastAsiaTheme="majorEastAsia"/>
      <w:kern w:val="28"/>
      <w:sz w:val="56"/>
      <w:szCs w:val="56"/>
    </w:rPr>
  </w:style>
  <w:style w:type="paragraph" w:styleId="Subtitle">
    <w:name w:val="Subtitle"/>
    <w:basedOn w:val="Normal"/>
    <w:next w:val="Normal"/>
    <w:link w:val="SubtitleChar"/>
    <w:uiPriority w:val="11"/>
    <w:qFormat/>
    <w:rsid w:val="007F205B"/>
    <w:pPr>
      <w:numPr>
        <w:ilvl w:val="1"/>
      </w:numPr>
    </w:pPr>
    <w:rPr>
      <w:rFonts w:cstheme="majorBidi" w:eastAsiaTheme="majorEastAsia"/>
      <w:color w:val="595959" w:themeColor="text1" w:themeTint="A6"/>
      <w:sz w:val="28"/>
      <w:szCs w:val="28"/>
    </w:rPr>
  </w:style>
  <w:style w:type="character" w:customStyle="1" w:styleId="SubtitleChar">
    <w:name w:val="Subtitle Char"/>
    <w:basedOn w:val="DefaultParagraphFont"/>
    <w:link w:val="Subtitle"/>
    <w:uiPriority w:val="11"/>
    <w:rsid w:val="007F205B"/>
    <w:rPr>
      <w:rFonts w:cstheme="majorBidi" w:eastAsiaTheme="majorEastAsia"/>
      <w:color w:val="595959" w:themeColor="text1" w:themeTint="A6"/>
      <w:sz w:val="28"/>
      <w:szCs w:val="28"/>
    </w:rPr>
  </w:style>
  <w:style w:type="paragraph" w:styleId="Quote">
    <w:name w:val="Quote"/>
    <w:basedOn w:val="Normal"/>
    <w:next w:val="Normal"/>
    <w:link w:val="QuoteChar"/>
    <w:uiPriority w:val="29"/>
    <w:qFormat/>
    <w:rsid w:val="007F205B"/>
    <w:pPr>
      <w:spacing w:before="160"/>
      <w:jc w:val="center"/>
    </w:pPr>
    <w:rPr>
      <w:i/>
      <w:iCs/>
      <w:color w:val="404040" w:themeColor="text1" w:themeTint="BF"/>
    </w:rPr>
  </w:style>
  <w:style w:type="character" w:customStyle="1" w:styleId="QuoteChar">
    <w:name w:val="Quote Char"/>
    <w:basedOn w:val="DefaultParagraphFont"/>
    <w:link w:val="Quote"/>
    <w:uiPriority w:val="29"/>
    <w:rsid w:val="007F205B"/>
    <w:rPr>
      <w:i/>
      <w:iCs/>
      <w:color w:val="404040" w:themeColor="text1" w:themeTint="BF"/>
    </w:rPr>
  </w:style>
  <w:style w:type="paragraph" w:styleId="ListParagraph">
    <w:name w:val="List Paragraph"/>
    <w:basedOn w:val="Normal"/>
    <w:uiPriority w:val="34"/>
    <w:qFormat/>
    <w:rsid w:val="007F205B"/>
    <w:pPr>
      <w:ind w:left="720"/>
      <w:contextualSpacing/>
    </w:pPr>
  </w:style>
  <w:style w:type="character" w:styleId="IntenseEmphasis">
    <w:name w:val="Intense Emphasis"/>
    <w:basedOn w:val="DefaultParagraphFont"/>
    <w:uiPriority w:val="21"/>
    <w:qFormat/>
    <w:rsid w:val="007F205B"/>
    <w:rPr>
      <w:i/>
      <w:iCs/>
      <w:color w:val="0F4761" w:themeColor="accent1" w:themeShade="BF"/>
    </w:rPr>
  </w:style>
  <w:style w:type="paragraph" w:styleId="IntenseQuote">
    <w:name w:val="Intense Quote"/>
    <w:basedOn w:val="Normal"/>
    <w:next w:val="Normal"/>
    <w:link w:val="IntenseQuoteChar"/>
    <w:uiPriority w:val="30"/>
    <w:qFormat/>
    <w:rsid w:val="007F2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05B"/>
    <w:rPr>
      <w:i/>
      <w:iCs/>
      <w:color w:val="0F4761" w:themeColor="accent1" w:themeShade="BF"/>
    </w:rPr>
  </w:style>
  <w:style w:type="character" w:styleId="IntenseReference">
    <w:name w:val="Intense Reference"/>
    <w:basedOn w:val="DefaultParagraphFont"/>
    <w:uiPriority w:val="32"/>
    <w:qFormat/>
    <w:rsid w:val="007F205B"/>
    <w:rPr>
      <w:b/>
      <w:bCs/>
      <w:smallCaps/>
      <w:color w:val="0F4761" w:themeColor="accent1" w:themeShade="BF"/>
    </w:rPr>
  </w:style>
  <w:style w:type="table" w:styleId="TableGrid">
    <w:name w:val="Table Grid"/>
    <w:basedOn w:val="TableNormal"/>
    <w:uiPriority w:val="39"/>
    <w:rsid w:val="007F205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F20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205B"/>
    <w:rPr>
      <w:kern w:val="0"/>
      <w:sz w:val="20"/>
      <w:szCs w:val="20"/>
      <w14:ligatures w14:val="none"/>
    </w:rPr>
  </w:style>
  <w:style w:type="character" w:styleId="FootnoteReference">
    <w:name w:val="footnote reference"/>
    <w:basedOn w:val="DefaultParagraphFont"/>
    <w:uiPriority w:val="99"/>
    <w:semiHidden/>
    <w:unhideWhenUsed/>
    <w:rsid w:val="007F205B"/>
    <w:rPr>
      <w:vertAlign w:val="superscript"/>
    </w:rPr>
  </w:style>
  <w:style w:type="paragraph" w:styleId="Header">
    <w:name w:val="header"/>
    <w:basedOn w:val="Normal"/>
    <w:link w:val="HeaderChar"/>
    <w:uiPriority w:val="99"/>
    <w:unhideWhenUsed/>
    <w:rsid w:val="007F20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05B"/>
    <w:rPr>
      <w:kern w:val="0"/>
      <w:sz w:val="22"/>
      <w:szCs w:val="22"/>
      <w14:ligatures w14:val="none"/>
    </w:rPr>
  </w:style>
  <w:style w:type="paragraph" w:styleId="Footer">
    <w:name w:val="footer"/>
    <w:basedOn w:val="Normal"/>
    <w:link w:val="FooterChar"/>
    <w:uiPriority w:val="99"/>
    <w:unhideWhenUsed/>
    <w:rsid w:val="007F20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05B"/>
    <w:rPr>
      <w:kern w:val="0"/>
      <w:sz w:val="22"/>
      <w:szCs w:val="22"/>
      <w14:ligatures w14:val="none"/>
    </w:rPr>
  </w:style>
  <w:style w:type="paragraph" w:styleId="BodyText">
    <w:name w:val="Body Text"/>
    <w:basedOn w:val="Normal"/>
    <w:link w:val="BodyTextChar"/>
    <w:uiPriority w:val="1"/>
    <w:qFormat/>
    <w:rsid w:val="007F205B"/>
    <w:pPr>
      <w:widowControl w:val="0"/>
      <w:autoSpaceDE w:val="0"/>
      <w:autoSpaceDN w:val="0"/>
      <w:spacing w:after="0" w:line="240" w:lineRule="auto"/>
      <w:jc w:val="both"/>
    </w:pPr>
    <w:rPr>
      <w:rFonts w:ascii="Times New Roman" w:hAnsi="Times New Roman" w:cs="Times New Roman" w:eastAsia="Times New Roman"/>
      <w:sz w:val="24"/>
      <w:szCs w:val="20"/>
    </w:rPr>
  </w:style>
  <w:style w:type="character" w:customStyle="1" w:styleId="BodyTextChar">
    <w:name w:val="Body Text Char"/>
    <w:basedOn w:val="DefaultParagraphFont"/>
    <w:link w:val="BodyText"/>
    <w:uiPriority w:val="1"/>
    <w:rsid w:val="007F205B"/>
    <w:rPr>
      <w:rFonts w:ascii="Times New Roman" w:hAnsi="Times New Roman" w:cs="Times New Roman" w:eastAsia="Times New Roman"/>
      <w:kern w:val="0"/>
      <w:szCs w:val="20"/>
      <w14:ligatures w14:val="none"/>
    </w:rPr>
  </w:style>
  <w:style w:type="paragraph" w:customStyle="1" w:styleId="P68B1DB1-Title1">
    <w:name w:val="P68B1DB1-Title1"/>
    <w:basedOn w:val="Title"/>
    <w:rsid w:val="007F205B"/>
    <w:pPr>
      <w:widowControl w:val="0"/>
      <w:autoSpaceDE w:val="0"/>
      <w:autoSpaceDN w:val="0"/>
      <w:spacing w:before="59" w:after="0"/>
      <w:ind w:left="139"/>
      <w:contextualSpacing w:val="0"/>
      <w:jc w:val="center"/>
    </w:pPr>
    <w:rPr>
      <w:rFonts w:ascii="Times New Roman" w:hAnsi="Times New Roman" w:cs="Times New Roman" w:eastAsia="Times New Roman"/>
      <w:b/>
      <w:kern w:val="0"/>
      <w:sz w:val="32"/>
      <w:szCs w:val="20"/>
      <w:u w:val="single" w:color="000000"/>
    </w:rPr>
  </w:style>
  <w:style w:type="paragraph" w:customStyle="1" w:styleId="P68B1DB1-Normal3">
    <w:name w:val="P68B1DB1-Normal3"/>
    <w:basedOn w:val="Normal"/>
    <w:rsid w:val="007F205B"/>
    <w:pPr>
      <w:widowControl w:val="0"/>
      <w:autoSpaceDE w:val="0"/>
      <w:autoSpaceDN w:val="0"/>
      <w:spacing w:after="0" w:line="240" w:lineRule="auto"/>
    </w:pPr>
    <w:rPr>
      <w:rFonts w:ascii="Times New Roman" w:hAnsi="Times New Roman" w:cs="Times New Roman" w:eastAsia="Times New Roman"/>
      <w:b/>
      <w:smallCaps/>
      <w:sz w:val="24"/>
      <w:szCs w:val="20"/>
    </w:rPr>
  </w:style>
  <w:style w:type="paragraph" w:customStyle="1" w:styleId="P68B1DB1-BodyText4">
    <w:name w:val="P68B1DB1-BodyText4"/>
    <w:basedOn w:val="BodyText"/>
    <w:rsid w:val="007F205B"/>
    <w:rPr>
      <w:sz w:val="20"/>
    </w:rPr>
  </w:style>
  <w:style w:type="character" w:styleId="Hyperlink">
    <w:name w:val="Hyperlink"/>
    <w:basedOn w:val="DefaultParagraphFont"/>
    <w:uiPriority w:val="99"/>
    <w:unhideWhenUsed/>
    <w:rsid w:val="008E22D9"/>
    <w:rPr>
      <w:color w:val="467886" w:themeColor="hyperlink"/>
      <w:u w:val="single"/>
    </w:rPr>
  </w:style>
  <w:style w:type="paragraph" w:customStyle="1" w:styleId="P68B1DB1-ListParagraph2">
    <w:name w:val="P68B1DB1-ListParagraph2"/>
    <w:basedOn w:val="ListParagraph"/>
    <w:rsid w:val="004E15FB"/>
    <w:pPr>
      <w:widowControl w:val="0"/>
      <w:autoSpaceDE w:val="0"/>
      <w:autoSpaceDN w:val="0"/>
      <w:spacing w:after="0" w:line="240" w:lineRule="auto"/>
      <w:ind w:left="396" w:right="111" w:hanging="142"/>
      <w:contextualSpacing w:val="0"/>
      <w:jc w:val="both"/>
    </w:pPr>
    <w:rPr>
      <w:rFonts w:ascii="Times New Roman" w:hAnsi="Times New Roman" w:cs="Times New Roman" w:eastAsia="Times New Roman"/>
      <w:sz w:val="24"/>
      <w:szCs w:val="20"/>
    </w:rPr>
  </w:style>
  <w:style w:type="paragraph" w:customStyle="1" w:styleId="P68B1DB1-Heading15">
    <w:name w:val="P68B1DB1-Heading15"/>
    <w:basedOn w:val="Heading1"/>
    <w:rsid w:val="00AA4F20"/>
    <w:pPr>
      <w:keepNext w:val="0"/>
      <w:keepLines w:val="0"/>
      <w:widowControl w:val="0"/>
      <w:autoSpaceDE w:val="0"/>
      <w:autoSpaceDN w:val="0"/>
      <w:spacing w:before="0" w:after="0" w:line="240" w:lineRule="auto"/>
      <w:ind w:left="446"/>
    </w:pPr>
    <w:rPr>
      <w:rFonts w:ascii="Times New Roman" w:hAnsi="Times New Roman" w:cs="Times New Roman" w:eastAsia="Times New Roman"/>
      <w:b/>
      <w:color w:val="auto"/>
      <w:sz w:val="24"/>
      <w:szCs w:val="20"/>
      <w:u w:val="single"/>
    </w:rPr>
  </w:style>
  <w:style w:type="character" w:styleId="CommentReference">
    <w:name w:val="annotation reference"/>
    <w:basedOn w:val="DefaultParagraphFont"/>
    <w:uiPriority w:val="99"/>
    <w:semiHidden/>
    <w:unhideWhenUsed/>
    <w:rsid w:val="00AC368B"/>
    <w:rPr>
      <w:sz w:val="16"/>
      <w:szCs w:val="16"/>
    </w:rPr>
  </w:style>
  <w:style w:type="paragraph" w:styleId="CommentText">
    <w:name w:val="annotation text"/>
    <w:basedOn w:val="Normal"/>
    <w:link w:val="CommentTextChar"/>
    <w:uiPriority w:val="99"/>
    <w:unhideWhenUsed/>
    <w:rsid w:val="00AC368B"/>
    <w:pPr>
      <w:spacing w:line="240" w:lineRule="auto"/>
    </w:pPr>
    <w:rPr>
      <w:sz w:val="20"/>
      <w:szCs w:val="20"/>
    </w:rPr>
  </w:style>
  <w:style w:type="character" w:customStyle="1" w:styleId="CommentTextChar">
    <w:name w:val="Comment Text Char"/>
    <w:basedOn w:val="DefaultParagraphFont"/>
    <w:link w:val="CommentText"/>
    <w:uiPriority w:val="99"/>
    <w:rsid w:val="00AC368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C368B"/>
    <w:rPr>
      <w:b/>
      <w:bCs/>
    </w:rPr>
  </w:style>
  <w:style w:type="character" w:customStyle="1" w:styleId="CommentSubjectChar">
    <w:name w:val="Comment Subject Char"/>
    <w:basedOn w:val="CommentTextChar"/>
    <w:link w:val="CommentSubject"/>
    <w:uiPriority w:val="99"/>
    <w:semiHidden/>
    <w:rsid w:val="00AC368B"/>
    <w:rPr>
      <w:b/>
      <w:bCs/>
      <w:kern w:val="0"/>
      <w:sz w:val="20"/>
      <w:szCs w:val="20"/>
      <w14:ligatures w14:val="none"/>
    </w:rPr>
  </w:style>
  <w:style w:type="character" w:styleId="UnresolvedMention">
    <w:name w:val="Unresolved Mention"/>
    <w:basedOn w:val="DefaultParagraphFont"/>
    <w:uiPriority w:val="99"/>
    <w:semiHidden/>
    <w:unhideWhenUsed/>
    <w:rsid w:val="00D4431B"/>
    <w:rPr>
      <w:color w:val="605E5C"/>
      <w:shd w:val="clear" w:color="auto" w:fill="E1DFDD"/>
    </w:rPr>
  </w:style>
  <w:style w:type="character" w:styleId="FollowedHyperlink">
    <w:name w:val="FollowedHyperlink"/>
    <w:basedOn w:val="DefaultParagraphFont"/>
    <w:uiPriority w:val="99"/>
    <w:semiHidden/>
    <w:unhideWhenUsed/>
    <w:rsid w:val="00973E73"/>
    <w:rPr>
      <w:color w:val="96607D" w:themeColor="followedHyperlink"/>
      <w:u w:val="single"/>
    </w:rPr>
  </w:style>
  <w:style w:type="paragraph" w:styleId="Revision">
    <w:name w:val="Revision"/>
    <w:hidden/>
    <w:uiPriority w:val="99"/>
    <w:semiHidden/>
    <w:rsid w:val="008F17FD"/>
    <w:pPr>
      <w:spacing w:after="0" w:line="240" w:lineRule="auto"/>
    </w:pPr>
    <w:rPr>
      <w:kern w:val="0"/>
      <w:sz w:val="22"/>
      <w:szCs w:val="22"/>
      <w14:ligatures w14:val="none"/>
    </w:rPr>
  </w:style>
  <w:style w:type="paragraph" w:customStyle="1" w:styleId="P68B1DB1-BodyText1">
    <w:name w:val="P68B1DB1-BodyText1"/>
    <w:basedOn w:val="BodyText"/>
    <w:rPr>
      <w:sz w:val="20"/>
      <w:u w:val="single"/>
    </w:rPr>
  </w:style>
  <w:style w:type="paragraph" w:customStyle="1" w:styleId="P68B1DB1-BodyText2">
    <w:name w:val="P68B1DB1-BodyText2"/>
    <w:basedOn w:val="BodyText"/>
    <w:rPr>
      <w:i/>
      <w:sz w:val="16"/>
      <w:szCs w:val="16"/>
    </w:rPr>
  </w:style>
  <w:style w:type="paragraph" w:customStyle="1" w:styleId="P68B1DB1-Normal4">
    <w:name w:val="P68B1DB1-Normal4"/>
    <w:basedOn w:val="Normal"/>
    <w:rPr>
      <w:sz w:val="20"/>
    </w:rPr>
  </w:style>
  <w:style w:type="paragraph" w:customStyle="1" w:styleId="P68B1DB1-Normal5">
    <w:name w:val="P68B1DB1-Normal5"/>
    <w:basedOn w:val="Normal"/>
    <w:rPr>
      <w:rFonts w:ascii="Times New Roman" w:hAnsi="Times New Roman" w:cs="Times New Roman"/>
      <w:b/>
      <w:sz w:val="24"/>
      <w:szCs w:val="24"/>
      <w:u w:val="single"/>
    </w:rPr>
  </w:style>
  <w:style w:type="paragraph" w:customStyle="1" w:styleId="P68B1DB1-Normal6">
    <w:name w:val="P68B1DB1-Normal6"/>
    <w:basedOn w:val="Normal"/>
    <w:rPr>
      <w:rFonts w:ascii="Times New Roman" w:hAnsi="Times New Roman" w:cs="Times New Roman"/>
      <w:b/>
      <w:sz w:val="24"/>
      <w:szCs w:val="24"/>
    </w:rPr>
  </w:style>
  <w:style w:type="paragraph" w:customStyle="1" w:styleId="P68B1DB1-Normal7">
    <w:name w:val="P68B1DB1-Normal7"/>
    <w:basedOn w:val="Normal"/>
    <w:rPr>
      <w:rFonts w:ascii="Times New Roman" w:hAnsi="Times New Roman" w:cs="Times New Roman"/>
      <w:sz w:val="24"/>
      <w:szCs w:val="24"/>
    </w:rPr>
  </w:style>
  <w:style w:type="paragraph" w:customStyle="1" w:styleId="P68B1DB1-Normal8">
    <w:name w:val="P68B1DB1-Normal8"/>
    <w:basedOn w:val="Normal"/>
    <w:rPr>
      <w:rFonts w:ascii="Times New Roman" w:hAnsi="Times New Roman" w:cs="Times New Roman" w:eastAsia="Times New Roman"/>
      <w:sz w:val="24"/>
      <w:szCs w:val="24"/>
    </w:rPr>
  </w:style>
  <w:style w:type="paragraph" w:customStyle="1" w:styleId="P68B1DB1-P68B1DB1-Normal39">
    <w:name w:val="P68B1DB1-P68B1DB1-Normal39"/>
    <w:basedOn w:val="P68B1DB1-Normal3"/>
    <w:rPr>
      <w:sz w:val="28"/>
      <w:szCs w:val="22"/>
    </w:rPr>
  </w:style>
  <w:style w:type="paragraph" w:customStyle="1" w:styleId="P68B1DB1-BodyText10">
    <w:name w:val="P68B1DB1-BodyText10"/>
    <w:basedOn w:val="BodyText"/>
    <w:rPr>
      <w:b/>
    </w:rPr>
  </w:style>
  <w:style w:type="paragraph" w:customStyle="1" w:styleId="P68B1DB1-BodyText11">
    <w:name w:val="P68B1DB1-BodyText11"/>
    <w:basedOn w:val="BodyText"/>
    <w:rPr>
      <w:i/>
    </w:rPr>
  </w:style>
  <w:style w:type="paragraph" w:customStyle="1" w:styleId="P68B1DB1-Normal12">
    <w:name w:val="P68B1DB1-Normal12"/>
    <w:basedOn w:val="Normal"/>
    <w:rPr>
      <w:rFonts w:ascii="Times New Roman" w:hAnsi="Times New Roman" w:cs="Times New Roman"/>
      <w:i/>
      <w:sz w:val="24"/>
      <w:szCs w:val="24"/>
    </w:rPr>
  </w:style>
  <w:style w:type="paragraph" w:customStyle="1" w:styleId="P68B1DB1-Normal13">
    <w:name w:val="P68B1DB1-Normal13"/>
    <w:basedOn w:val="Normal"/>
    <w:rPr>
      <w:rFonts w:ascii="Times New Roman" w:hAnsi="Times New Roman" w:cs="Times New Roman" w:eastAsia="Times New Roman"/>
      <w:b/>
      <w:i/>
      <w:szCs w:val="20"/>
    </w:rPr>
  </w:style>
  <w:style w:type="paragraph" w:customStyle="1" w:styleId="P68B1DB1-Normal14">
    <w:name w:val="P68B1DB1-Normal14"/>
    <w:basedOn w:val="Normal"/>
    <w:rPr>
      <w:rFonts w:ascii="Times New Roman" w:hAnsi="Times New Roman" w:cs="Times New Roman" w:eastAsia="Times New Roman"/>
      <w:szCs w:val="20"/>
    </w:rPr>
  </w:style>
  <w:style w:type="paragraph" w:customStyle="1" w:styleId="P68B1DB1-Normal15">
    <w:name w:val="P68B1DB1-Normal15"/>
    <w:basedOn w:val="Normal"/>
    <w:rPr>
      <w:rFonts w:ascii="Times New Roman" w:hAnsi="Times New Roman" w:cs="Times New Roman" w:eastAsia="Times New Roman"/>
      <w:i/>
      <w:sz w:val="20"/>
      <w:szCs w:val="16"/>
    </w:rPr>
  </w:style>
  <w:style w:type="paragraph" w:customStyle="1" w:styleId="P68B1DB1-Normal16">
    <w:name w:val="P68B1DB1-Normal16"/>
    <w:basedOn w:val="Normal"/>
    <w:rPr>
      <w:rFonts w:ascii="Times New Roman" w:hAnsi="Times New Roman" w:cs="Times New Roman" w:eastAsia="Times New Roman"/>
      <w:sz w:val="20"/>
      <w:szCs w:val="16"/>
    </w:rPr>
  </w:style>
  <w:style w:type="paragraph" w:customStyle="1" w:styleId="P68B1DB1-Normal17">
    <w:name w:val="P68B1DB1-Normal17"/>
    <w:basedOn w:val="Normal"/>
    <w:rPr>
      <w:rFonts w:ascii="Times New Roman" w:hAnsi="Times New Roman" w:cs="Times New Roman" w:eastAsia="Times New Roman"/>
    </w:rPr>
  </w:style>
  <w:style w:type="paragraph" w:customStyle="1" w:styleId="P68B1DB1-Normal18">
    <w:name w:val="P68B1DB1-Normal18"/>
    <w:basedOn w:val="Normal"/>
    <w:rPr>
      <w:rFonts w:ascii="Times New Roman" w:hAnsi="Times New Roman" w:cs="Times New Roman" w:eastAsia="Times New Roman"/>
      <w:i/>
      <w:sz w:val="20"/>
      <w:szCs w:val="20"/>
    </w:rPr>
  </w:style>
  <w:style w:type="paragraph" w:customStyle="1" w:styleId="P68B1DB1-BodyText19">
    <w:name w:val="P68B1DB1-BodyText19"/>
    <w:basedOn w:val="BodyText"/>
    <w:rPr>
      <w:i/>
      <w:sz w:val="20"/>
    </w:rPr>
  </w:style>
  <w:style w:type="paragraph" w:customStyle="1" w:styleId="P68B1DB1-Normal20">
    <w:name w:val="P68B1DB1-Normal20"/>
    <w:basedOn w:val="Normal"/>
    <w:rPr>
      <w:rFonts w:ascii="Times New Roman" w:hAnsi="Times New Roman" w:cs="Times New Roman"/>
      <w:i/>
      <w:sz w:val="20"/>
      <w:szCs w:val="20"/>
    </w:rPr>
  </w:style>
  <w:style w:type="paragraph" w:customStyle="1" w:styleId="P68B1DB1-ListParagraph21">
    <w:name w:val="P68B1DB1-ListParagraph21"/>
    <w:basedOn w:val="ListParagraph"/>
    <w:rPr>
      <w:rFonts w:ascii="Times New Roman" w:hAnsi="Times New Roman" w:cs="Times New Roman"/>
      <w:i/>
      <w:sz w:val="24"/>
      <w:szCs w:val="24"/>
    </w:rPr>
  </w:style>
  <w:style w:type="paragraph" w:customStyle="1" w:styleId="P68B1DB1-BodyText22">
    <w:name w:val="P68B1DB1-BodyText22"/>
    <w:basedOn w:val="BodyText"/>
    <w:rPr>
      <w:sz w:val="22"/>
      <w:szCs w:val="18"/>
    </w:rPr>
  </w:style>
  <w:style w:type="paragraph" w:customStyle="1" w:styleId="P68B1DB1-BodyText23">
    <w:name w:val="P68B1DB1-BodyText23"/>
    <w:basedOn w:val="BodyText"/>
    <w:rPr>
      <w:i/>
      <w:szCs w:val="24"/>
    </w:rPr>
  </w:style>
  <w:style w:type="paragraph" w:customStyle="1" w:styleId="P68B1DB1-BodyText24">
    <w:name w:val="P68B1DB1-BodyText24"/>
    <w:basedOn w:val="BodyText"/>
    <w:rPr>
      <w:szCs w:val="24"/>
    </w:rPr>
  </w:style>
  <w:style w:type="paragraph" w:customStyle="1" w:styleId="P68B1DB1-BodyText25">
    <w:name w:val="P68B1DB1-BodyText25"/>
    <w:basedOn w:val="BodyText"/>
    <w:rPr>
      <w:i/>
      <w:sz w:val="20"/>
      <w:szCs w:val="16"/>
    </w:rPr>
  </w:style>
  <w:style w:type="paragraph" w:customStyle="1" w:styleId="P68B1DB1-P68B1DB1-ListParagraph226">
    <w:name w:val="P68B1DB1-P68B1DB1-ListParagraph226"/>
    <w:basedOn w:val="P68B1DB1-ListParagraph2"/>
    <w:rPr>
      <w:i/>
      <w:sz w:val="20"/>
      <w:szCs w:val="16"/>
    </w:rPr>
  </w:style>
  <w:style w:type="paragraph" w:customStyle="1" w:styleId="P68B1DB1-ListParagraph27">
    <w:name w:val="P68B1DB1-ListParagraph27"/>
    <w:basedOn w:val="ListParagraph"/>
    <w:rPr>
      <w:rFonts w:ascii="Times New Roman" w:hAnsi="Times New Roman" w:cs="Times New Roman" w:eastAsia="Times New Roman"/>
      <w:b/>
      <w:sz w:val="20"/>
      <w:szCs w:val="16"/>
    </w:rPr>
  </w:style>
  <w:style w:type="paragraph" w:customStyle="1" w:styleId="P68B1DB1-Normal28">
    <w:name w:val="P68B1DB1-Normal28"/>
    <w:basedOn w:val="Normal"/>
    <w:rPr>
      <w:rFonts w:ascii="Times New Roman" w:hAnsi="Times New Roman" w:cs="Times New Roman" w:eastAsia="Times New Roman"/>
      <w:i/>
      <w:sz w:val="24"/>
      <w:szCs w:val="24"/>
    </w:rPr>
  </w:style>
  <w:style w:type="paragraph" w:customStyle="1" w:styleId="P68B1DB1-Normal29">
    <w:name w:val="P68B1DB1-Normal29"/>
    <w:basedOn w:val="Normal"/>
    <w:rPr>
      <w:rFonts w:ascii="Times New Roman" w:hAnsi="Times New Roman" w:cs="Times New Roman"/>
      <w:sz w:val="20"/>
      <w:szCs w:val="20"/>
    </w:rPr>
  </w:style>
  <w:style w:type="paragraph" w:customStyle="1" w:styleId="P68B1DB1-ListParagraph30">
    <w:name w:val="P68B1DB1-ListParagraph30"/>
    <w:basedOn w:val="ListParagraph"/>
    <w:rPr>
      <w:rFonts w:ascii="Times New Roman" w:hAnsi="Times New Roman" w:cs="Times New Roman"/>
      <w:b/>
      <w:sz w:val="24"/>
      <w:szCs w:val="24"/>
    </w:rPr>
  </w:style>
  <w:style w:type="paragraph" w:customStyle="1" w:styleId="P68B1DB1-Normal31">
    <w:name w:val="P68B1DB1-Normal31"/>
    <w:basedOn w:val="Normal"/>
    <w:rPr>
      <w:rFonts w:ascii="Times New Roman" w:hAnsi="Times New Roman" w:cs="Times New Roman"/>
      <w:i/>
      <w:sz w:val="20"/>
      <w:szCs w:val="16"/>
    </w:rPr>
  </w:style>
  <w:style w:type="paragraph" w:customStyle="1" w:styleId="P68B1DB1-Normal32">
    <w:name w:val="P68B1DB1-Normal32"/>
    <w:basedOn w:val="Normal"/>
    <w:rPr>
      <w:rFonts w:ascii="Times New Roman" w:hAnsi="Times New Roman" w:cs="Times New Roman" w:eastAsia="Times New Roman"/>
      <w:sz w:val="20"/>
      <w:szCs w:val="20"/>
    </w:rPr>
  </w:style>
  <w:style w:type="paragraph" w:customStyle="1" w:styleId="P68B1DB1-Normal33">
    <w:name w:val="P68B1DB1-Normal33"/>
    <w:basedOn w:val="Normal"/>
    <w:rPr>
      <w:sz w:val="20"/>
      <w:szCs w:val="16"/>
    </w:rPr>
  </w:style>
  <w:style w:type="paragraph" w:customStyle="1" w:styleId="P68B1DB1-BodyText34">
    <w:name w:val="P68B1DB1-BodyText34"/>
    <w:basedOn w:val="BodyText"/>
    <w:rPr>
      <w:b/>
      <w:sz w:val="28"/>
      <w:szCs w:val="22"/>
    </w:rPr>
  </w:style>
  <w:style w:type="paragraph" w:styleId="TOCHeading">
    <w:name w:val="TOC Heading"/>
    <w:basedOn w:val="Heading1"/>
    <w:next w:val="Normal"/>
    <w:uiPriority w:val="39"/>
    <w:unhideWhenUsed/>
    <w:qFormat/>
    <w:rsid w:val="00FF0D22"/>
    <w:pPr>
      <w:spacing w:before="240" w:after="0"/>
      <w:outlineLvl w:val="9"/>
    </w:pPr>
    <w:rPr>
      <w:sz w:val="32"/>
      <w:szCs w:val="32"/>
    </w:rPr>
  </w:style>
  <w:style w:type="paragraph" w:styleId="TOC2">
    <w:name w:val="toc 2"/>
    <w:basedOn w:val="Normal"/>
    <w:next w:val="Normal"/>
    <w:autoRedefine/>
    <w:uiPriority w:val="39"/>
    <w:unhideWhenUsed/>
    <w:rsid w:val="00FF0D22"/>
    <w:pPr>
      <w:spacing w:after="0"/>
      <w:ind w:left="220"/>
    </w:pPr>
    <w:rPr>
      <w:smallCaps/>
      <w:sz w:val="20"/>
      <w:szCs w:val="20"/>
    </w:rPr>
  </w:style>
  <w:style w:type="paragraph" w:styleId="TOC1">
    <w:name w:val="toc 1"/>
    <w:basedOn w:val="Normal"/>
    <w:next w:val="Normal"/>
    <w:autoRedefine/>
    <w:uiPriority w:val="39"/>
    <w:unhideWhenUsed/>
    <w:rsid w:val="00FF0D22"/>
    <w:pPr>
      <w:spacing w:before="120" w:after="120"/>
    </w:pPr>
    <w:rPr>
      <w:b/>
      <w:bCs/>
      <w:caps/>
      <w:sz w:val="20"/>
      <w:szCs w:val="20"/>
    </w:rPr>
  </w:style>
  <w:style w:type="paragraph" w:styleId="TOC3">
    <w:name w:val="toc 3"/>
    <w:basedOn w:val="Normal"/>
    <w:next w:val="Normal"/>
    <w:autoRedefine/>
    <w:uiPriority w:val="39"/>
    <w:unhideWhenUsed/>
    <w:rsid w:val="00FF0D22"/>
    <w:pPr>
      <w:spacing w:after="0"/>
      <w:ind w:left="440"/>
    </w:pPr>
    <w:rPr>
      <w:i/>
      <w:iCs/>
      <w:sz w:val="20"/>
      <w:szCs w:val="20"/>
    </w:rPr>
  </w:style>
  <w:style w:type="paragraph" w:styleId="TOC4">
    <w:name w:val="toc 4"/>
    <w:basedOn w:val="Normal"/>
    <w:next w:val="Normal"/>
    <w:autoRedefine/>
    <w:uiPriority w:val="39"/>
    <w:unhideWhenUsed/>
    <w:rsid w:val="00FF0D22"/>
    <w:pPr>
      <w:spacing w:after="0"/>
      <w:ind w:left="660"/>
    </w:pPr>
    <w:rPr>
      <w:sz w:val="18"/>
      <w:szCs w:val="18"/>
    </w:rPr>
  </w:style>
  <w:style w:type="paragraph" w:styleId="TOC5">
    <w:name w:val="toc 5"/>
    <w:basedOn w:val="Normal"/>
    <w:next w:val="Normal"/>
    <w:autoRedefine/>
    <w:uiPriority w:val="39"/>
    <w:unhideWhenUsed/>
    <w:rsid w:val="00FF0D22"/>
    <w:pPr>
      <w:spacing w:after="0"/>
      <w:ind w:left="880"/>
    </w:pPr>
    <w:rPr>
      <w:sz w:val="18"/>
      <w:szCs w:val="18"/>
    </w:rPr>
  </w:style>
  <w:style w:type="paragraph" w:styleId="TOC6">
    <w:name w:val="toc 6"/>
    <w:basedOn w:val="Normal"/>
    <w:next w:val="Normal"/>
    <w:autoRedefine/>
    <w:uiPriority w:val="39"/>
    <w:unhideWhenUsed/>
    <w:rsid w:val="00FF0D22"/>
    <w:pPr>
      <w:spacing w:after="0"/>
      <w:ind w:left="1100"/>
    </w:pPr>
    <w:rPr>
      <w:sz w:val="18"/>
      <w:szCs w:val="18"/>
    </w:rPr>
  </w:style>
  <w:style w:type="paragraph" w:styleId="TOC7">
    <w:name w:val="toc 7"/>
    <w:basedOn w:val="Normal"/>
    <w:next w:val="Normal"/>
    <w:autoRedefine/>
    <w:uiPriority w:val="39"/>
    <w:unhideWhenUsed/>
    <w:rsid w:val="00FF0D22"/>
    <w:pPr>
      <w:spacing w:after="0"/>
      <w:ind w:left="1320"/>
    </w:pPr>
    <w:rPr>
      <w:sz w:val="18"/>
      <w:szCs w:val="18"/>
    </w:rPr>
  </w:style>
  <w:style w:type="paragraph" w:styleId="TOC8">
    <w:name w:val="toc 8"/>
    <w:basedOn w:val="Normal"/>
    <w:next w:val="Normal"/>
    <w:autoRedefine/>
    <w:uiPriority w:val="39"/>
    <w:unhideWhenUsed/>
    <w:rsid w:val="00FF0D22"/>
    <w:pPr>
      <w:spacing w:after="0"/>
      <w:ind w:left="1540"/>
    </w:pPr>
    <w:rPr>
      <w:sz w:val="18"/>
      <w:szCs w:val="18"/>
    </w:rPr>
  </w:style>
  <w:style w:type="paragraph" w:styleId="TOC9">
    <w:name w:val="toc 9"/>
    <w:basedOn w:val="Normal"/>
    <w:next w:val="Normal"/>
    <w:autoRedefine/>
    <w:uiPriority w:val="39"/>
    <w:unhideWhenUsed/>
    <w:rsid w:val="00FF0D22"/>
    <w:pPr>
      <w:spacing w:after="0"/>
      <w:ind w:left="1760"/>
    </w:pPr>
    <w:rPr>
      <w:sz w:val="18"/>
      <w:szCs w:val="18"/>
    </w:rPr>
  </w:style>
  <w:style w:type="paragraph" w:styleId="P68B1DB1-P68B1DB1-Title11">
    <w:name w:val="P68B1DB1-P68B1DB1-Title11"/>
    <w:basedOn w:val="P68B1DB1-Title1"/>
    <w:rPr>
      <w:i/>
      <w:color w:val="FF0000"/>
      <w:sz w:val="24"/>
      <w:szCs w:val="24"/>
      <w:u w:val="none"/>
    </w:rPr>
  </w:style>
  <w:style w:type="paragraph" w:styleId="P68B1DB1-TOC12">
    <w:name w:val="P68B1DB1-TOC12"/>
    <w:basedOn w:val="TOC1"/>
    <w:rPr>
      <w:rFonts w:ascii="Times New Roman" w:hAnsi="Times New Roman" w:cs="Times New Roman"/>
    </w:rPr>
  </w:style>
  <w:style w:type="paragraph" w:styleId="P68B1DB1-Heading13">
    <w:name w:val="P68B1DB1-Heading13"/>
    <w:basedOn w:val="Heading1"/>
    <w:rPr>
      <w:color w:val="auto"/>
    </w:rPr>
  </w:style>
  <w:style w:type="paragraph" w:styleId="P68B1DB1-Heading24">
    <w:name w:val="P68B1DB1-Heading24"/>
    <w:basedOn w:val="Heading2"/>
    <w:rPr>
      <w:color w:val="auto"/>
    </w:rPr>
  </w:style>
  <w:style w:type="paragraph" w:styleId="P68B1DB1-P68B1DB1-Normal135">
    <w:name w:val="P68B1DB1-P68B1DB1-Normal135"/>
    <w:basedOn w:val="P68B1DB1-Normal13"/>
    <w:rPr>
      <w:b w:val="0"/>
      <w:i w:val="0"/>
    </w:rPr>
  </w:style>
  <w:style w:type="paragraph" w:styleId="P68B1DB1-P68B1DB1-Normal146">
    <w:name w:val="P68B1DB1-P68B1DB1-Normal146"/>
    <w:basedOn w:val="P68B1DB1-Normal14"/>
    <w:rPr>
      <w:i/>
      <w:sz w:val="20"/>
    </w:rPr>
  </w:style>
  <w:style w:type="paragraph" w:styleId="P68B1DB1-P68B1DB1-Normal147">
    <w:name w:val="P68B1DB1-P68B1DB1-Normal147"/>
    <w:basedOn w:val="P68B1DB1-Normal14"/>
    <w:rPr>
      <w:i/>
      <w:sz w:val="20"/>
      <w:szCs w:val="18"/>
    </w:rPr>
  </w:style>
  <w:style w:type="paragraph" w:styleId="P68B1DB1-P68B1DB1-Normal168">
    <w:name w:val="P68B1DB1-P68B1DB1-Normal168"/>
    <w:basedOn w:val="P68B1DB1-Normal16"/>
    <w:rPr>
      <w:b/>
      <w:i/>
      <w:sz w:val="22"/>
      <w:szCs w:val="18"/>
    </w:rPr>
  </w:style>
  <w:style w:type="paragraph" w:styleId="P68B1DB1-P68B1DB1-Normal169">
    <w:name w:val="P68B1DB1-P68B1DB1-Normal169"/>
    <w:basedOn w:val="P68B1DB1-Normal16"/>
    <w:rPr>
      <w:b/>
      <w:i/>
      <w:sz w:val="24"/>
      <w:szCs w:val="20"/>
    </w:rPr>
  </w:style>
  <w:style w:type="paragraph" w:styleId="P68B1DB1-P68B1DB1-Normal1710">
    <w:name w:val="P68B1DB1-P68B1DB1-Normal1710"/>
    <w:basedOn w:val="P68B1DB1-Normal17"/>
    <w:rPr>
      <w:i/>
      <w:sz w:val="20"/>
      <w:szCs w:val="18"/>
    </w:rPr>
  </w:style>
  <w:style w:type="paragraph" w:styleId="P68B1DB1-Normal11">
    <w:name w:val="P68B1DB1-Normal11"/>
    <w:basedOn w:val="Normal"/>
    <w:rPr>
      <w:rFonts w:ascii="Times New Roman" w:hAnsi="Times New Roman" w:cs="Times New Roman" w:eastAsia="Times New Roman"/>
      <w:sz w:val="20"/>
      <w:szCs w:val="18"/>
    </w:rPr>
  </w:style>
  <w:style w:type="paragraph" w:styleId="P68B1DB1-Normal19">
    <w:name w:val="P68B1DB1-Normal19"/>
    <w:basedOn w:val="Normal"/>
    <w:rPr>
      <w:rFonts w:ascii="Times New Roman" w:hAnsi="Times New Roman" w:cs="Times New Roman" w:eastAsia="Times New Roman"/>
      <w:i/>
      <w:sz w:val="20"/>
      <w:szCs w:val="18"/>
    </w:rPr>
  </w:style>
  <w:style w:type="paragraph" w:styleId="P68B1DB1-P68B1DB1-Normal1820">
    <w:name w:val="P68B1DB1-P68B1DB1-Normal1820"/>
    <w:basedOn w:val="P68B1DB1-Normal18"/>
    <w:rPr>
      <w:sz w:val="18"/>
      <w:szCs w:val="18"/>
    </w:rPr>
  </w:style>
  <w:style w:type="paragraph" w:styleId="P68B1DB1-P68B1DB1-Normal1421">
    <w:name w:val="P68B1DB1-P68B1DB1-Normal1421"/>
    <w:basedOn w:val="P68B1DB1-Normal14"/>
    <w:rPr>
      <w:i/>
    </w:rPr>
  </w:style>
  <w:style w:type="paragraph" w:styleId="P68B1DB1-P68B1DB1-Normal1622">
    <w:name w:val="P68B1DB1-P68B1DB1-Normal1622"/>
    <w:basedOn w:val="P68B1DB1-Normal16"/>
    <w:rPr>
      <w:b/>
      <w:i/>
      <w:sz w:val="22"/>
      <w:szCs w:val="22"/>
    </w:rPr>
  </w:style>
  <w:style w:type="paragraph" w:styleId="P68B1DB1-P68B1DB1-Normal1623">
    <w:name w:val="P68B1DB1-P68B1DB1-Normal1623"/>
    <w:basedOn w:val="P68B1DB1-Normal16"/>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2432">
      <w:bodyDiv w:val="1"/>
      <w:marLeft w:val="0"/>
      <w:marRight w:val="0"/>
      <w:marTop w:val="0"/>
      <w:marBottom w:val="0"/>
      <w:divBdr>
        <w:top w:val="none" w:sz="0" w:space="0" w:color="auto"/>
        <w:left w:val="none" w:sz="0" w:space="0" w:color="auto"/>
        <w:bottom w:val="none" w:sz="0" w:space="0" w:color="auto"/>
        <w:right w:val="none" w:sz="0" w:space="0" w:color="auto"/>
      </w:divBdr>
    </w:div>
    <w:div w:id="26762372">
      <w:bodyDiv w:val="1"/>
      <w:marLeft w:val="0"/>
      <w:marRight w:val="0"/>
      <w:marTop w:val="0"/>
      <w:marBottom w:val="0"/>
      <w:divBdr>
        <w:top w:val="none" w:sz="0" w:space="0" w:color="auto"/>
        <w:left w:val="none" w:sz="0" w:space="0" w:color="auto"/>
        <w:bottom w:val="none" w:sz="0" w:space="0" w:color="auto"/>
        <w:right w:val="none" w:sz="0" w:space="0" w:color="auto"/>
      </w:divBdr>
    </w:div>
    <w:div w:id="34356982">
      <w:bodyDiv w:val="1"/>
      <w:marLeft w:val="0"/>
      <w:marRight w:val="0"/>
      <w:marTop w:val="0"/>
      <w:marBottom w:val="0"/>
      <w:divBdr>
        <w:top w:val="none" w:sz="0" w:space="0" w:color="auto"/>
        <w:left w:val="none" w:sz="0" w:space="0" w:color="auto"/>
        <w:bottom w:val="none" w:sz="0" w:space="0" w:color="auto"/>
        <w:right w:val="none" w:sz="0" w:space="0" w:color="auto"/>
      </w:divBdr>
    </w:div>
    <w:div w:id="37046487">
      <w:bodyDiv w:val="1"/>
      <w:marLeft w:val="0"/>
      <w:marRight w:val="0"/>
      <w:marTop w:val="0"/>
      <w:marBottom w:val="0"/>
      <w:divBdr>
        <w:top w:val="none" w:sz="0" w:space="0" w:color="auto"/>
        <w:left w:val="none" w:sz="0" w:space="0" w:color="auto"/>
        <w:bottom w:val="none" w:sz="0" w:space="0" w:color="auto"/>
        <w:right w:val="none" w:sz="0" w:space="0" w:color="auto"/>
      </w:divBdr>
    </w:div>
    <w:div w:id="89932279">
      <w:bodyDiv w:val="1"/>
      <w:marLeft w:val="0"/>
      <w:marRight w:val="0"/>
      <w:marTop w:val="0"/>
      <w:marBottom w:val="0"/>
      <w:divBdr>
        <w:top w:val="none" w:sz="0" w:space="0" w:color="auto"/>
        <w:left w:val="none" w:sz="0" w:space="0" w:color="auto"/>
        <w:bottom w:val="none" w:sz="0" w:space="0" w:color="auto"/>
        <w:right w:val="none" w:sz="0" w:space="0" w:color="auto"/>
      </w:divBdr>
    </w:div>
    <w:div w:id="90786061">
      <w:bodyDiv w:val="1"/>
      <w:marLeft w:val="0"/>
      <w:marRight w:val="0"/>
      <w:marTop w:val="0"/>
      <w:marBottom w:val="0"/>
      <w:divBdr>
        <w:top w:val="none" w:sz="0" w:space="0" w:color="auto"/>
        <w:left w:val="none" w:sz="0" w:space="0" w:color="auto"/>
        <w:bottom w:val="none" w:sz="0" w:space="0" w:color="auto"/>
        <w:right w:val="none" w:sz="0" w:space="0" w:color="auto"/>
      </w:divBdr>
    </w:div>
    <w:div w:id="96026439">
      <w:bodyDiv w:val="1"/>
      <w:marLeft w:val="0"/>
      <w:marRight w:val="0"/>
      <w:marTop w:val="0"/>
      <w:marBottom w:val="0"/>
      <w:divBdr>
        <w:top w:val="none" w:sz="0" w:space="0" w:color="auto"/>
        <w:left w:val="none" w:sz="0" w:space="0" w:color="auto"/>
        <w:bottom w:val="none" w:sz="0" w:space="0" w:color="auto"/>
        <w:right w:val="none" w:sz="0" w:space="0" w:color="auto"/>
      </w:divBdr>
    </w:div>
    <w:div w:id="100228059">
      <w:bodyDiv w:val="1"/>
      <w:marLeft w:val="0"/>
      <w:marRight w:val="0"/>
      <w:marTop w:val="0"/>
      <w:marBottom w:val="0"/>
      <w:divBdr>
        <w:top w:val="none" w:sz="0" w:space="0" w:color="auto"/>
        <w:left w:val="none" w:sz="0" w:space="0" w:color="auto"/>
        <w:bottom w:val="none" w:sz="0" w:space="0" w:color="auto"/>
        <w:right w:val="none" w:sz="0" w:space="0" w:color="auto"/>
      </w:divBdr>
    </w:div>
    <w:div w:id="120274445">
      <w:bodyDiv w:val="1"/>
      <w:marLeft w:val="0"/>
      <w:marRight w:val="0"/>
      <w:marTop w:val="0"/>
      <w:marBottom w:val="0"/>
      <w:divBdr>
        <w:top w:val="none" w:sz="0" w:space="0" w:color="auto"/>
        <w:left w:val="none" w:sz="0" w:space="0" w:color="auto"/>
        <w:bottom w:val="none" w:sz="0" w:space="0" w:color="auto"/>
        <w:right w:val="none" w:sz="0" w:space="0" w:color="auto"/>
      </w:divBdr>
    </w:div>
    <w:div w:id="126512856">
      <w:bodyDiv w:val="1"/>
      <w:marLeft w:val="0"/>
      <w:marRight w:val="0"/>
      <w:marTop w:val="0"/>
      <w:marBottom w:val="0"/>
      <w:divBdr>
        <w:top w:val="none" w:sz="0" w:space="0" w:color="auto"/>
        <w:left w:val="none" w:sz="0" w:space="0" w:color="auto"/>
        <w:bottom w:val="none" w:sz="0" w:space="0" w:color="auto"/>
        <w:right w:val="none" w:sz="0" w:space="0" w:color="auto"/>
      </w:divBdr>
    </w:div>
    <w:div w:id="155148478">
      <w:bodyDiv w:val="1"/>
      <w:marLeft w:val="0"/>
      <w:marRight w:val="0"/>
      <w:marTop w:val="0"/>
      <w:marBottom w:val="0"/>
      <w:divBdr>
        <w:top w:val="none" w:sz="0" w:space="0" w:color="auto"/>
        <w:left w:val="none" w:sz="0" w:space="0" w:color="auto"/>
        <w:bottom w:val="none" w:sz="0" w:space="0" w:color="auto"/>
        <w:right w:val="none" w:sz="0" w:space="0" w:color="auto"/>
      </w:divBdr>
    </w:div>
    <w:div w:id="223029111">
      <w:bodyDiv w:val="1"/>
      <w:marLeft w:val="0"/>
      <w:marRight w:val="0"/>
      <w:marTop w:val="0"/>
      <w:marBottom w:val="0"/>
      <w:divBdr>
        <w:top w:val="none" w:sz="0" w:space="0" w:color="auto"/>
        <w:left w:val="none" w:sz="0" w:space="0" w:color="auto"/>
        <w:bottom w:val="none" w:sz="0" w:space="0" w:color="auto"/>
        <w:right w:val="none" w:sz="0" w:space="0" w:color="auto"/>
      </w:divBdr>
    </w:div>
    <w:div w:id="244265254">
      <w:bodyDiv w:val="1"/>
      <w:marLeft w:val="0"/>
      <w:marRight w:val="0"/>
      <w:marTop w:val="0"/>
      <w:marBottom w:val="0"/>
      <w:divBdr>
        <w:top w:val="none" w:sz="0" w:space="0" w:color="auto"/>
        <w:left w:val="none" w:sz="0" w:space="0" w:color="auto"/>
        <w:bottom w:val="none" w:sz="0" w:space="0" w:color="auto"/>
        <w:right w:val="none" w:sz="0" w:space="0" w:color="auto"/>
      </w:divBdr>
    </w:div>
    <w:div w:id="257255821">
      <w:bodyDiv w:val="1"/>
      <w:marLeft w:val="0"/>
      <w:marRight w:val="0"/>
      <w:marTop w:val="0"/>
      <w:marBottom w:val="0"/>
      <w:divBdr>
        <w:top w:val="none" w:sz="0" w:space="0" w:color="auto"/>
        <w:left w:val="none" w:sz="0" w:space="0" w:color="auto"/>
        <w:bottom w:val="none" w:sz="0" w:space="0" w:color="auto"/>
        <w:right w:val="none" w:sz="0" w:space="0" w:color="auto"/>
      </w:divBdr>
    </w:div>
    <w:div w:id="259609206">
      <w:bodyDiv w:val="1"/>
      <w:marLeft w:val="0"/>
      <w:marRight w:val="0"/>
      <w:marTop w:val="0"/>
      <w:marBottom w:val="0"/>
      <w:divBdr>
        <w:top w:val="none" w:sz="0" w:space="0" w:color="auto"/>
        <w:left w:val="none" w:sz="0" w:space="0" w:color="auto"/>
        <w:bottom w:val="none" w:sz="0" w:space="0" w:color="auto"/>
        <w:right w:val="none" w:sz="0" w:space="0" w:color="auto"/>
      </w:divBdr>
    </w:div>
    <w:div w:id="261766769">
      <w:bodyDiv w:val="1"/>
      <w:marLeft w:val="0"/>
      <w:marRight w:val="0"/>
      <w:marTop w:val="0"/>
      <w:marBottom w:val="0"/>
      <w:divBdr>
        <w:top w:val="none" w:sz="0" w:space="0" w:color="auto"/>
        <w:left w:val="none" w:sz="0" w:space="0" w:color="auto"/>
        <w:bottom w:val="none" w:sz="0" w:space="0" w:color="auto"/>
        <w:right w:val="none" w:sz="0" w:space="0" w:color="auto"/>
      </w:divBdr>
    </w:div>
    <w:div w:id="269317752">
      <w:bodyDiv w:val="1"/>
      <w:marLeft w:val="0"/>
      <w:marRight w:val="0"/>
      <w:marTop w:val="0"/>
      <w:marBottom w:val="0"/>
      <w:divBdr>
        <w:top w:val="none" w:sz="0" w:space="0" w:color="auto"/>
        <w:left w:val="none" w:sz="0" w:space="0" w:color="auto"/>
        <w:bottom w:val="none" w:sz="0" w:space="0" w:color="auto"/>
        <w:right w:val="none" w:sz="0" w:space="0" w:color="auto"/>
      </w:divBdr>
    </w:div>
    <w:div w:id="271399507">
      <w:bodyDiv w:val="1"/>
      <w:marLeft w:val="0"/>
      <w:marRight w:val="0"/>
      <w:marTop w:val="0"/>
      <w:marBottom w:val="0"/>
      <w:divBdr>
        <w:top w:val="none" w:sz="0" w:space="0" w:color="auto"/>
        <w:left w:val="none" w:sz="0" w:space="0" w:color="auto"/>
        <w:bottom w:val="none" w:sz="0" w:space="0" w:color="auto"/>
        <w:right w:val="none" w:sz="0" w:space="0" w:color="auto"/>
      </w:divBdr>
    </w:div>
    <w:div w:id="278880907">
      <w:bodyDiv w:val="1"/>
      <w:marLeft w:val="0"/>
      <w:marRight w:val="0"/>
      <w:marTop w:val="0"/>
      <w:marBottom w:val="0"/>
      <w:divBdr>
        <w:top w:val="none" w:sz="0" w:space="0" w:color="auto"/>
        <w:left w:val="none" w:sz="0" w:space="0" w:color="auto"/>
        <w:bottom w:val="none" w:sz="0" w:space="0" w:color="auto"/>
        <w:right w:val="none" w:sz="0" w:space="0" w:color="auto"/>
      </w:divBdr>
    </w:div>
    <w:div w:id="291714760">
      <w:bodyDiv w:val="1"/>
      <w:marLeft w:val="0"/>
      <w:marRight w:val="0"/>
      <w:marTop w:val="0"/>
      <w:marBottom w:val="0"/>
      <w:divBdr>
        <w:top w:val="none" w:sz="0" w:space="0" w:color="auto"/>
        <w:left w:val="none" w:sz="0" w:space="0" w:color="auto"/>
        <w:bottom w:val="none" w:sz="0" w:space="0" w:color="auto"/>
        <w:right w:val="none" w:sz="0" w:space="0" w:color="auto"/>
      </w:divBdr>
    </w:div>
    <w:div w:id="300774190">
      <w:bodyDiv w:val="1"/>
      <w:marLeft w:val="0"/>
      <w:marRight w:val="0"/>
      <w:marTop w:val="0"/>
      <w:marBottom w:val="0"/>
      <w:divBdr>
        <w:top w:val="none" w:sz="0" w:space="0" w:color="auto"/>
        <w:left w:val="none" w:sz="0" w:space="0" w:color="auto"/>
        <w:bottom w:val="none" w:sz="0" w:space="0" w:color="auto"/>
        <w:right w:val="none" w:sz="0" w:space="0" w:color="auto"/>
      </w:divBdr>
    </w:div>
    <w:div w:id="305622349">
      <w:bodyDiv w:val="1"/>
      <w:marLeft w:val="0"/>
      <w:marRight w:val="0"/>
      <w:marTop w:val="0"/>
      <w:marBottom w:val="0"/>
      <w:divBdr>
        <w:top w:val="none" w:sz="0" w:space="0" w:color="auto"/>
        <w:left w:val="none" w:sz="0" w:space="0" w:color="auto"/>
        <w:bottom w:val="none" w:sz="0" w:space="0" w:color="auto"/>
        <w:right w:val="none" w:sz="0" w:space="0" w:color="auto"/>
      </w:divBdr>
    </w:div>
    <w:div w:id="308022613">
      <w:bodyDiv w:val="1"/>
      <w:marLeft w:val="0"/>
      <w:marRight w:val="0"/>
      <w:marTop w:val="0"/>
      <w:marBottom w:val="0"/>
      <w:divBdr>
        <w:top w:val="none" w:sz="0" w:space="0" w:color="auto"/>
        <w:left w:val="none" w:sz="0" w:space="0" w:color="auto"/>
        <w:bottom w:val="none" w:sz="0" w:space="0" w:color="auto"/>
        <w:right w:val="none" w:sz="0" w:space="0" w:color="auto"/>
      </w:divBdr>
    </w:div>
    <w:div w:id="322703479">
      <w:bodyDiv w:val="1"/>
      <w:marLeft w:val="0"/>
      <w:marRight w:val="0"/>
      <w:marTop w:val="0"/>
      <w:marBottom w:val="0"/>
      <w:divBdr>
        <w:top w:val="none" w:sz="0" w:space="0" w:color="auto"/>
        <w:left w:val="none" w:sz="0" w:space="0" w:color="auto"/>
        <w:bottom w:val="none" w:sz="0" w:space="0" w:color="auto"/>
        <w:right w:val="none" w:sz="0" w:space="0" w:color="auto"/>
      </w:divBdr>
    </w:div>
    <w:div w:id="345834890">
      <w:bodyDiv w:val="1"/>
      <w:marLeft w:val="0"/>
      <w:marRight w:val="0"/>
      <w:marTop w:val="0"/>
      <w:marBottom w:val="0"/>
      <w:divBdr>
        <w:top w:val="none" w:sz="0" w:space="0" w:color="auto"/>
        <w:left w:val="none" w:sz="0" w:space="0" w:color="auto"/>
        <w:bottom w:val="none" w:sz="0" w:space="0" w:color="auto"/>
        <w:right w:val="none" w:sz="0" w:space="0" w:color="auto"/>
      </w:divBdr>
    </w:div>
    <w:div w:id="347604481">
      <w:bodyDiv w:val="1"/>
      <w:marLeft w:val="0"/>
      <w:marRight w:val="0"/>
      <w:marTop w:val="0"/>
      <w:marBottom w:val="0"/>
      <w:divBdr>
        <w:top w:val="none" w:sz="0" w:space="0" w:color="auto"/>
        <w:left w:val="none" w:sz="0" w:space="0" w:color="auto"/>
        <w:bottom w:val="none" w:sz="0" w:space="0" w:color="auto"/>
        <w:right w:val="none" w:sz="0" w:space="0" w:color="auto"/>
      </w:divBdr>
    </w:div>
    <w:div w:id="351994588">
      <w:bodyDiv w:val="1"/>
      <w:marLeft w:val="0"/>
      <w:marRight w:val="0"/>
      <w:marTop w:val="0"/>
      <w:marBottom w:val="0"/>
      <w:divBdr>
        <w:top w:val="none" w:sz="0" w:space="0" w:color="auto"/>
        <w:left w:val="none" w:sz="0" w:space="0" w:color="auto"/>
        <w:bottom w:val="none" w:sz="0" w:space="0" w:color="auto"/>
        <w:right w:val="none" w:sz="0" w:space="0" w:color="auto"/>
      </w:divBdr>
    </w:div>
    <w:div w:id="374358084">
      <w:bodyDiv w:val="1"/>
      <w:marLeft w:val="0"/>
      <w:marRight w:val="0"/>
      <w:marTop w:val="0"/>
      <w:marBottom w:val="0"/>
      <w:divBdr>
        <w:top w:val="none" w:sz="0" w:space="0" w:color="auto"/>
        <w:left w:val="none" w:sz="0" w:space="0" w:color="auto"/>
        <w:bottom w:val="none" w:sz="0" w:space="0" w:color="auto"/>
        <w:right w:val="none" w:sz="0" w:space="0" w:color="auto"/>
      </w:divBdr>
    </w:div>
    <w:div w:id="390075643">
      <w:bodyDiv w:val="1"/>
      <w:marLeft w:val="0"/>
      <w:marRight w:val="0"/>
      <w:marTop w:val="0"/>
      <w:marBottom w:val="0"/>
      <w:divBdr>
        <w:top w:val="none" w:sz="0" w:space="0" w:color="auto"/>
        <w:left w:val="none" w:sz="0" w:space="0" w:color="auto"/>
        <w:bottom w:val="none" w:sz="0" w:space="0" w:color="auto"/>
        <w:right w:val="none" w:sz="0" w:space="0" w:color="auto"/>
      </w:divBdr>
    </w:div>
    <w:div w:id="394163680">
      <w:bodyDiv w:val="1"/>
      <w:marLeft w:val="0"/>
      <w:marRight w:val="0"/>
      <w:marTop w:val="0"/>
      <w:marBottom w:val="0"/>
      <w:divBdr>
        <w:top w:val="none" w:sz="0" w:space="0" w:color="auto"/>
        <w:left w:val="none" w:sz="0" w:space="0" w:color="auto"/>
        <w:bottom w:val="none" w:sz="0" w:space="0" w:color="auto"/>
        <w:right w:val="none" w:sz="0" w:space="0" w:color="auto"/>
      </w:divBdr>
    </w:div>
    <w:div w:id="394285497">
      <w:bodyDiv w:val="1"/>
      <w:marLeft w:val="0"/>
      <w:marRight w:val="0"/>
      <w:marTop w:val="0"/>
      <w:marBottom w:val="0"/>
      <w:divBdr>
        <w:top w:val="none" w:sz="0" w:space="0" w:color="auto"/>
        <w:left w:val="none" w:sz="0" w:space="0" w:color="auto"/>
        <w:bottom w:val="none" w:sz="0" w:space="0" w:color="auto"/>
        <w:right w:val="none" w:sz="0" w:space="0" w:color="auto"/>
      </w:divBdr>
    </w:div>
    <w:div w:id="408159956">
      <w:bodyDiv w:val="1"/>
      <w:marLeft w:val="0"/>
      <w:marRight w:val="0"/>
      <w:marTop w:val="0"/>
      <w:marBottom w:val="0"/>
      <w:divBdr>
        <w:top w:val="none" w:sz="0" w:space="0" w:color="auto"/>
        <w:left w:val="none" w:sz="0" w:space="0" w:color="auto"/>
        <w:bottom w:val="none" w:sz="0" w:space="0" w:color="auto"/>
        <w:right w:val="none" w:sz="0" w:space="0" w:color="auto"/>
      </w:divBdr>
    </w:div>
    <w:div w:id="427428655">
      <w:bodyDiv w:val="1"/>
      <w:marLeft w:val="0"/>
      <w:marRight w:val="0"/>
      <w:marTop w:val="0"/>
      <w:marBottom w:val="0"/>
      <w:divBdr>
        <w:top w:val="none" w:sz="0" w:space="0" w:color="auto"/>
        <w:left w:val="none" w:sz="0" w:space="0" w:color="auto"/>
        <w:bottom w:val="none" w:sz="0" w:space="0" w:color="auto"/>
        <w:right w:val="none" w:sz="0" w:space="0" w:color="auto"/>
      </w:divBdr>
    </w:div>
    <w:div w:id="479661570">
      <w:bodyDiv w:val="1"/>
      <w:marLeft w:val="0"/>
      <w:marRight w:val="0"/>
      <w:marTop w:val="0"/>
      <w:marBottom w:val="0"/>
      <w:divBdr>
        <w:top w:val="none" w:sz="0" w:space="0" w:color="auto"/>
        <w:left w:val="none" w:sz="0" w:space="0" w:color="auto"/>
        <w:bottom w:val="none" w:sz="0" w:space="0" w:color="auto"/>
        <w:right w:val="none" w:sz="0" w:space="0" w:color="auto"/>
      </w:divBdr>
    </w:div>
    <w:div w:id="485588516">
      <w:bodyDiv w:val="1"/>
      <w:marLeft w:val="0"/>
      <w:marRight w:val="0"/>
      <w:marTop w:val="0"/>
      <w:marBottom w:val="0"/>
      <w:divBdr>
        <w:top w:val="none" w:sz="0" w:space="0" w:color="auto"/>
        <w:left w:val="none" w:sz="0" w:space="0" w:color="auto"/>
        <w:bottom w:val="none" w:sz="0" w:space="0" w:color="auto"/>
        <w:right w:val="none" w:sz="0" w:space="0" w:color="auto"/>
      </w:divBdr>
    </w:div>
    <w:div w:id="504324013">
      <w:bodyDiv w:val="1"/>
      <w:marLeft w:val="0"/>
      <w:marRight w:val="0"/>
      <w:marTop w:val="0"/>
      <w:marBottom w:val="0"/>
      <w:divBdr>
        <w:top w:val="none" w:sz="0" w:space="0" w:color="auto"/>
        <w:left w:val="none" w:sz="0" w:space="0" w:color="auto"/>
        <w:bottom w:val="none" w:sz="0" w:space="0" w:color="auto"/>
        <w:right w:val="none" w:sz="0" w:space="0" w:color="auto"/>
      </w:divBdr>
    </w:div>
    <w:div w:id="544369820">
      <w:bodyDiv w:val="1"/>
      <w:marLeft w:val="0"/>
      <w:marRight w:val="0"/>
      <w:marTop w:val="0"/>
      <w:marBottom w:val="0"/>
      <w:divBdr>
        <w:top w:val="none" w:sz="0" w:space="0" w:color="auto"/>
        <w:left w:val="none" w:sz="0" w:space="0" w:color="auto"/>
        <w:bottom w:val="none" w:sz="0" w:space="0" w:color="auto"/>
        <w:right w:val="none" w:sz="0" w:space="0" w:color="auto"/>
      </w:divBdr>
    </w:div>
    <w:div w:id="553933142">
      <w:bodyDiv w:val="1"/>
      <w:marLeft w:val="0"/>
      <w:marRight w:val="0"/>
      <w:marTop w:val="0"/>
      <w:marBottom w:val="0"/>
      <w:divBdr>
        <w:top w:val="none" w:sz="0" w:space="0" w:color="auto"/>
        <w:left w:val="none" w:sz="0" w:space="0" w:color="auto"/>
        <w:bottom w:val="none" w:sz="0" w:space="0" w:color="auto"/>
        <w:right w:val="none" w:sz="0" w:space="0" w:color="auto"/>
      </w:divBdr>
    </w:div>
    <w:div w:id="560671658">
      <w:bodyDiv w:val="1"/>
      <w:marLeft w:val="0"/>
      <w:marRight w:val="0"/>
      <w:marTop w:val="0"/>
      <w:marBottom w:val="0"/>
      <w:divBdr>
        <w:top w:val="none" w:sz="0" w:space="0" w:color="auto"/>
        <w:left w:val="none" w:sz="0" w:space="0" w:color="auto"/>
        <w:bottom w:val="none" w:sz="0" w:space="0" w:color="auto"/>
        <w:right w:val="none" w:sz="0" w:space="0" w:color="auto"/>
      </w:divBdr>
    </w:div>
    <w:div w:id="586159051">
      <w:bodyDiv w:val="1"/>
      <w:marLeft w:val="0"/>
      <w:marRight w:val="0"/>
      <w:marTop w:val="0"/>
      <w:marBottom w:val="0"/>
      <w:divBdr>
        <w:top w:val="none" w:sz="0" w:space="0" w:color="auto"/>
        <w:left w:val="none" w:sz="0" w:space="0" w:color="auto"/>
        <w:bottom w:val="none" w:sz="0" w:space="0" w:color="auto"/>
        <w:right w:val="none" w:sz="0" w:space="0" w:color="auto"/>
      </w:divBdr>
    </w:div>
    <w:div w:id="599073000">
      <w:bodyDiv w:val="1"/>
      <w:marLeft w:val="0"/>
      <w:marRight w:val="0"/>
      <w:marTop w:val="0"/>
      <w:marBottom w:val="0"/>
      <w:divBdr>
        <w:top w:val="none" w:sz="0" w:space="0" w:color="auto"/>
        <w:left w:val="none" w:sz="0" w:space="0" w:color="auto"/>
        <w:bottom w:val="none" w:sz="0" w:space="0" w:color="auto"/>
        <w:right w:val="none" w:sz="0" w:space="0" w:color="auto"/>
      </w:divBdr>
    </w:div>
    <w:div w:id="601182359">
      <w:bodyDiv w:val="1"/>
      <w:marLeft w:val="0"/>
      <w:marRight w:val="0"/>
      <w:marTop w:val="0"/>
      <w:marBottom w:val="0"/>
      <w:divBdr>
        <w:top w:val="none" w:sz="0" w:space="0" w:color="auto"/>
        <w:left w:val="none" w:sz="0" w:space="0" w:color="auto"/>
        <w:bottom w:val="none" w:sz="0" w:space="0" w:color="auto"/>
        <w:right w:val="none" w:sz="0" w:space="0" w:color="auto"/>
      </w:divBdr>
    </w:div>
    <w:div w:id="624970419">
      <w:bodyDiv w:val="1"/>
      <w:marLeft w:val="0"/>
      <w:marRight w:val="0"/>
      <w:marTop w:val="0"/>
      <w:marBottom w:val="0"/>
      <w:divBdr>
        <w:top w:val="none" w:sz="0" w:space="0" w:color="auto"/>
        <w:left w:val="none" w:sz="0" w:space="0" w:color="auto"/>
        <w:bottom w:val="none" w:sz="0" w:space="0" w:color="auto"/>
        <w:right w:val="none" w:sz="0" w:space="0" w:color="auto"/>
      </w:divBdr>
    </w:div>
    <w:div w:id="634532364">
      <w:bodyDiv w:val="1"/>
      <w:marLeft w:val="0"/>
      <w:marRight w:val="0"/>
      <w:marTop w:val="0"/>
      <w:marBottom w:val="0"/>
      <w:divBdr>
        <w:top w:val="none" w:sz="0" w:space="0" w:color="auto"/>
        <w:left w:val="none" w:sz="0" w:space="0" w:color="auto"/>
        <w:bottom w:val="none" w:sz="0" w:space="0" w:color="auto"/>
        <w:right w:val="none" w:sz="0" w:space="0" w:color="auto"/>
      </w:divBdr>
    </w:div>
    <w:div w:id="637103948">
      <w:bodyDiv w:val="1"/>
      <w:marLeft w:val="0"/>
      <w:marRight w:val="0"/>
      <w:marTop w:val="0"/>
      <w:marBottom w:val="0"/>
      <w:divBdr>
        <w:top w:val="none" w:sz="0" w:space="0" w:color="auto"/>
        <w:left w:val="none" w:sz="0" w:space="0" w:color="auto"/>
        <w:bottom w:val="none" w:sz="0" w:space="0" w:color="auto"/>
        <w:right w:val="none" w:sz="0" w:space="0" w:color="auto"/>
      </w:divBdr>
    </w:div>
    <w:div w:id="639308424">
      <w:bodyDiv w:val="1"/>
      <w:marLeft w:val="0"/>
      <w:marRight w:val="0"/>
      <w:marTop w:val="0"/>
      <w:marBottom w:val="0"/>
      <w:divBdr>
        <w:top w:val="none" w:sz="0" w:space="0" w:color="auto"/>
        <w:left w:val="none" w:sz="0" w:space="0" w:color="auto"/>
        <w:bottom w:val="none" w:sz="0" w:space="0" w:color="auto"/>
        <w:right w:val="none" w:sz="0" w:space="0" w:color="auto"/>
      </w:divBdr>
    </w:div>
    <w:div w:id="659652558">
      <w:bodyDiv w:val="1"/>
      <w:marLeft w:val="0"/>
      <w:marRight w:val="0"/>
      <w:marTop w:val="0"/>
      <w:marBottom w:val="0"/>
      <w:divBdr>
        <w:top w:val="none" w:sz="0" w:space="0" w:color="auto"/>
        <w:left w:val="none" w:sz="0" w:space="0" w:color="auto"/>
        <w:bottom w:val="none" w:sz="0" w:space="0" w:color="auto"/>
        <w:right w:val="none" w:sz="0" w:space="0" w:color="auto"/>
      </w:divBdr>
    </w:div>
    <w:div w:id="667051423">
      <w:bodyDiv w:val="1"/>
      <w:marLeft w:val="0"/>
      <w:marRight w:val="0"/>
      <w:marTop w:val="0"/>
      <w:marBottom w:val="0"/>
      <w:divBdr>
        <w:top w:val="none" w:sz="0" w:space="0" w:color="auto"/>
        <w:left w:val="none" w:sz="0" w:space="0" w:color="auto"/>
        <w:bottom w:val="none" w:sz="0" w:space="0" w:color="auto"/>
        <w:right w:val="none" w:sz="0" w:space="0" w:color="auto"/>
      </w:divBdr>
    </w:div>
    <w:div w:id="669254184">
      <w:bodyDiv w:val="1"/>
      <w:marLeft w:val="0"/>
      <w:marRight w:val="0"/>
      <w:marTop w:val="0"/>
      <w:marBottom w:val="0"/>
      <w:divBdr>
        <w:top w:val="none" w:sz="0" w:space="0" w:color="auto"/>
        <w:left w:val="none" w:sz="0" w:space="0" w:color="auto"/>
        <w:bottom w:val="none" w:sz="0" w:space="0" w:color="auto"/>
        <w:right w:val="none" w:sz="0" w:space="0" w:color="auto"/>
      </w:divBdr>
    </w:div>
    <w:div w:id="685715688">
      <w:bodyDiv w:val="1"/>
      <w:marLeft w:val="0"/>
      <w:marRight w:val="0"/>
      <w:marTop w:val="0"/>
      <w:marBottom w:val="0"/>
      <w:divBdr>
        <w:top w:val="none" w:sz="0" w:space="0" w:color="auto"/>
        <w:left w:val="none" w:sz="0" w:space="0" w:color="auto"/>
        <w:bottom w:val="none" w:sz="0" w:space="0" w:color="auto"/>
        <w:right w:val="none" w:sz="0" w:space="0" w:color="auto"/>
      </w:divBdr>
    </w:div>
    <w:div w:id="694426801">
      <w:bodyDiv w:val="1"/>
      <w:marLeft w:val="0"/>
      <w:marRight w:val="0"/>
      <w:marTop w:val="0"/>
      <w:marBottom w:val="0"/>
      <w:divBdr>
        <w:top w:val="none" w:sz="0" w:space="0" w:color="auto"/>
        <w:left w:val="none" w:sz="0" w:space="0" w:color="auto"/>
        <w:bottom w:val="none" w:sz="0" w:space="0" w:color="auto"/>
        <w:right w:val="none" w:sz="0" w:space="0" w:color="auto"/>
      </w:divBdr>
    </w:div>
    <w:div w:id="728385506">
      <w:bodyDiv w:val="1"/>
      <w:marLeft w:val="0"/>
      <w:marRight w:val="0"/>
      <w:marTop w:val="0"/>
      <w:marBottom w:val="0"/>
      <w:divBdr>
        <w:top w:val="none" w:sz="0" w:space="0" w:color="auto"/>
        <w:left w:val="none" w:sz="0" w:space="0" w:color="auto"/>
        <w:bottom w:val="none" w:sz="0" w:space="0" w:color="auto"/>
        <w:right w:val="none" w:sz="0" w:space="0" w:color="auto"/>
      </w:divBdr>
    </w:div>
    <w:div w:id="799618016">
      <w:bodyDiv w:val="1"/>
      <w:marLeft w:val="0"/>
      <w:marRight w:val="0"/>
      <w:marTop w:val="0"/>
      <w:marBottom w:val="0"/>
      <w:divBdr>
        <w:top w:val="none" w:sz="0" w:space="0" w:color="auto"/>
        <w:left w:val="none" w:sz="0" w:space="0" w:color="auto"/>
        <w:bottom w:val="none" w:sz="0" w:space="0" w:color="auto"/>
        <w:right w:val="none" w:sz="0" w:space="0" w:color="auto"/>
      </w:divBdr>
    </w:div>
    <w:div w:id="801389786">
      <w:bodyDiv w:val="1"/>
      <w:marLeft w:val="0"/>
      <w:marRight w:val="0"/>
      <w:marTop w:val="0"/>
      <w:marBottom w:val="0"/>
      <w:divBdr>
        <w:top w:val="none" w:sz="0" w:space="0" w:color="auto"/>
        <w:left w:val="none" w:sz="0" w:space="0" w:color="auto"/>
        <w:bottom w:val="none" w:sz="0" w:space="0" w:color="auto"/>
        <w:right w:val="none" w:sz="0" w:space="0" w:color="auto"/>
      </w:divBdr>
    </w:div>
    <w:div w:id="806317562">
      <w:bodyDiv w:val="1"/>
      <w:marLeft w:val="0"/>
      <w:marRight w:val="0"/>
      <w:marTop w:val="0"/>
      <w:marBottom w:val="0"/>
      <w:divBdr>
        <w:top w:val="none" w:sz="0" w:space="0" w:color="auto"/>
        <w:left w:val="none" w:sz="0" w:space="0" w:color="auto"/>
        <w:bottom w:val="none" w:sz="0" w:space="0" w:color="auto"/>
        <w:right w:val="none" w:sz="0" w:space="0" w:color="auto"/>
      </w:divBdr>
    </w:div>
    <w:div w:id="808864558">
      <w:bodyDiv w:val="1"/>
      <w:marLeft w:val="0"/>
      <w:marRight w:val="0"/>
      <w:marTop w:val="0"/>
      <w:marBottom w:val="0"/>
      <w:divBdr>
        <w:top w:val="none" w:sz="0" w:space="0" w:color="auto"/>
        <w:left w:val="none" w:sz="0" w:space="0" w:color="auto"/>
        <w:bottom w:val="none" w:sz="0" w:space="0" w:color="auto"/>
        <w:right w:val="none" w:sz="0" w:space="0" w:color="auto"/>
      </w:divBdr>
    </w:div>
    <w:div w:id="812143656">
      <w:bodyDiv w:val="1"/>
      <w:marLeft w:val="0"/>
      <w:marRight w:val="0"/>
      <w:marTop w:val="0"/>
      <w:marBottom w:val="0"/>
      <w:divBdr>
        <w:top w:val="none" w:sz="0" w:space="0" w:color="auto"/>
        <w:left w:val="none" w:sz="0" w:space="0" w:color="auto"/>
        <w:bottom w:val="none" w:sz="0" w:space="0" w:color="auto"/>
        <w:right w:val="none" w:sz="0" w:space="0" w:color="auto"/>
      </w:divBdr>
    </w:div>
    <w:div w:id="817842752">
      <w:bodyDiv w:val="1"/>
      <w:marLeft w:val="0"/>
      <w:marRight w:val="0"/>
      <w:marTop w:val="0"/>
      <w:marBottom w:val="0"/>
      <w:divBdr>
        <w:top w:val="none" w:sz="0" w:space="0" w:color="auto"/>
        <w:left w:val="none" w:sz="0" w:space="0" w:color="auto"/>
        <w:bottom w:val="none" w:sz="0" w:space="0" w:color="auto"/>
        <w:right w:val="none" w:sz="0" w:space="0" w:color="auto"/>
      </w:divBdr>
    </w:div>
    <w:div w:id="818808023">
      <w:bodyDiv w:val="1"/>
      <w:marLeft w:val="0"/>
      <w:marRight w:val="0"/>
      <w:marTop w:val="0"/>
      <w:marBottom w:val="0"/>
      <w:divBdr>
        <w:top w:val="none" w:sz="0" w:space="0" w:color="auto"/>
        <w:left w:val="none" w:sz="0" w:space="0" w:color="auto"/>
        <w:bottom w:val="none" w:sz="0" w:space="0" w:color="auto"/>
        <w:right w:val="none" w:sz="0" w:space="0" w:color="auto"/>
      </w:divBdr>
    </w:div>
    <w:div w:id="820586418">
      <w:bodyDiv w:val="1"/>
      <w:marLeft w:val="0"/>
      <w:marRight w:val="0"/>
      <w:marTop w:val="0"/>
      <w:marBottom w:val="0"/>
      <w:divBdr>
        <w:top w:val="none" w:sz="0" w:space="0" w:color="auto"/>
        <w:left w:val="none" w:sz="0" w:space="0" w:color="auto"/>
        <w:bottom w:val="none" w:sz="0" w:space="0" w:color="auto"/>
        <w:right w:val="none" w:sz="0" w:space="0" w:color="auto"/>
      </w:divBdr>
    </w:div>
    <w:div w:id="825243672">
      <w:bodyDiv w:val="1"/>
      <w:marLeft w:val="0"/>
      <w:marRight w:val="0"/>
      <w:marTop w:val="0"/>
      <w:marBottom w:val="0"/>
      <w:divBdr>
        <w:top w:val="none" w:sz="0" w:space="0" w:color="auto"/>
        <w:left w:val="none" w:sz="0" w:space="0" w:color="auto"/>
        <w:bottom w:val="none" w:sz="0" w:space="0" w:color="auto"/>
        <w:right w:val="none" w:sz="0" w:space="0" w:color="auto"/>
      </w:divBdr>
    </w:div>
    <w:div w:id="851068949">
      <w:bodyDiv w:val="1"/>
      <w:marLeft w:val="0"/>
      <w:marRight w:val="0"/>
      <w:marTop w:val="0"/>
      <w:marBottom w:val="0"/>
      <w:divBdr>
        <w:top w:val="none" w:sz="0" w:space="0" w:color="auto"/>
        <w:left w:val="none" w:sz="0" w:space="0" w:color="auto"/>
        <w:bottom w:val="none" w:sz="0" w:space="0" w:color="auto"/>
        <w:right w:val="none" w:sz="0" w:space="0" w:color="auto"/>
      </w:divBdr>
    </w:div>
    <w:div w:id="853955006">
      <w:bodyDiv w:val="1"/>
      <w:marLeft w:val="0"/>
      <w:marRight w:val="0"/>
      <w:marTop w:val="0"/>
      <w:marBottom w:val="0"/>
      <w:divBdr>
        <w:top w:val="none" w:sz="0" w:space="0" w:color="auto"/>
        <w:left w:val="none" w:sz="0" w:space="0" w:color="auto"/>
        <w:bottom w:val="none" w:sz="0" w:space="0" w:color="auto"/>
        <w:right w:val="none" w:sz="0" w:space="0" w:color="auto"/>
      </w:divBdr>
    </w:div>
    <w:div w:id="861357653">
      <w:bodyDiv w:val="1"/>
      <w:marLeft w:val="0"/>
      <w:marRight w:val="0"/>
      <w:marTop w:val="0"/>
      <w:marBottom w:val="0"/>
      <w:divBdr>
        <w:top w:val="none" w:sz="0" w:space="0" w:color="auto"/>
        <w:left w:val="none" w:sz="0" w:space="0" w:color="auto"/>
        <w:bottom w:val="none" w:sz="0" w:space="0" w:color="auto"/>
        <w:right w:val="none" w:sz="0" w:space="0" w:color="auto"/>
      </w:divBdr>
    </w:div>
    <w:div w:id="866798977">
      <w:bodyDiv w:val="1"/>
      <w:marLeft w:val="0"/>
      <w:marRight w:val="0"/>
      <w:marTop w:val="0"/>
      <w:marBottom w:val="0"/>
      <w:divBdr>
        <w:top w:val="none" w:sz="0" w:space="0" w:color="auto"/>
        <w:left w:val="none" w:sz="0" w:space="0" w:color="auto"/>
        <w:bottom w:val="none" w:sz="0" w:space="0" w:color="auto"/>
        <w:right w:val="none" w:sz="0" w:space="0" w:color="auto"/>
      </w:divBdr>
    </w:div>
    <w:div w:id="868294175">
      <w:bodyDiv w:val="1"/>
      <w:marLeft w:val="0"/>
      <w:marRight w:val="0"/>
      <w:marTop w:val="0"/>
      <w:marBottom w:val="0"/>
      <w:divBdr>
        <w:top w:val="none" w:sz="0" w:space="0" w:color="auto"/>
        <w:left w:val="none" w:sz="0" w:space="0" w:color="auto"/>
        <w:bottom w:val="none" w:sz="0" w:space="0" w:color="auto"/>
        <w:right w:val="none" w:sz="0" w:space="0" w:color="auto"/>
      </w:divBdr>
    </w:div>
    <w:div w:id="873270522">
      <w:bodyDiv w:val="1"/>
      <w:marLeft w:val="0"/>
      <w:marRight w:val="0"/>
      <w:marTop w:val="0"/>
      <w:marBottom w:val="0"/>
      <w:divBdr>
        <w:top w:val="none" w:sz="0" w:space="0" w:color="auto"/>
        <w:left w:val="none" w:sz="0" w:space="0" w:color="auto"/>
        <w:bottom w:val="none" w:sz="0" w:space="0" w:color="auto"/>
        <w:right w:val="none" w:sz="0" w:space="0" w:color="auto"/>
      </w:divBdr>
    </w:div>
    <w:div w:id="878008076">
      <w:bodyDiv w:val="1"/>
      <w:marLeft w:val="0"/>
      <w:marRight w:val="0"/>
      <w:marTop w:val="0"/>
      <w:marBottom w:val="0"/>
      <w:divBdr>
        <w:top w:val="none" w:sz="0" w:space="0" w:color="auto"/>
        <w:left w:val="none" w:sz="0" w:space="0" w:color="auto"/>
        <w:bottom w:val="none" w:sz="0" w:space="0" w:color="auto"/>
        <w:right w:val="none" w:sz="0" w:space="0" w:color="auto"/>
      </w:divBdr>
    </w:div>
    <w:div w:id="882718537">
      <w:bodyDiv w:val="1"/>
      <w:marLeft w:val="0"/>
      <w:marRight w:val="0"/>
      <w:marTop w:val="0"/>
      <w:marBottom w:val="0"/>
      <w:divBdr>
        <w:top w:val="none" w:sz="0" w:space="0" w:color="auto"/>
        <w:left w:val="none" w:sz="0" w:space="0" w:color="auto"/>
        <w:bottom w:val="none" w:sz="0" w:space="0" w:color="auto"/>
        <w:right w:val="none" w:sz="0" w:space="0" w:color="auto"/>
      </w:divBdr>
    </w:div>
    <w:div w:id="893538847">
      <w:bodyDiv w:val="1"/>
      <w:marLeft w:val="0"/>
      <w:marRight w:val="0"/>
      <w:marTop w:val="0"/>
      <w:marBottom w:val="0"/>
      <w:divBdr>
        <w:top w:val="none" w:sz="0" w:space="0" w:color="auto"/>
        <w:left w:val="none" w:sz="0" w:space="0" w:color="auto"/>
        <w:bottom w:val="none" w:sz="0" w:space="0" w:color="auto"/>
        <w:right w:val="none" w:sz="0" w:space="0" w:color="auto"/>
      </w:divBdr>
    </w:div>
    <w:div w:id="895235720">
      <w:bodyDiv w:val="1"/>
      <w:marLeft w:val="0"/>
      <w:marRight w:val="0"/>
      <w:marTop w:val="0"/>
      <w:marBottom w:val="0"/>
      <w:divBdr>
        <w:top w:val="none" w:sz="0" w:space="0" w:color="auto"/>
        <w:left w:val="none" w:sz="0" w:space="0" w:color="auto"/>
        <w:bottom w:val="none" w:sz="0" w:space="0" w:color="auto"/>
        <w:right w:val="none" w:sz="0" w:space="0" w:color="auto"/>
      </w:divBdr>
    </w:div>
    <w:div w:id="925961939">
      <w:bodyDiv w:val="1"/>
      <w:marLeft w:val="0"/>
      <w:marRight w:val="0"/>
      <w:marTop w:val="0"/>
      <w:marBottom w:val="0"/>
      <w:divBdr>
        <w:top w:val="none" w:sz="0" w:space="0" w:color="auto"/>
        <w:left w:val="none" w:sz="0" w:space="0" w:color="auto"/>
        <w:bottom w:val="none" w:sz="0" w:space="0" w:color="auto"/>
        <w:right w:val="none" w:sz="0" w:space="0" w:color="auto"/>
      </w:divBdr>
    </w:div>
    <w:div w:id="928730430">
      <w:bodyDiv w:val="1"/>
      <w:marLeft w:val="0"/>
      <w:marRight w:val="0"/>
      <w:marTop w:val="0"/>
      <w:marBottom w:val="0"/>
      <w:divBdr>
        <w:top w:val="none" w:sz="0" w:space="0" w:color="auto"/>
        <w:left w:val="none" w:sz="0" w:space="0" w:color="auto"/>
        <w:bottom w:val="none" w:sz="0" w:space="0" w:color="auto"/>
        <w:right w:val="none" w:sz="0" w:space="0" w:color="auto"/>
      </w:divBdr>
    </w:div>
    <w:div w:id="939605178">
      <w:bodyDiv w:val="1"/>
      <w:marLeft w:val="0"/>
      <w:marRight w:val="0"/>
      <w:marTop w:val="0"/>
      <w:marBottom w:val="0"/>
      <w:divBdr>
        <w:top w:val="none" w:sz="0" w:space="0" w:color="auto"/>
        <w:left w:val="none" w:sz="0" w:space="0" w:color="auto"/>
        <w:bottom w:val="none" w:sz="0" w:space="0" w:color="auto"/>
        <w:right w:val="none" w:sz="0" w:space="0" w:color="auto"/>
      </w:divBdr>
    </w:div>
    <w:div w:id="961106863">
      <w:bodyDiv w:val="1"/>
      <w:marLeft w:val="0"/>
      <w:marRight w:val="0"/>
      <w:marTop w:val="0"/>
      <w:marBottom w:val="0"/>
      <w:divBdr>
        <w:top w:val="none" w:sz="0" w:space="0" w:color="auto"/>
        <w:left w:val="none" w:sz="0" w:space="0" w:color="auto"/>
        <w:bottom w:val="none" w:sz="0" w:space="0" w:color="auto"/>
        <w:right w:val="none" w:sz="0" w:space="0" w:color="auto"/>
      </w:divBdr>
    </w:div>
    <w:div w:id="962224947">
      <w:bodyDiv w:val="1"/>
      <w:marLeft w:val="0"/>
      <w:marRight w:val="0"/>
      <w:marTop w:val="0"/>
      <w:marBottom w:val="0"/>
      <w:divBdr>
        <w:top w:val="none" w:sz="0" w:space="0" w:color="auto"/>
        <w:left w:val="none" w:sz="0" w:space="0" w:color="auto"/>
        <w:bottom w:val="none" w:sz="0" w:space="0" w:color="auto"/>
        <w:right w:val="none" w:sz="0" w:space="0" w:color="auto"/>
      </w:divBdr>
    </w:div>
    <w:div w:id="964776247">
      <w:bodyDiv w:val="1"/>
      <w:marLeft w:val="0"/>
      <w:marRight w:val="0"/>
      <w:marTop w:val="0"/>
      <w:marBottom w:val="0"/>
      <w:divBdr>
        <w:top w:val="none" w:sz="0" w:space="0" w:color="auto"/>
        <w:left w:val="none" w:sz="0" w:space="0" w:color="auto"/>
        <w:bottom w:val="none" w:sz="0" w:space="0" w:color="auto"/>
        <w:right w:val="none" w:sz="0" w:space="0" w:color="auto"/>
      </w:divBdr>
    </w:div>
    <w:div w:id="975842363">
      <w:bodyDiv w:val="1"/>
      <w:marLeft w:val="0"/>
      <w:marRight w:val="0"/>
      <w:marTop w:val="0"/>
      <w:marBottom w:val="0"/>
      <w:divBdr>
        <w:top w:val="none" w:sz="0" w:space="0" w:color="auto"/>
        <w:left w:val="none" w:sz="0" w:space="0" w:color="auto"/>
        <w:bottom w:val="none" w:sz="0" w:space="0" w:color="auto"/>
        <w:right w:val="none" w:sz="0" w:space="0" w:color="auto"/>
      </w:divBdr>
    </w:div>
    <w:div w:id="982194863">
      <w:bodyDiv w:val="1"/>
      <w:marLeft w:val="0"/>
      <w:marRight w:val="0"/>
      <w:marTop w:val="0"/>
      <w:marBottom w:val="0"/>
      <w:divBdr>
        <w:top w:val="none" w:sz="0" w:space="0" w:color="auto"/>
        <w:left w:val="none" w:sz="0" w:space="0" w:color="auto"/>
        <w:bottom w:val="none" w:sz="0" w:space="0" w:color="auto"/>
        <w:right w:val="none" w:sz="0" w:space="0" w:color="auto"/>
      </w:divBdr>
    </w:div>
    <w:div w:id="1001586752">
      <w:bodyDiv w:val="1"/>
      <w:marLeft w:val="0"/>
      <w:marRight w:val="0"/>
      <w:marTop w:val="0"/>
      <w:marBottom w:val="0"/>
      <w:divBdr>
        <w:top w:val="none" w:sz="0" w:space="0" w:color="auto"/>
        <w:left w:val="none" w:sz="0" w:space="0" w:color="auto"/>
        <w:bottom w:val="none" w:sz="0" w:space="0" w:color="auto"/>
        <w:right w:val="none" w:sz="0" w:space="0" w:color="auto"/>
      </w:divBdr>
    </w:div>
    <w:div w:id="1015035849">
      <w:bodyDiv w:val="1"/>
      <w:marLeft w:val="0"/>
      <w:marRight w:val="0"/>
      <w:marTop w:val="0"/>
      <w:marBottom w:val="0"/>
      <w:divBdr>
        <w:top w:val="none" w:sz="0" w:space="0" w:color="auto"/>
        <w:left w:val="none" w:sz="0" w:space="0" w:color="auto"/>
        <w:bottom w:val="none" w:sz="0" w:space="0" w:color="auto"/>
        <w:right w:val="none" w:sz="0" w:space="0" w:color="auto"/>
      </w:divBdr>
    </w:div>
    <w:div w:id="1018240659">
      <w:bodyDiv w:val="1"/>
      <w:marLeft w:val="0"/>
      <w:marRight w:val="0"/>
      <w:marTop w:val="0"/>
      <w:marBottom w:val="0"/>
      <w:divBdr>
        <w:top w:val="none" w:sz="0" w:space="0" w:color="auto"/>
        <w:left w:val="none" w:sz="0" w:space="0" w:color="auto"/>
        <w:bottom w:val="none" w:sz="0" w:space="0" w:color="auto"/>
        <w:right w:val="none" w:sz="0" w:space="0" w:color="auto"/>
      </w:divBdr>
    </w:div>
    <w:div w:id="1024087676">
      <w:bodyDiv w:val="1"/>
      <w:marLeft w:val="0"/>
      <w:marRight w:val="0"/>
      <w:marTop w:val="0"/>
      <w:marBottom w:val="0"/>
      <w:divBdr>
        <w:top w:val="none" w:sz="0" w:space="0" w:color="auto"/>
        <w:left w:val="none" w:sz="0" w:space="0" w:color="auto"/>
        <w:bottom w:val="none" w:sz="0" w:space="0" w:color="auto"/>
        <w:right w:val="none" w:sz="0" w:space="0" w:color="auto"/>
      </w:divBdr>
    </w:div>
    <w:div w:id="1028021003">
      <w:bodyDiv w:val="1"/>
      <w:marLeft w:val="0"/>
      <w:marRight w:val="0"/>
      <w:marTop w:val="0"/>
      <w:marBottom w:val="0"/>
      <w:divBdr>
        <w:top w:val="none" w:sz="0" w:space="0" w:color="auto"/>
        <w:left w:val="none" w:sz="0" w:space="0" w:color="auto"/>
        <w:bottom w:val="none" w:sz="0" w:space="0" w:color="auto"/>
        <w:right w:val="none" w:sz="0" w:space="0" w:color="auto"/>
      </w:divBdr>
    </w:div>
    <w:div w:id="1032263687">
      <w:bodyDiv w:val="1"/>
      <w:marLeft w:val="0"/>
      <w:marRight w:val="0"/>
      <w:marTop w:val="0"/>
      <w:marBottom w:val="0"/>
      <w:divBdr>
        <w:top w:val="none" w:sz="0" w:space="0" w:color="auto"/>
        <w:left w:val="none" w:sz="0" w:space="0" w:color="auto"/>
        <w:bottom w:val="none" w:sz="0" w:space="0" w:color="auto"/>
        <w:right w:val="none" w:sz="0" w:space="0" w:color="auto"/>
      </w:divBdr>
    </w:div>
    <w:div w:id="1041369523">
      <w:bodyDiv w:val="1"/>
      <w:marLeft w:val="0"/>
      <w:marRight w:val="0"/>
      <w:marTop w:val="0"/>
      <w:marBottom w:val="0"/>
      <w:divBdr>
        <w:top w:val="none" w:sz="0" w:space="0" w:color="auto"/>
        <w:left w:val="none" w:sz="0" w:space="0" w:color="auto"/>
        <w:bottom w:val="none" w:sz="0" w:space="0" w:color="auto"/>
        <w:right w:val="none" w:sz="0" w:space="0" w:color="auto"/>
      </w:divBdr>
    </w:div>
    <w:div w:id="1086876873">
      <w:bodyDiv w:val="1"/>
      <w:marLeft w:val="0"/>
      <w:marRight w:val="0"/>
      <w:marTop w:val="0"/>
      <w:marBottom w:val="0"/>
      <w:divBdr>
        <w:top w:val="none" w:sz="0" w:space="0" w:color="auto"/>
        <w:left w:val="none" w:sz="0" w:space="0" w:color="auto"/>
        <w:bottom w:val="none" w:sz="0" w:space="0" w:color="auto"/>
        <w:right w:val="none" w:sz="0" w:space="0" w:color="auto"/>
      </w:divBdr>
    </w:div>
    <w:div w:id="1087574199">
      <w:bodyDiv w:val="1"/>
      <w:marLeft w:val="0"/>
      <w:marRight w:val="0"/>
      <w:marTop w:val="0"/>
      <w:marBottom w:val="0"/>
      <w:divBdr>
        <w:top w:val="none" w:sz="0" w:space="0" w:color="auto"/>
        <w:left w:val="none" w:sz="0" w:space="0" w:color="auto"/>
        <w:bottom w:val="none" w:sz="0" w:space="0" w:color="auto"/>
        <w:right w:val="none" w:sz="0" w:space="0" w:color="auto"/>
      </w:divBdr>
    </w:div>
    <w:div w:id="1091773831">
      <w:bodyDiv w:val="1"/>
      <w:marLeft w:val="0"/>
      <w:marRight w:val="0"/>
      <w:marTop w:val="0"/>
      <w:marBottom w:val="0"/>
      <w:divBdr>
        <w:top w:val="none" w:sz="0" w:space="0" w:color="auto"/>
        <w:left w:val="none" w:sz="0" w:space="0" w:color="auto"/>
        <w:bottom w:val="none" w:sz="0" w:space="0" w:color="auto"/>
        <w:right w:val="none" w:sz="0" w:space="0" w:color="auto"/>
      </w:divBdr>
    </w:div>
    <w:div w:id="1119835599">
      <w:bodyDiv w:val="1"/>
      <w:marLeft w:val="0"/>
      <w:marRight w:val="0"/>
      <w:marTop w:val="0"/>
      <w:marBottom w:val="0"/>
      <w:divBdr>
        <w:top w:val="none" w:sz="0" w:space="0" w:color="auto"/>
        <w:left w:val="none" w:sz="0" w:space="0" w:color="auto"/>
        <w:bottom w:val="none" w:sz="0" w:space="0" w:color="auto"/>
        <w:right w:val="none" w:sz="0" w:space="0" w:color="auto"/>
      </w:divBdr>
    </w:div>
    <w:div w:id="1131483721">
      <w:bodyDiv w:val="1"/>
      <w:marLeft w:val="0"/>
      <w:marRight w:val="0"/>
      <w:marTop w:val="0"/>
      <w:marBottom w:val="0"/>
      <w:divBdr>
        <w:top w:val="none" w:sz="0" w:space="0" w:color="auto"/>
        <w:left w:val="none" w:sz="0" w:space="0" w:color="auto"/>
        <w:bottom w:val="none" w:sz="0" w:space="0" w:color="auto"/>
        <w:right w:val="none" w:sz="0" w:space="0" w:color="auto"/>
      </w:divBdr>
    </w:div>
    <w:div w:id="1137605253">
      <w:bodyDiv w:val="1"/>
      <w:marLeft w:val="0"/>
      <w:marRight w:val="0"/>
      <w:marTop w:val="0"/>
      <w:marBottom w:val="0"/>
      <w:divBdr>
        <w:top w:val="none" w:sz="0" w:space="0" w:color="auto"/>
        <w:left w:val="none" w:sz="0" w:space="0" w:color="auto"/>
        <w:bottom w:val="none" w:sz="0" w:space="0" w:color="auto"/>
        <w:right w:val="none" w:sz="0" w:space="0" w:color="auto"/>
      </w:divBdr>
    </w:div>
    <w:div w:id="1145313133">
      <w:bodyDiv w:val="1"/>
      <w:marLeft w:val="0"/>
      <w:marRight w:val="0"/>
      <w:marTop w:val="0"/>
      <w:marBottom w:val="0"/>
      <w:divBdr>
        <w:top w:val="none" w:sz="0" w:space="0" w:color="auto"/>
        <w:left w:val="none" w:sz="0" w:space="0" w:color="auto"/>
        <w:bottom w:val="none" w:sz="0" w:space="0" w:color="auto"/>
        <w:right w:val="none" w:sz="0" w:space="0" w:color="auto"/>
      </w:divBdr>
    </w:div>
    <w:div w:id="1162625275">
      <w:bodyDiv w:val="1"/>
      <w:marLeft w:val="0"/>
      <w:marRight w:val="0"/>
      <w:marTop w:val="0"/>
      <w:marBottom w:val="0"/>
      <w:divBdr>
        <w:top w:val="none" w:sz="0" w:space="0" w:color="auto"/>
        <w:left w:val="none" w:sz="0" w:space="0" w:color="auto"/>
        <w:bottom w:val="none" w:sz="0" w:space="0" w:color="auto"/>
        <w:right w:val="none" w:sz="0" w:space="0" w:color="auto"/>
      </w:divBdr>
    </w:div>
    <w:div w:id="1181703073">
      <w:bodyDiv w:val="1"/>
      <w:marLeft w:val="0"/>
      <w:marRight w:val="0"/>
      <w:marTop w:val="0"/>
      <w:marBottom w:val="0"/>
      <w:divBdr>
        <w:top w:val="none" w:sz="0" w:space="0" w:color="auto"/>
        <w:left w:val="none" w:sz="0" w:space="0" w:color="auto"/>
        <w:bottom w:val="none" w:sz="0" w:space="0" w:color="auto"/>
        <w:right w:val="none" w:sz="0" w:space="0" w:color="auto"/>
      </w:divBdr>
    </w:div>
    <w:div w:id="1182205564">
      <w:bodyDiv w:val="1"/>
      <w:marLeft w:val="0"/>
      <w:marRight w:val="0"/>
      <w:marTop w:val="0"/>
      <w:marBottom w:val="0"/>
      <w:divBdr>
        <w:top w:val="none" w:sz="0" w:space="0" w:color="auto"/>
        <w:left w:val="none" w:sz="0" w:space="0" w:color="auto"/>
        <w:bottom w:val="none" w:sz="0" w:space="0" w:color="auto"/>
        <w:right w:val="none" w:sz="0" w:space="0" w:color="auto"/>
      </w:divBdr>
    </w:div>
    <w:div w:id="1223640665">
      <w:bodyDiv w:val="1"/>
      <w:marLeft w:val="0"/>
      <w:marRight w:val="0"/>
      <w:marTop w:val="0"/>
      <w:marBottom w:val="0"/>
      <w:divBdr>
        <w:top w:val="none" w:sz="0" w:space="0" w:color="auto"/>
        <w:left w:val="none" w:sz="0" w:space="0" w:color="auto"/>
        <w:bottom w:val="none" w:sz="0" w:space="0" w:color="auto"/>
        <w:right w:val="none" w:sz="0" w:space="0" w:color="auto"/>
      </w:divBdr>
    </w:div>
    <w:div w:id="1237932868">
      <w:bodyDiv w:val="1"/>
      <w:marLeft w:val="0"/>
      <w:marRight w:val="0"/>
      <w:marTop w:val="0"/>
      <w:marBottom w:val="0"/>
      <w:divBdr>
        <w:top w:val="none" w:sz="0" w:space="0" w:color="auto"/>
        <w:left w:val="none" w:sz="0" w:space="0" w:color="auto"/>
        <w:bottom w:val="none" w:sz="0" w:space="0" w:color="auto"/>
        <w:right w:val="none" w:sz="0" w:space="0" w:color="auto"/>
      </w:divBdr>
    </w:div>
    <w:div w:id="1241911787">
      <w:bodyDiv w:val="1"/>
      <w:marLeft w:val="0"/>
      <w:marRight w:val="0"/>
      <w:marTop w:val="0"/>
      <w:marBottom w:val="0"/>
      <w:divBdr>
        <w:top w:val="none" w:sz="0" w:space="0" w:color="auto"/>
        <w:left w:val="none" w:sz="0" w:space="0" w:color="auto"/>
        <w:bottom w:val="none" w:sz="0" w:space="0" w:color="auto"/>
        <w:right w:val="none" w:sz="0" w:space="0" w:color="auto"/>
      </w:divBdr>
    </w:div>
    <w:div w:id="1245140899">
      <w:bodyDiv w:val="1"/>
      <w:marLeft w:val="0"/>
      <w:marRight w:val="0"/>
      <w:marTop w:val="0"/>
      <w:marBottom w:val="0"/>
      <w:divBdr>
        <w:top w:val="none" w:sz="0" w:space="0" w:color="auto"/>
        <w:left w:val="none" w:sz="0" w:space="0" w:color="auto"/>
        <w:bottom w:val="none" w:sz="0" w:space="0" w:color="auto"/>
        <w:right w:val="none" w:sz="0" w:space="0" w:color="auto"/>
      </w:divBdr>
    </w:div>
    <w:div w:id="1253853942">
      <w:bodyDiv w:val="1"/>
      <w:marLeft w:val="0"/>
      <w:marRight w:val="0"/>
      <w:marTop w:val="0"/>
      <w:marBottom w:val="0"/>
      <w:divBdr>
        <w:top w:val="none" w:sz="0" w:space="0" w:color="auto"/>
        <w:left w:val="none" w:sz="0" w:space="0" w:color="auto"/>
        <w:bottom w:val="none" w:sz="0" w:space="0" w:color="auto"/>
        <w:right w:val="none" w:sz="0" w:space="0" w:color="auto"/>
      </w:divBdr>
    </w:div>
    <w:div w:id="1256548914">
      <w:bodyDiv w:val="1"/>
      <w:marLeft w:val="0"/>
      <w:marRight w:val="0"/>
      <w:marTop w:val="0"/>
      <w:marBottom w:val="0"/>
      <w:divBdr>
        <w:top w:val="none" w:sz="0" w:space="0" w:color="auto"/>
        <w:left w:val="none" w:sz="0" w:space="0" w:color="auto"/>
        <w:bottom w:val="none" w:sz="0" w:space="0" w:color="auto"/>
        <w:right w:val="none" w:sz="0" w:space="0" w:color="auto"/>
      </w:divBdr>
    </w:div>
    <w:div w:id="1274089464">
      <w:bodyDiv w:val="1"/>
      <w:marLeft w:val="0"/>
      <w:marRight w:val="0"/>
      <w:marTop w:val="0"/>
      <w:marBottom w:val="0"/>
      <w:divBdr>
        <w:top w:val="none" w:sz="0" w:space="0" w:color="auto"/>
        <w:left w:val="none" w:sz="0" w:space="0" w:color="auto"/>
        <w:bottom w:val="none" w:sz="0" w:space="0" w:color="auto"/>
        <w:right w:val="none" w:sz="0" w:space="0" w:color="auto"/>
      </w:divBdr>
    </w:div>
    <w:div w:id="1275594372">
      <w:bodyDiv w:val="1"/>
      <w:marLeft w:val="0"/>
      <w:marRight w:val="0"/>
      <w:marTop w:val="0"/>
      <w:marBottom w:val="0"/>
      <w:divBdr>
        <w:top w:val="none" w:sz="0" w:space="0" w:color="auto"/>
        <w:left w:val="none" w:sz="0" w:space="0" w:color="auto"/>
        <w:bottom w:val="none" w:sz="0" w:space="0" w:color="auto"/>
        <w:right w:val="none" w:sz="0" w:space="0" w:color="auto"/>
      </w:divBdr>
    </w:div>
    <w:div w:id="1290549286">
      <w:bodyDiv w:val="1"/>
      <w:marLeft w:val="0"/>
      <w:marRight w:val="0"/>
      <w:marTop w:val="0"/>
      <w:marBottom w:val="0"/>
      <w:divBdr>
        <w:top w:val="none" w:sz="0" w:space="0" w:color="auto"/>
        <w:left w:val="none" w:sz="0" w:space="0" w:color="auto"/>
        <w:bottom w:val="none" w:sz="0" w:space="0" w:color="auto"/>
        <w:right w:val="none" w:sz="0" w:space="0" w:color="auto"/>
      </w:divBdr>
    </w:div>
    <w:div w:id="1320496794">
      <w:bodyDiv w:val="1"/>
      <w:marLeft w:val="0"/>
      <w:marRight w:val="0"/>
      <w:marTop w:val="0"/>
      <w:marBottom w:val="0"/>
      <w:divBdr>
        <w:top w:val="none" w:sz="0" w:space="0" w:color="auto"/>
        <w:left w:val="none" w:sz="0" w:space="0" w:color="auto"/>
        <w:bottom w:val="none" w:sz="0" w:space="0" w:color="auto"/>
        <w:right w:val="none" w:sz="0" w:space="0" w:color="auto"/>
      </w:divBdr>
    </w:div>
    <w:div w:id="1323898560">
      <w:bodyDiv w:val="1"/>
      <w:marLeft w:val="0"/>
      <w:marRight w:val="0"/>
      <w:marTop w:val="0"/>
      <w:marBottom w:val="0"/>
      <w:divBdr>
        <w:top w:val="none" w:sz="0" w:space="0" w:color="auto"/>
        <w:left w:val="none" w:sz="0" w:space="0" w:color="auto"/>
        <w:bottom w:val="none" w:sz="0" w:space="0" w:color="auto"/>
        <w:right w:val="none" w:sz="0" w:space="0" w:color="auto"/>
      </w:divBdr>
    </w:div>
    <w:div w:id="1330671052">
      <w:bodyDiv w:val="1"/>
      <w:marLeft w:val="0"/>
      <w:marRight w:val="0"/>
      <w:marTop w:val="0"/>
      <w:marBottom w:val="0"/>
      <w:divBdr>
        <w:top w:val="none" w:sz="0" w:space="0" w:color="auto"/>
        <w:left w:val="none" w:sz="0" w:space="0" w:color="auto"/>
        <w:bottom w:val="none" w:sz="0" w:space="0" w:color="auto"/>
        <w:right w:val="none" w:sz="0" w:space="0" w:color="auto"/>
      </w:divBdr>
    </w:div>
    <w:div w:id="1358115293">
      <w:bodyDiv w:val="1"/>
      <w:marLeft w:val="0"/>
      <w:marRight w:val="0"/>
      <w:marTop w:val="0"/>
      <w:marBottom w:val="0"/>
      <w:divBdr>
        <w:top w:val="none" w:sz="0" w:space="0" w:color="auto"/>
        <w:left w:val="none" w:sz="0" w:space="0" w:color="auto"/>
        <w:bottom w:val="none" w:sz="0" w:space="0" w:color="auto"/>
        <w:right w:val="none" w:sz="0" w:space="0" w:color="auto"/>
      </w:divBdr>
    </w:div>
    <w:div w:id="1366566787">
      <w:bodyDiv w:val="1"/>
      <w:marLeft w:val="0"/>
      <w:marRight w:val="0"/>
      <w:marTop w:val="0"/>
      <w:marBottom w:val="0"/>
      <w:divBdr>
        <w:top w:val="none" w:sz="0" w:space="0" w:color="auto"/>
        <w:left w:val="none" w:sz="0" w:space="0" w:color="auto"/>
        <w:bottom w:val="none" w:sz="0" w:space="0" w:color="auto"/>
        <w:right w:val="none" w:sz="0" w:space="0" w:color="auto"/>
      </w:divBdr>
    </w:div>
    <w:div w:id="1382703684">
      <w:bodyDiv w:val="1"/>
      <w:marLeft w:val="0"/>
      <w:marRight w:val="0"/>
      <w:marTop w:val="0"/>
      <w:marBottom w:val="0"/>
      <w:divBdr>
        <w:top w:val="none" w:sz="0" w:space="0" w:color="auto"/>
        <w:left w:val="none" w:sz="0" w:space="0" w:color="auto"/>
        <w:bottom w:val="none" w:sz="0" w:space="0" w:color="auto"/>
        <w:right w:val="none" w:sz="0" w:space="0" w:color="auto"/>
      </w:divBdr>
    </w:div>
    <w:div w:id="1405033862">
      <w:bodyDiv w:val="1"/>
      <w:marLeft w:val="0"/>
      <w:marRight w:val="0"/>
      <w:marTop w:val="0"/>
      <w:marBottom w:val="0"/>
      <w:divBdr>
        <w:top w:val="none" w:sz="0" w:space="0" w:color="auto"/>
        <w:left w:val="none" w:sz="0" w:space="0" w:color="auto"/>
        <w:bottom w:val="none" w:sz="0" w:space="0" w:color="auto"/>
        <w:right w:val="none" w:sz="0" w:space="0" w:color="auto"/>
      </w:divBdr>
    </w:div>
    <w:div w:id="1409419333">
      <w:bodyDiv w:val="1"/>
      <w:marLeft w:val="0"/>
      <w:marRight w:val="0"/>
      <w:marTop w:val="0"/>
      <w:marBottom w:val="0"/>
      <w:divBdr>
        <w:top w:val="none" w:sz="0" w:space="0" w:color="auto"/>
        <w:left w:val="none" w:sz="0" w:space="0" w:color="auto"/>
        <w:bottom w:val="none" w:sz="0" w:space="0" w:color="auto"/>
        <w:right w:val="none" w:sz="0" w:space="0" w:color="auto"/>
      </w:divBdr>
    </w:div>
    <w:div w:id="1414620349">
      <w:bodyDiv w:val="1"/>
      <w:marLeft w:val="0"/>
      <w:marRight w:val="0"/>
      <w:marTop w:val="0"/>
      <w:marBottom w:val="0"/>
      <w:divBdr>
        <w:top w:val="none" w:sz="0" w:space="0" w:color="auto"/>
        <w:left w:val="none" w:sz="0" w:space="0" w:color="auto"/>
        <w:bottom w:val="none" w:sz="0" w:space="0" w:color="auto"/>
        <w:right w:val="none" w:sz="0" w:space="0" w:color="auto"/>
      </w:divBdr>
    </w:div>
    <w:div w:id="1427578041">
      <w:bodyDiv w:val="1"/>
      <w:marLeft w:val="0"/>
      <w:marRight w:val="0"/>
      <w:marTop w:val="0"/>
      <w:marBottom w:val="0"/>
      <w:divBdr>
        <w:top w:val="none" w:sz="0" w:space="0" w:color="auto"/>
        <w:left w:val="none" w:sz="0" w:space="0" w:color="auto"/>
        <w:bottom w:val="none" w:sz="0" w:space="0" w:color="auto"/>
        <w:right w:val="none" w:sz="0" w:space="0" w:color="auto"/>
      </w:divBdr>
    </w:div>
    <w:div w:id="1438065585">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8814079">
      <w:bodyDiv w:val="1"/>
      <w:marLeft w:val="0"/>
      <w:marRight w:val="0"/>
      <w:marTop w:val="0"/>
      <w:marBottom w:val="0"/>
      <w:divBdr>
        <w:top w:val="none" w:sz="0" w:space="0" w:color="auto"/>
        <w:left w:val="none" w:sz="0" w:space="0" w:color="auto"/>
        <w:bottom w:val="none" w:sz="0" w:space="0" w:color="auto"/>
        <w:right w:val="none" w:sz="0" w:space="0" w:color="auto"/>
      </w:divBdr>
    </w:div>
    <w:div w:id="1449395336">
      <w:bodyDiv w:val="1"/>
      <w:marLeft w:val="0"/>
      <w:marRight w:val="0"/>
      <w:marTop w:val="0"/>
      <w:marBottom w:val="0"/>
      <w:divBdr>
        <w:top w:val="none" w:sz="0" w:space="0" w:color="auto"/>
        <w:left w:val="none" w:sz="0" w:space="0" w:color="auto"/>
        <w:bottom w:val="none" w:sz="0" w:space="0" w:color="auto"/>
        <w:right w:val="none" w:sz="0" w:space="0" w:color="auto"/>
      </w:divBdr>
    </w:div>
    <w:div w:id="1519351655">
      <w:bodyDiv w:val="1"/>
      <w:marLeft w:val="0"/>
      <w:marRight w:val="0"/>
      <w:marTop w:val="0"/>
      <w:marBottom w:val="0"/>
      <w:divBdr>
        <w:top w:val="none" w:sz="0" w:space="0" w:color="auto"/>
        <w:left w:val="none" w:sz="0" w:space="0" w:color="auto"/>
        <w:bottom w:val="none" w:sz="0" w:space="0" w:color="auto"/>
        <w:right w:val="none" w:sz="0" w:space="0" w:color="auto"/>
      </w:divBdr>
    </w:div>
    <w:div w:id="1519544628">
      <w:bodyDiv w:val="1"/>
      <w:marLeft w:val="0"/>
      <w:marRight w:val="0"/>
      <w:marTop w:val="0"/>
      <w:marBottom w:val="0"/>
      <w:divBdr>
        <w:top w:val="none" w:sz="0" w:space="0" w:color="auto"/>
        <w:left w:val="none" w:sz="0" w:space="0" w:color="auto"/>
        <w:bottom w:val="none" w:sz="0" w:space="0" w:color="auto"/>
        <w:right w:val="none" w:sz="0" w:space="0" w:color="auto"/>
      </w:divBdr>
    </w:div>
    <w:div w:id="1539202657">
      <w:bodyDiv w:val="1"/>
      <w:marLeft w:val="0"/>
      <w:marRight w:val="0"/>
      <w:marTop w:val="0"/>
      <w:marBottom w:val="0"/>
      <w:divBdr>
        <w:top w:val="none" w:sz="0" w:space="0" w:color="auto"/>
        <w:left w:val="none" w:sz="0" w:space="0" w:color="auto"/>
        <w:bottom w:val="none" w:sz="0" w:space="0" w:color="auto"/>
        <w:right w:val="none" w:sz="0" w:space="0" w:color="auto"/>
      </w:divBdr>
    </w:div>
    <w:div w:id="1558660905">
      <w:bodyDiv w:val="1"/>
      <w:marLeft w:val="0"/>
      <w:marRight w:val="0"/>
      <w:marTop w:val="0"/>
      <w:marBottom w:val="0"/>
      <w:divBdr>
        <w:top w:val="none" w:sz="0" w:space="0" w:color="auto"/>
        <w:left w:val="none" w:sz="0" w:space="0" w:color="auto"/>
        <w:bottom w:val="none" w:sz="0" w:space="0" w:color="auto"/>
        <w:right w:val="none" w:sz="0" w:space="0" w:color="auto"/>
      </w:divBdr>
    </w:div>
    <w:div w:id="1577326650">
      <w:bodyDiv w:val="1"/>
      <w:marLeft w:val="0"/>
      <w:marRight w:val="0"/>
      <w:marTop w:val="0"/>
      <w:marBottom w:val="0"/>
      <w:divBdr>
        <w:top w:val="none" w:sz="0" w:space="0" w:color="auto"/>
        <w:left w:val="none" w:sz="0" w:space="0" w:color="auto"/>
        <w:bottom w:val="none" w:sz="0" w:space="0" w:color="auto"/>
        <w:right w:val="none" w:sz="0" w:space="0" w:color="auto"/>
      </w:divBdr>
    </w:div>
    <w:div w:id="1607535979">
      <w:bodyDiv w:val="1"/>
      <w:marLeft w:val="0"/>
      <w:marRight w:val="0"/>
      <w:marTop w:val="0"/>
      <w:marBottom w:val="0"/>
      <w:divBdr>
        <w:top w:val="none" w:sz="0" w:space="0" w:color="auto"/>
        <w:left w:val="none" w:sz="0" w:space="0" w:color="auto"/>
        <w:bottom w:val="none" w:sz="0" w:space="0" w:color="auto"/>
        <w:right w:val="none" w:sz="0" w:space="0" w:color="auto"/>
      </w:divBdr>
    </w:div>
    <w:div w:id="1618176952">
      <w:bodyDiv w:val="1"/>
      <w:marLeft w:val="0"/>
      <w:marRight w:val="0"/>
      <w:marTop w:val="0"/>
      <w:marBottom w:val="0"/>
      <w:divBdr>
        <w:top w:val="none" w:sz="0" w:space="0" w:color="auto"/>
        <w:left w:val="none" w:sz="0" w:space="0" w:color="auto"/>
        <w:bottom w:val="none" w:sz="0" w:space="0" w:color="auto"/>
        <w:right w:val="none" w:sz="0" w:space="0" w:color="auto"/>
      </w:divBdr>
    </w:div>
    <w:div w:id="1660233669">
      <w:bodyDiv w:val="1"/>
      <w:marLeft w:val="0"/>
      <w:marRight w:val="0"/>
      <w:marTop w:val="0"/>
      <w:marBottom w:val="0"/>
      <w:divBdr>
        <w:top w:val="none" w:sz="0" w:space="0" w:color="auto"/>
        <w:left w:val="none" w:sz="0" w:space="0" w:color="auto"/>
        <w:bottom w:val="none" w:sz="0" w:space="0" w:color="auto"/>
        <w:right w:val="none" w:sz="0" w:space="0" w:color="auto"/>
      </w:divBdr>
    </w:div>
    <w:div w:id="1666205262">
      <w:bodyDiv w:val="1"/>
      <w:marLeft w:val="0"/>
      <w:marRight w:val="0"/>
      <w:marTop w:val="0"/>
      <w:marBottom w:val="0"/>
      <w:divBdr>
        <w:top w:val="none" w:sz="0" w:space="0" w:color="auto"/>
        <w:left w:val="none" w:sz="0" w:space="0" w:color="auto"/>
        <w:bottom w:val="none" w:sz="0" w:space="0" w:color="auto"/>
        <w:right w:val="none" w:sz="0" w:space="0" w:color="auto"/>
      </w:divBdr>
    </w:div>
    <w:div w:id="1707371767">
      <w:bodyDiv w:val="1"/>
      <w:marLeft w:val="0"/>
      <w:marRight w:val="0"/>
      <w:marTop w:val="0"/>
      <w:marBottom w:val="0"/>
      <w:divBdr>
        <w:top w:val="none" w:sz="0" w:space="0" w:color="auto"/>
        <w:left w:val="none" w:sz="0" w:space="0" w:color="auto"/>
        <w:bottom w:val="none" w:sz="0" w:space="0" w:color="auto"/>
        <w:right w:val="none" w:sz="0" w:space="0" w:color="auto"/>
      </w:divBdr>
    </w:div>
    <w:div w:id="1726837295">
      <w:bodyDiv w:val="1"/>
      <w:marLeft w:val="0"/>
      <w:marRight w:val="0"/>
      <w:marTop w:val="0"/>
      <w:marBottom w:val="0"/>
      <w:divBdr>
        <w:top w:val="none" w:sz="0" w:space="0" w:color="auto"/>
        <w:left w:val="none" w:sz="0" w:space="0" w:color="auto"/>
        <w:bottom w:val="none" w:sz="0" w:space="0" w:color="auto"/>
        <w:right w:val="none" w:sz="0" w:space="0" w:color="auto"/>
      </w:divBdr>
    </w:div>
    <w:div w:id="1741638900">
      <w:bodyDiv w:val="1"/>
      <w:marLeft w:val="0"/>
      <w:marRight w:val="0"/>
      <w:marTop w:val="0"/>
      <w:marBottom w:val="0"/>
      <w:divBdr>
        <w:top w:val="none" w:sz="0" w:space="0" w:color="auto"/>
        <w:left w:val="none" w:sz="0" w:space="0" w:color="auto"/>
        <w:bottom w:val="none" w:sz="0" w:space="0" w:color="auto"/>
        <w:right w:val="none" w:sz="0" w:space="0" w:color="auto"/>
      </w:divBdr>
    </w:div>
    <w:div w:id="1747875453">
      <w:bodyDiv w:val="1"/>
      <w:marLeft w:val="0"/>
      <w:marRight w:val="0"/>
      <w:marTop w:val="0"/>
      <w:marBottom w:val="0"/>
      <w:divBdr>
        <w:top w:val="none" w:sz="0" w:space="0" w:color="auto"/>
        <w:left w:val="none" w:sz="0" w:space="0" w:color="auto"/>
        <w:bottom w:val="none" w:sz="0" w:space="0" w:color="auto"/>
        <w:right w:val="none" w:sz="0" w:space="0" w:color="auto"/>
      </w:divBdr>
    </w:div>
    <w:div w:id="1778408548">
      <w:bodyDiv w:val="1"/>
      <w:marLeft w:val="0"/>
      <w:marRight w:val="0"/>
      <w:marTop w:val="0"/>
      <w:marBottom w:val="0"/>
      <w:divBdr>
        <w:top w:val="none" w:sz="0" w:space="0" w:color="auto"/>
        <w:left w:val="none" w:sz="0" w:space="0" w:color="auto"/>
        <w:bottom w:val="none" w:sz="0" w:space="0" w:color="auto"/>
        <w:right w:val="none" w:sz="0" w:space="0" w:color="auto"/>
      </w:divBdr>
    </w:div>
    <w:div w:id="1778521265">
      <w:bodyDiv w:val="1"/>
      <w:marLeft w:val="0"/>
      <w:marRight w:val="0"/>
      <w:marTop w:val="0"/>
      <w:marBottom w:val="0"/>
      <w:divBdr>
        <w:top w:val="none" w:sz="0" w:space="0" w:color="auto"/>
        <w:left w:val="none" w:sz="0" w:space="0" w:color="auto"/>
        <w:bottom w:val="none" w:sz="0" w:space="0" w:color="auto"/>
        <w:right w:val="none" w:sz="0" w:space="0" w:color="auto"/>
      </w:divBdr>
    </w:div>
    <w:div w:id="1780639913">
      <w:bodyDiv w:val="1"/>
      <w:marLeft w:val="0"/>
      <w:marRight w:val="0"/>
      <w:marTop w:val="0"/>
      <w:marBottom w:val="0"/>
      <w:divBdr>
        <w:top w:val="none" w:sz="0" w:space="0" w:color="auto"/>
        <w:left w:val="none" w:sz="0" w:space="0" w:color="auto"/>
        <w:bottom w:val="none" w:sz="0" w:space="0" w:color="auto"/>
        <w:right w:val="none" w:sz="0" w:space="0" w:color="auto"/>
      </w:divBdr>
    </w:div>
    <w:div w:id="1790053855">
      <w:bodyDiv w:val="1"/>
      <w:marLeft w:val="0"/>
      <w:marRight w:val="0"/>
      <w:marTop w:val="0"/>
      <w:marBottom w:val="0"/>
      <w:divBdr>
        <w:top w:val="none" w:sz="0" w:space="0" w:color="auto"/>
        <w:left w:val="none" w:sz="0" w:space="0" w:color="auto"/>
        <w:bottom w:val="none" w:sz="0" w:space="0" w:color="auto"/>
        <w:right w:val="none" w:sz="0" w:space="0" w:color="auto"/>
      </w:divBdr>
    </w:div>
    <w:div w:id="1791703791">
      <w:bodyDiv w:val="1"/>
      <w:marLeft w:val="0"/>
      <w:marRight w:val="0"/>
      <w:marTop w:val="0"/>
      <w:marBottom w:val="0"/>
      <w:divBdr>
        <w:top w:val="none" w:sz="0" w:space="0" w:color="auto"/>
        <w:left w:val="none" w:sz="0" w:space="0" w:color="auto"/>
        <w:bottom w:val="none" w:sz="0" w:space="0" w:color="auto"/>
        <w:right w:val="none" w:sz="0" w:space="0" w:color="auto"/>
      </w:divBdr>
    </w:div>
    <w:div w:id="1848057232">
      <w:bodyDiv w:val="1"/>
      <w:marLeft w:val="0"/>
      <w:marRight w:val="0"/>
      <w:marTop w:val="0"/>
      <w:marBottom w:val="0"/>
      <w:divBdr>
        <w:top w:val="none" w:sz="0" w:space="0" w:color="auto"/>
        <w:left w:val="none" w:sz="0" w:space="0" w:color="auto"/>
        <w:bottom w:val="none" w:sz="0" w:space="0" w:color="auto"/>
        <w:right w:val="none" w:sz="0" w:space="0" w:color="auto"/>
      </w:divBdr>
    </w:div>
    <w:div w:id="1854808051">
      <w:bodyDiv w:val="1"/>
      <w:marLeft w:val="0"/>
      <w:marRight w:val="0"/>
      <w:marTop w:val="0"/>
      <w:marBottom w:val="0"/>
      <w:divBdr>
        <w:top w:val="none" w:sz="0" w:space="0" w:color="auto"/>
        <w:left w:val="none" w:sz="0" w:space="0" w:color="auto"/>
        <w:bottom w:val="none" w:sz="0" w:space="0" w:color="auto"/>
        <w:right w:val="none" w:sz="0" w:space="0" w:color="auto"/>
      </w:divBdr>
    </w:div>
    <w:div w:id="1862087048">
      <w:bodyDiv w:val="1"/>
      <w:marLeft w:val="0"/>
      <w:marRight w:val="0"/>
      <w:marTop w:val="0"/>
      <w:marBottom w:val="0"/>
      <w:divBdr>
        <w:top w:val="none" w:sz="0" w:space="0" w:color="auto"/>
        <w:left w:val="none" w:sz="0" w:space="0" w:color="auto"/>
        <w:bottom w:val="none" w:sz="0" w:space="0" w:color="auto"/>
        <w:right w:val="none" w:sz="0" w:space="0" w:color="auto"/>
      </w:divBdr>
    </w:div>
    <w:div w:id="1868248640">
      <w:bodyDiv w:val="1"/>
      <w:marLeft w:val="0"/>
      <w:marRight w:val="0"/>
      <w:marTop w:val="0"/>
      <w:marBottom w:val="0"/>
      <w:divBdr>
        <w:top w:val="none" w:sz="0" w:space="0" w:color="auto"/>
        <w:left w:val="none" w:sz="0" w:space="0" w:color="auto"/>
        <w:bottom w:val="none" w:sz="0" w:space="0" w:color="auto"/>
        <w:right w:val="none" w:sz="0" w:space="0" w:color="auto"/>
      </w:divBdr>
    </w:div>
    <w:div w:id="1881897225">
      <w:bodyDiv w:val="1"/>
      <w:marLeft w:val="0"/>
      <w:marRight w:val="0"/>
      <w:marTop w:val="0"/>
      <w:marBottom w:val="0"/>
      <w:divBdr>
        <w:top w:val="none" w:sz="0" w:space="0" w:color="auto"/>
        <w:left w:val="none" w:sz="0" w:space="0" w:color="auto"/>
        <w:bottom w:val="none" w:sz="0" w:space="0" w:color="auto"/>
        <w:right w:val="none" w:sz="0" w:space="0" w:color="auto"/>
      </w:divBdr>
    </w:div>
    <w:div w:id="1885170293">
      <w:bodyDiv w:val="1"/>
      <w:marLeft w:val="0"/>
      <w:marRight w:val="0"/>
      <w:marTop w:val="0"/>
      <w:marBottom w:val="0"/>
      <w:divBdr>
        <w:top w:val="none" w:sz="0" w:space="0" w:color="auto"/>
        <w:left w:val="none" w:sz="0" w:space="0" w:color="auto"/>
        <w:bottom w:val="none" w:sz="0" w:space="0" w:color="auto"/>
        <w:right w:val="none" w:sz="0" w:space="0" w:color="auto"/>
      </w:divBdr>
    </w:div>
    <w:div w:id="1906991026">
      <w:bodyDiv w:val="1"/>
      <w:marLeft w:val="0"/>
      <w:marRight w:val="0"/>
      <w:marTop w:val="0"/>
      <w:marBottom w:val="0"/>
      <w:divBdr>
        <w:top w:val="none" w:sz="0" w:space="0" w:color="auto"/>
        <w:left w:val="none" w:sz="0" w:space="0" w:color="auto"/>
        <w:bottom w:val="none" w:sz="0" w:space="0" w:color="auto"/>
        <w:right w:val="none" w:sz="0" w:space="0" w:color="auto"/>
      </w:divBdr>
    </w:div>
    <w:div w:id="1939410195">
      <w:bodyDiv w:val="1"/>
      <w:marLeft w:val="0"/>
      <w:marRight w:val="0"/>
      <w:marTop w:val="0"/>
      <w:marBottom w:val="0"/>
      <w:divBdr>
        <w:top w:val="none" w:sz="0" w:space="0" w:color="auto"/>
        <w:left w:val="none" w:sz="0" w:space="0" w:color="auto"/>
        <w:bottom w:val="none" w:sz="0" w:space="0" w:color="auto"/>
        <w:right w:val="none" w:sz="0" w:space="0" w:color="auto"/>
      </w:divBdr>
    </w:div>
    <w:div w:id="1940259784">
      <w:bodyDiv w:val="1"/>
      <w:marLeft w:val="0"/>
      <w:marRight w:val="0"/>
      <w:marTop w:val="0"/>
      <w:marBottom w:val="0"/>
      <w:divBdr>
        <w:top w:val="none" w:sz="0" w:space="0" w:color="auto"/>
        <w:left w:val="none" w:sz="0" w:space="0" w:color="auto"/>
        <w:bottom w:val="none" w:sz="0" w:space="0" w:color="auto"/>
        <w:right w:val="none" w:sz="0" w:space="0" w:color="auto"/>
      </w:divBdr>
    </w:div>
    <w:div w:id="1983074989">
      <w:bodyDiv w:val="1"/>
      <w:marLeft w:val="0"/>
      <w:marRight w:val="0"/>
      <w:marTop w:val="0"/>
      <w:marBottom w:val="0"/>
      <w:divBdr>
        <w:top w:val="none" w:sz="0" w:space="0" w:color="auto"/>
        <w:left w:val="none" w:sz="0" w:space="0" w:color="auto"/>
        <w:bottom w:val="none" w:sz="0" w:space="0" w:color="auto"/>
        <w:right w:val="none" w:sz="0" w:space="0" w:color="auto"/>
      </w:divBdr>
    </w:div>
    <w:div w:id="1983540761">
      <w:bodyDiv w:val="1"/>
      <w:marLeft w:val="0"/>
      <w:marRight w:val="0"/>
      <w:marTop w:val="0"/>
      <w:marBottom w:val="0"/>
      <w:divBdr>
        <w:top w:val="none" w:sz="0" w:space="0" w:color="auto"/>
        <w:left w:val="none" w:sz="0" w:space="0" w:color="auto"/>
        <w:bottom w:val="none" w:sz="0" w:space="0" w:color="auto"/>
        <w:right w:val="none" w:sz="0" w:space="0" w:color="auto"/>
      </w:divBdr>
    </w:div>
    <w:div w:id="1996687464">
      <w:bodyDiv w:val="1"/>
      <w:marLeft w:val="0"/>
      <w:marRight w:val="0"/>
      <w:marTop w:val="0"/>
      <w:marBottom w:val="0"/>
      <w:divBdr>
        <w:top w:val="none" w:sz="0" w:space="0" w:color="auto"/>
        <w:left w:val="none" w:sz="0" w:space="0" w:color="auto"/>
        <w:bottom w:val="none" w:sz="0" w:space="0" w:color="auto"/>
        <w:right w:val="none" w:sz="0" w:space="0" w:color="auto"/>
      </w:divBdr>
    </w:div>
    <w:div w:id="2014411544">
      <w:bodyDiv w:val="1"/>
      <w:marLeft w:val="0"/>
      <w:marRight w:val="0"/>
      <w:marTop w:val="0"/>
      <w:marBottom w:val="0"/>
      <w:divBdr>
        <w:top w:val="none" w:sz="0" w:space="0" w:color="auto"/>
        <w:left w:val="none" w:sz="0" w:space="0" w:color="auto"/>
        <w:bottom w:val="none" w:sz="0" w:space="0" w:color="auto"/>
        <w:right w:val="none" w:sz="0" w:space="0" w:color="auto"/>
      </w:divBdr>
    </w:div>
    <w:div w:id="2034761788">
      <w:bodyDiv w:val="1"/>
      <w:marLeft w:val="0"/>
      <w:marRight w:val="0"/>
      <w:marTop w:val="0"/>
      <w:marBottom w:val="0"/>
      <w:divBdr>
        <w:top w:val="none" w:sz="0" w:space="0" w:color="auto"/>
        <w:left w:val="none" w:sz="0" w:space="0" w:color="auto"/>
        <w:bottom w:val="none" w:sz="0" w:space="0" w:color="auto"/>
        <w:right w:val="none" w:sz="0" w:space="0" w:color="auto"/>
      </w:divBdr>
    </w:div>
    <w:div w:id="2107382766">
      <w:bodyDiv w:val="1"/>
      <w:marLeft w:val="0"/>
      <w:marRight w:val="0"/>
      <w:marTop w:val="0"/>
      <w:marBottom w:val="0"/>
      <w:divBdr>
        <w:top w:val="none" w:sz="0" w:space="0" w:color="auto"/>
        <w:left w:val="none" w:sz="0" w:space="0" w:color="auto"/>
        <w:bottom w:val="none" w:sz="0" w:space="0" w:color="auto"/>
        <w:right w:val="none" w:sz="0" w:space="0" w:color="auto"/>
      </w:divBdr>
    </w:div>
    <w:div w:id="2108306826">
      <w:bodyDiv w:val="1"/>
      <w:marLeft w:val="0"/>
      <w:marRight w:val="0"/>
      <w:marTop w:val="0"/>
      <w:marBottom w:val="0"/>
      <w:divBdr>
        <w:top w:val="none" w:sz="0" w:space="0" w:color="auto"/>
        <w:left w:val="none" w:sz="0" w:space="0" w:color="auto"/>
        <w:bottom w:val="none" w:sz="0" w:space="0" w:color="auto"/>
        <w:right w:val="none" w:sz="0" w:space="0" w:color="auto"/>
      </w:divBdr>
    </w:div>
    <w:div w:id="2115635652">
      <w:bodyDiv w:val="1"/>
      <w:marLeft w:val="0"/>
      <w:marRight w:val="0"/>
      <w:marTop w:val="0"/>
      <w:marBottom w:val="0"/>
      <w:divBdr>
        <w:top w:val="none" w:sz="0" w:space="0" w:color="auto"/>
        <w:left w:val="none" w:sz="0" w:space="0" w:color="auto"/>
        <w:bottom w:val="none" w:sz="0" w:space="0" w:color="auto"/>
        <w:right w:val="none" w:sz="0" w:space="0" w:color="auto"/>
      </w:divBdr>
    </w:div>
    <w:div w:id="2127849801">
      <w:bodyDiv w:val="1"/>
      <w:marLeft w:val="0"/>
      <w:marRight w:val="0"/>
      <w:marTop w:val="0"/>
      <w:marBottom w:val="0"/>
      <w:divBdr>
        <w:top w:val="none" w:sz="0" w:space="0" w:color="auto"/>
        <w:left w:val="none" w:sz="0" w:space="0" w:color="auto"/>
        <w:bottom w:val="none" w:sz="0" w:space="0" w:color="auto"/>
        <w:right w:val="none" w:sz="0" w:space="0" w:color="auto"/>
      </w:divBdr>
    </w:div>
    <w:div w:id="213255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curia.europa.eu/juris/document/document.jsf?text=&amp;docid=72270&amp;pageIndex=0&amp;doclang=EN&amp;mode=lst&amp;dir=&amp;occ=first&amp;part=1&amp;cid=9945922" TargetMode="External"/><Relationship Id="rId117" Type="http://schemas.openxmlformats.org/officeDocument/2006/relationships/header" Target="header3.xml"/><Relationship Id="rId21" Type="http://schemas.openxmlformats.org/officeDocument/2006/relationships/hyperlink" Target="https://curia.europa.eu/juris/document/document.jsf?text=&amp;docid=45721&amp;pageIndex=0&amp;doclang=EN&amp;mode=lst&amp;dir=&amp;occ=first&amp;part=1&amp;cid=10763343" TargetMode="External"/><Relationship Id="rId42" Type="http://schemas.openxmlformats.org/officeDocument/2006/relationships/hyperlink" Target="https://curia.europa.eu/juris/document/document.jsf?text=&amp;docid=184891&amp;pageIndex=0&amp;doclang=EN&amp;mode=lst&amp;dir=&amp;occ=first&amp;part=1&amp;cid=9777324" TargetMode="External"/><Relationship Id="rId47" Type="http://schemas.openxmlformats.org/officeDocument/2006/relationships/hyperlink" Target="https://curia.europa.eu/juris/document/document.jsf?text=&amp;docid=60336&amp;pageIndex=0&amp;doclang=EN&amp;mode=lst&amp;dir=&amp;occ=first&amp;part=1&amp;cid=1728241" TargetMode="External"/><Relationship Id="rId63" Type="http://schemas.openxmlformats.org/officeDocument/2006/relationships/hyperlink" Target="https://curia.europa.eu/juris/document/document.jsf?text=&amp;docid=125226&amp;pageIndex=0&amp;doclang=EN&amp;mode=lst&amp;dir=&amp;occ=first&amp;part=1&amp;cid=9889670" TargetMode="External"/><Relationship Id="rId68" Type="http://schemas.openxmlformats.org/officeDocument/2006/relationships/hyperlink" Target="https://curia.europa.eu/juris/document/document.jsf?text=C-98%252F14&amp;docid=164955&amp;pageIndex=0&amp;doclang=EN&amp;mode=req&amp;dir=&amp;occ=first&amp;part=1&amp;cid=9889670" TargetMode="External"/><Relationship Id="rId84" Type="http://schemas.openxmlformats.org/officeDocument/2006/relationships/hyperlink" Target="https://curia.europa.eu/juris/document/document.jsf?text=&amp;docid=81369&amp;pageIndex=0&amp;doclang=en&amp;mode=lst&amp;dir=&amp;occ=first&amp;part=1&amp;cid=10904675" TargetMode="External"/><Relationship Id="rId89" Type="http://schemas.openxmlformats.org/officeDocument/2006/relationships/hyperlink" Target="https://curia.europa.eu/juris/document/document.jsf?text=&amp;docid=47026&amp;pageIndex=0&amp;doclang=EN&amp;mode=lst&amp;dir=&amp;occ=first&amp;part=1&amp;cid=8919687" TargetMode="External"/><Relationship Id="rId112" Type="http://schemas.openxmlformats.org/officeDocument/2006/relationships/hyperlink" Target="https://curia.europa.eu/juris/document/document.jsf?text=&amp;docid=74815&amp;pageIndex=0&amp;doclang=EN&amp;mode=lst&amp;dir=&amp;occ=first&amp;part=1&amp;cid=12991943" TargetMode="External"/><Relationship Id="rId16" Type="http://schemas.openxmlformats.org/officeDocument/2006/relationships/hyperlink" Target="https://curia.europa.eu/juris/showPdf.jsf?text=&amp;docid=100042&amp;pageIndex=0&amp;doclang=EN&amp;mode=lst&amp;dir=&amp;occ=first&amp;part=1&amp;cid=10811412" TargetMode="External"/><Relationship Id="rId107" Type="http://schemas.openxmlformats.org/officeDocument/2006/relationships/hyperlink" Target="https://curia.europa.eu/juris/document/document.jsf?text=&amp;docid=217670&amp;pageIndex=0&amp;doclang=EN&amp;mode=lst&amp;dir=&amp;occ=first&amp;part=1&amp;cid=10880021" TargetMode="External"/><Relationship Id="rId11" Type="http://schemas.openxmlformats.org/officeDocument/2006/relationships/hyperlink" Target="https://curia.europa.eu/juris/document/document.jsf?text=&amp;docid=174105&amp;pageIndex=0&amp;doclang=EN&amp;mode=lst&amp;dir=&amp;occ=first&amp;part=1&amp;cid=10904675" TargetMode="External"/><Relationship Id="rId32" Type="http://schemas.openxmlformats.org/officeDocument/2006/relationships/hyperlink" Target="https://curia.europa.eu/juris/document/document.jsf?text=&amp;docid=187343&amp;pageIndex=0&amp;doclang=EN&amp;mode=lst&amp;dir=&amp;occ=first&amp;part=1&amp;cid=9777324" TargetMode="External"/><Relationship Id="rId37" Type="http://schemas.openxmlformats.org/officeDocument/2006/relationships/hyperlink" Target="https://curia.europa.eu/juris/document/document.jsf?text=&amp;docid=85136&amp;pageIndex=0&amp;doclang=EN&amp;mode=lst&amp;dir=&amp;occ=first&amp;part=1&amp;cid=15388659" TargetMode="External"/><Relationship Id="rId53" Type="http://schemas.openxmlformats.org/officeDocument/2006/relationships/hyperlink" Target="https://curia.europa.eu/juris/document/document.jsf?text=&amp;docid=217670&amp;pageIndex=0&amp;doclang=EN&amp;mode=lst&amp;dir=&amp;occ=first&amp;part=1&amp;cid=10880021" TargetMode="External"/><Relationship Id="rId58" Type="http://schemas.openxmlformats.org/officeDocument/2006/relationships/hyperlink" Target="https://curia.europa.eu/juris/document/document.jsf?text=&amp;docid=296555&amp;pageIndex=0&amp;doclang=EN&amp;mode=lst&amp;dir=&amp;occ=first&amp;part=1&amp;cid=14002600" TargetMode="External"/><Relationship Id="rId74" Type="http://schemas.openxmlformats.org/officeDocument/2006/relationships/hyperlink" Target="https://curia.europa.eu/juris/showPdf.jsf?text=&amp;docid=98918&amp;pageIndex=0&amp;doclang=EN&amp;mode=lst&amp;dir=&amp;occ=first&amp;part=1&amp;cid=12994086" TargetMode="External"/><Relationship Id="rId79" Type="http://schemas.openxmlformats.org/officeDocument/2006/relationships/hyperlink" Target="https://curia.europa.eu/juris/showPdf.jsf?text=&amp;docid=44625&amp;pageIndex=0&amp;doclang=en&amp;mode=lst&amp;dir=&amp;occ=first&amp;part=1&amp;cid=7836692" TargetMode="External"/><Relationship Id="rId102" Type="http://schemas.openxmlformats.org/officeDocument/2006/relationships/hyperlink" Target="https://curia.europa.eu/juris/document/document.jsf?docid=59571&amp;mode=req&amp;pageIndex=1&amp;dir=&amp;occ=first&amp;part=1&amp;text=&amp;doclang=EN&amp;cid=8886921" TargetMode="External"/><Relationship Id="rId5" Type="http://schemas.openxmlformats.org/officeDocument/2006/relationships/webSettings" Target="webSettings.xml"/><Relationship Id="rId90" Type="http://schemas.openxmlformats.org/officeDocument/2006/relationships/hyperlink" Target="https://curia.europa.eu/juris/document/document.jsf?text=&amp;docid=59577&amp;pageIndex=0&amp;doclang=FR&amp;mode=lst&amp;dir=&amp;occ=first&amp;part=1&amp;cid=12994086" TargetMode="External"/><Relationship Id="rId95" Type="http://schemas.openxmlformats.org/officeDocument/2006/relationships/hyperlink" Target="https://curia.europa.eu/juris/document/document.jsf?text=&amp;docid=133244&amp;pageIndex=0&amp;doclang=EN&amp;mode=lst&amp;dir=&amp;occ=first&amp;part=1&amp;cid=10904675" TargetMode="External"/><Relationship Id="rId22" Type="http://schemas.openxmlformats.org/officeDocument/2006/relationships/hyperlink" Target="https://curia.europa.eu/juris/document/document.jsf?text=&amp;docid=45811&amp;pageIndex=0&amp;doclang=EN&amp;mode=lst&amp;dir=&amp;occ=first&amp;part=1&amp;cid=8919687" TargetMode="External"/><Relationship Id="rId27" Type="http://schemas.openxmlformats.org/officeDocument/2006/relationships/hyperlink" Target="https://curia.europa.eu/juris/document/document.jsf?text=&amp;docid=81451&amp;pageIndex=0&amp;doclang=EN&amp;mode=lst&amp;dir=&amp;occ=first&amp;part=1&amp;cid=9945922" TargetMode="External"/><Relationship Id="rId43" Type="http://schemas.openxmlformats.org/officeDocument/2006/relationships/hyperlink" Target="https://curia.europa.eu/juris/document/document.jsf?text=&amp;docid=187343&amp;pageIndex=0&amp;doclang=EN&amp;mode=lst&amp;dir=&amp;occ=first&amp;part=1&amp;cid=9777324" TargetMode="External"/><Relationship Id="rId48" Type="http://schemas.openxmlformats.org/officeDocument/2006/relationships/hyperlink" Target="https://curia.europa.eu/juris/document/document.jsf?text=&amp;docid=174105&amp;pageIndex=0&amp;doclang=EN&amp;mode=lst&amp;dir=&amp;occ=first&amp;part=1&amp;cid=10904675" TargetMode="External"/><Relationship Id="rId64" Type="http://schemas.openxmlformats.org/officeDocument/2006/relationships/hyperlink" Target="https://curia.europa.eu/juris/document/document.jsf?text=&amp;docid=184891&amp;pageIndex=0&amp;doclang=EN&amp;mode=lst&amp;dir=&amp;occ=first&amp;part=1&amp;cid=9777324" TargetMode="External"/><Relationship Id="rId69" Type="http://schemas.openxmlformats.org/officeDocument/2006/relationships/hyperlink" Target="https://curia.europa.eu/juris/document/document.jsf?text=&amp;docid=232154&amp;pageIndex=0&amp;doclang=EN&amp;mode=lst&amp;dir=&amp;occ=first&amp;part=1&amp;cid=10904675" TargetMode="External"/><Relationship Id="rId113" Type="http://schemas.openxmlformats.org/officeDocument/2006/relationships/header" Target="header1.xml"/><Relationship Id="rId118" Type="http://schemas.openxmlformats.org/officeDocument/2006/relationships/footer" Target="footer3.xml"/><Relationship Id="rId80" Type="http://schemas.openxmlformats.org/officeDocument/2006/relationships/hyperlink" Target="https://curia.europa.eu/juris/document/document.jsf?text=&amp;docid=58142&amp;pageIndex=0&amp;doclang=EN&amp;mode=lst&amp;dir=&amp;occ=first&amp;part=1&amp;cid=8886921" TargetMode="External"/><Relationship Id="rId85" Type="http://schemas.openxmlformats.org/officeDocument/2006/relationships/hyperlink" Target="https://curia.europa.eu/juris/document/document.jsf?text=&amp;docid=133244&amp;pageIndex=0&amp;doclang=en&amp;mode=lst&amp;dir=&amp;occ=first&amp;part=1&amp;cid=10904675" TargetMode="External"/><Relationship Id="rId12" Type="http://schemas.openxmlformats.org/officeDocument/2006/relationships/hyperlink" Target="https://eur-lex.europa.eu/legal-content/EN/TXT/PDF/?uri=CELEX:61994CJ0194" TargetMode="External"/><Relationship Id="rId17" Type="http://schemas.openxmlformats.org/officeDocument/2006/relationships/hyperlink" Target="https://curia.europa.eu/juris/showPdf.jsf?text=&amp;docid=99992&amp;pageIndex=0&amp;doclang=EN&amp;mode=lst&amp;dir=&amp;occ=first&amp;part=1&amp;cid=10811412" TargetMode="External"/><Relationship Id="rId33" Type="http://schemas.openxmlformats.org/officeDocument/2006/relationships/hyperlink" Target="https://curia.europa.eu/juris/document/document.jsf?text=&amp;docid=206117&amp;pageIndex=0&amp;doclang=EN&amp;mode=lst&amp;dir=&amp;occ=first&amp;part=1&amp;cid=9777324" TargetMode="External"/><Relationship Id="rId38" Type="http://schemas.openxmlformats.org/officeDocument/2006/relationships/hyperlink" Target="https://curia.europa.eu/juris/document/document.jsf?text=&amp;docid=125226&amp;pageIndex=0&amp;doclang=EN&amp;mode=lst&amp;dir=&amp;occ=first&amp;part=1&amp;cid=9889670" TargetMode="External"/><Relationship Id="rId59" Type="http://schemas.openxmlformats.org/officeDocument/2006/relationships/hyperlink" Target="https://curia.europa.eu/juris/showPdf.jsf?text=&amp;docid=43725&amp;pageIndex=0&amp;doclang=EN&amp;mode=lst&amp;dir=&amp;occ=first&amp;part=1&amp;cid=10811412" TargetMode="External"/><Relationship Id="rId103" Type="http://schemas.openxmlformats.org/officeDocument/2006/relationships/hyperlink" Target="https://curia.europa.eu/juris/document/document.jsf?text=&amp;docid=133244&amp;pageIndex=0&amp;doclang=EN&amp;mode=lst&amp;dir=&amp;occ=first&amp;part=1&amp;cid=10904675" TargetMode="External"/><Relationship Id="rId108" Type="http://schemas.openxmlformats.org/officeDocument/2006/relationships/hyperlink" Target="https://curia.europa.eu/juris/document/document.jsf?text=&amp;docid=45692&amp;pageIndex=0&amp;doclang=EN&amp;mode=lst&amp;dir=&amp;occ=first&amp;part=1&amp;cid=10763343" TargetMode="External"/><Relationship Id="rId54" Type="http://schemas.openxmlformats.org/officeDocument/2006/relationships/hyperlink" Target="https://curia.europa.eu/juris/document/document.jsf?text=&amp;docid=221791&amp;pageIndex=0&amp;doclang=EN&amp;mode=lst&amp;dir=&amp;occ=first&amp;part=1&amp;cid=10861227" TargetMode="External"/><Relationship Id="rId70" Type="http://schemas.openxmlformats.org/officeDocument/2006/relationships/hyperlink" Target="https://curia.europa.eu/juris/document/document.jsf?text=&amp;docid=268786&amp;pageIndex=0&amp;doclang=EN&amp;mode=lst&amp;dir=&amp;occ=first&amp;part=1&amp;cid=14061944" TargetMode="External"/><Relationship Id="rId75" Type="http://schemas.openxmlformats.org/officeDocument/2006/relationships/hyperlink" Target="https://curia.europa.eu/juris/showPdf.jsf?text=&amp;docid=98889&amp;pageIndex=0&amp;doclang=EN&amp;mode=lst&amp;dir=&amp;occ=first&amp;part=1&amp;cid=12994086" TargetMode="External"/><Relationship Id="rId91" Type="http://schemas.openxmlformats.org/officeDocument/2006/relationships/hyperlink" Target="https://curia.europa.eu/juris/document/document.jsf?text=&amp;docid=59577&amp;pageIndex=0&amp;doclang=FR&amp;mode=lst&amp;dir=&amp;occ=first&amp;part=1&amp;cid=12994086" TargetMode="External"/><Relationship Id="rId96" Type="http://schemas.openxmlformats.org/officeDocument/2006/relationships/hyperlink" Target="https://curia.europa.eu/juris/showPdf.jsf?text=&amp;docid=100042&amp;pageIndex=0&amp;doclang=EN&amp;mode=lst&amp;dir=&amp;occ=first&amp;part=1&amp;cid=10811412"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curia.europa.eu/juris/document/document.jsf?text=&amp;docid=45877&amp;pageIndex=0&amp;doclang=EN&amp;mode=lst&amp;dir=&amp;occ=first&amp;part=1&amp;cid=8919687" TargetMode="External"/><Relationship Id="rId28" Type="http://schemas.openxmlformats.org/officeDocument/2006/relationships/hyperlink" Target="https://curia.europa.eu/juris/document/document.jsf?text=&amp;docid=85136&amp;pageIndex=0&amp;doclang=EN&amp;mode=lst&amp;dir=&amp;occ=first&amp;part=1&amp;cid=15388659" TargetMode="External"/><Relationship Id="rId49" Type="http://schemas.openxmlformats.org/officeDocument/2006/relationships/hyperlink" Target="https://curia.europa.eu/juris/document/document.jsf?text=&amp;docid=184507&amp;pageIndex=0&amp;doclang=EN&amp;mode=lst&amp;dir=&amp;occ=first&amp;part=1&amp;cid=9889670" TargetMode="External"/><Relationship Id="rId114" Type="http://schemas.openxmlformats.org/officeDocument/2006/relationships/header" Target="header2.xml"/><Relationship Id="rId119" Type="http://schemas.openxmlformats.org/officeDocument/2006/relationships/fontTable" Target="fontTable.xml"/><Relationship Id="rId10" Type="http://schemas.openxmlformats.org/officeDocument/2006/relationships/hyperlink" Target="https://eur-lex.europa.eu/eli/dir/1983/189/oj/eng" TargetMode="External"/><Relationship Id="rId31" Type="http://schemas.openxmlformats.org/officeDocument/2006/relationships/hyperlink" Target="https://curia.europa.eu/juris/document/document.jsf?text=&amp;docid=184891&amp;pageIndex=0&amp;doclang=EN&amp;mode=lst&amp;dir=&amp;occ=first&amp;part=1&amp;cid=9777324" TargetMode="External"/><Relationship Id="rId44" Type="http://schemas.openxmlformats.org/officeDocument/2006/relationships/hyperlink" Target="https://curia.europa.eu/juris/document/document.jsf?text=C-727%252F17&amp;docid=226861&amp;pageIndex=0&amp;doclang=EN&amp;mode=req&amp;dir=&amp;occ=first&amp;part=1&amp;cid=9761408" TargetMode="External"/><Relationship Id="rId52" Type="http://schemas.openxmlformats.org/officeDocument/2006/relationships/hyperlink" Target="https://curia.europa.eu/juris/document/document.jsf?text=&amp;docid=206117&amp;pageIndex=0&amp;doclang=EN&amp;mode=lst&amp;dir=&amp;occ=first&amp;part=1&amp;cid=9777324" TargetMode="External"/><Relationship Id="rId60" Type="http://schemas.openxmlformats.org/officeDocument/2006/relationships/hyperlink" Target="https://curia.europa.eu/juris/document/document.jsf?text=&amp;docid=58142&amp;pageIndex=0&amp;doclang=EN&amp;mode=lst&amp;dir=&amp;occ=first&amp;part=1&amp;cid=8886921" TargetMode="External"/><Relationship Id="rId65" Type="http://schemas.openxmlformats.org/officeDocument/2006/relationships/hyperlink" Target="https://curia.europa.eu/juris/document/document.jsf?text=C-727%252F17&amp;docid=226861&amp;pageIndex=0&amp;doclang=EN&amp;mode=req&amp;dir=&amp;occ=first&amp;part=1&amp;cid=9761408" TargetMode="External"/><Relationship Id="rId73" Type="http://schemas.openxmlformats.org/officeDocument/2006/relationships/hyperlink" Target="https://curia.europa.eu/juris/showPdf.jsf?text=&amp;docid=98488&amp;pageIndex=0&amp;doclang=EN&amp;mode=lst&amp;dir=&amp;occ=first&amp;part=1&amp;cid=12994086" TargetMode="External"/><Relationship Id="rId78" Type="http://schemas.openxmlformats.org/officeDocument/2006/relationships/hyperlink" Target="https://curia.europa.eu/juris/showPdf.jsf?text=&amp;docid=98765&amp;pageIndex=0&amp;doclang=EN&amp;mode=lst&amp;dir=&amp;occ=first&amp;part=1&amp;cid=10811412" TargetMode="External"/><Relationship Id="rId81" Type="http://schemas.openxmlformats.org/officeDocument/2006/relationships/hyperlink" Target="https://curia.europa.eu/juris/document/document.jsf?text=&amp;docid=296555&amp;pageIndex=0&amp;doclang=en&amp;mode=lst&amp;dir=&amp;occ=first&amp;part=1&amp;cid=14002600" TargetMode="External"/><Relationship Id="rId86" Type="http://schemas.openxmlformats.org/officeDocument/2006/relationships/hyperlink" Target="https://curia.europa.eu/juris/document/document.jsf?text=&amp;docid=154825&amp;pageIndex=0&amp;doclang=EN&amp;mode=lst&amp;dir=&amp;occ=first&amp;part=1&amp;cid=9889670" TargetMode="External"/><Relationship Id="rId94" Type="http://schemas.openxmlformats.org/officeDocument/2006/relationships/hyperlink" Target="https://curia.europa.eu/juris/document/document.jsf?text=&amp;docid=271072&amp;pageIndex=0&amp;doclang=EN&amp;mode=lst&amp;dir=&amp;occ=first&amp;part=1&amp;cid=14061944" TargetMode="External"/><Relationship Id="rId99" Type="http://schemas.openxmlformats.org/officeDocument/2006/relationships/hyperlink" Target="https://curia.europa.eu/juris/showPdf.jsf?text=&amp;docid=99809&amp;pageIndex=0&amp;doclang=en&amp;mode=lst&amp;dir=&amp;occ=first&amp;part=1&amp;cid=10904675" TargetMode="External"/><Relationship Id="rId101" Type="http://schemas.openxmlformats.org/officeDocument/2006/relationships/hyperlink" Target="https://curia.europa.eu/juris/document/document.jsf?text=&amp;docid=47386&amp;pageIndex=0&amp;doclang=EN&amp;mode=lst&amp;dir=&amp;occ=first&amp;part=1&amp;cid=8919687" TargetMode="External"/><Relationship Id="rId4" Type="http://schemas.openxmlformats.org/officeDocument/2006/relationships/settings" Target="settings.xml"/><Relationship Id="rId9" Type="http://schemas.openxmlformats.org/officeDocument/2006/relationships/hyperlink" Target="https://eur-lex.europa.eu/legal-content/EN/TXT/PDF/?uri=CELEX:01998L0034-19980805" TargetMode="External"/><Relationship Id="rId13" Type="http://schemas.openxmlformats.org/officeDocument/2006/relationships/hyperlink" Target="https://curia.europa.eu/juris/showPdf.jsf?text=&amp;docid=100864&amp;pageIndex=0&amp;doclang=EN&amp;mode=lst&amp;dir=&amp;occ=first&amp;part=1&amp;cid=10811412" TargetMode="External"/><Relationship Id="rId18" Type="http://schemas.openxmlformats.org/officeDocument/2006/relationships/hyperlink" Target="https://curia.europa.eu/juris/document/document.jsf?text=&amp;docid=44578&amp;pageIndex=0&amp;doclang=EN&amp;mode=lst&amp;dir=&amp;occ=first&amp;part=1&amp;cid=10779034" TargetMode="External"/><Relationship Id="rId39" Type="http://schemas.openxmlformats.org/officeDocument/2006/relationships/hyperlink" Target="https://curia.europa.eu/juris/document/document.jsf?text=&amp;docid=154825&amp;pageIndex=0&amp;doclang=EN&amp;mode=lst&amp;dir=&amp;occ=first&amp;part=1&amp;cid=9889670" TargetMode="External"/><Relationship Id="rId109" Type="http://schemas.openxmlformats.org/officeDocument/2006/relationships/hyperlink" Target="https://curia.europa.eu/juris/document/document.jsf?text=&amp;docid=165924&amp;pageIndex=0&amp;doclang=EN&amp;mode=lst&amp;dir=&amp;occ=first&amp;part=1&amp;cid=12979947" TargetMode="External"/><Relationship Id="rId34" Type="http://schemas.openxmlformats.org/officeDocument/2006/relationships/hyperlink" Target="https://curia.europa.eu/juris/document/document.jsf?text=C-727%252F17&amp;docid=226861&amp;pageIndex=0&amp;doclang=EN&amp;mode=req&amp;dir=&amp;occ=first&amp;part=1&amp;cid=9761408" TargetMode="External"/><Relationship Id="rId50" Type="http://schemas.openxmlformats.org/officeDocument/2006/relationships/hyperlink" Target="https://curia.europa.eu/juris/document/document.jsf?text=&amp;docid=198047&amp;pageIndex=0&amp;doclang=EN&amp;mode=lst&amp;dir=&amp;occ=first&amp;part=1&amp;cid=10880021" TargetMode="External"/><Relationship Id="rId55" Type="http://schemas.openxmlformats.org/officeDocument/2006/relationships/hyperlink" Target="https://curia.europa.eu/juris/document/document.jsf?text=&amp;docid=232725&amp;pageIndex=0&amp;doclang=EN&amp;mode=lst&amp;dir=&amp;occ=first&amp;part=1&amp;cid=7847310" TargetMode="External"/><Relationship Id="rId76" Type="http://schemas.openxmlformats.org/officeDocument/2006/relationships/hyperlink" Target="https://curia.europa.eu/juris/document/document.jsf?text=&amp;docid=59577&amp;pageIndex=0&amp;doclang=FR&amp;mode=lst&amp;dir=&amp;occ=first&amp;part=1&amp;cid=12994086" TargetMode="External"/><Relationship Id="rId97" Type="http://schemas.openxmlformats.org/officeDocument/2006/relationships/hyperlink" Target="https://curia.europa.eu/juris/document/document.jsf?text=&amp;docid=43935&amp;pageIndex=0&amp;doclang=EN&amp;mode=lst&amp;dir=&amp;occ=first&amp;part=1&amp;cid=10779034" TargetMode="External"/><Relationship Id="rId104" Type="http://schemas.openxmlformats.org/officeDocument/2006/relationships/hyperlink" Target="https://curia.europa.eu/juris/document/document.jsf?text=&amp;docid=174105&amp;pageIndex=0&amp;doclang=EN&amp;mode=lst&amp;dir=&amp;occ=first&amp;part=1&amp;cid=10904675"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curia.europa.eu/juris/document/document.jsf?text=&amp;docid=60336&amp;pageIndex=0&amp;doclang=EN&amp;mode=lst&amp;dir=&amp;occ=first&amp;part=1&amp;cid=1728241" TargetMode="External"/><Relationship Id="rId92" Type="http://schemas.openxmlformats.org/officeDocument/2006/relationships/hyperlink" Target="https://curia.europa.eu/juris/document/document.jsf?text=&amp;docid=232150&amp;pageIndex=0&amp;doclang=EN&amp;mode=lst&amp;dir=&amp;occ=first&amp;part=1&amp;cid=12985433" TargetMode="External"/><Relationship Id="rId2" Type="http://schemas.openxmlformats.org/officeDocument/2006/relationships/numbering" Target="numbering.xml"/><Relationship Id="rId29" Type="http://schemas.openxmlformats.org/officeDocument/2006/relationships/hyperlink" Target="https://curia.europa.eu/juris/document/document.jsf?text=&amp;docid=125226&amp;pageIndex=0&amp;doclang=EN&amp;mode=lst&amp;dir=&amp;occ=first&amp;part=1&amp;cid=9889670" TargetMode="External"/><Relationship Id="rId24" Type="http://schemas.openxmlformats.org/officeDocument/2006/relationships/hyperlink" Target="https://curia.europa.eu/juris/document/document.jsf?text=&amp;docid=47386&amp;pageIndex=0&amp;doclang=EN&amp;mode=lst&amp;dir=&amp;occ=first&amp;part=1&amp;cid=8919687" TargetMode="External"/><Relationship Id="rId40" Type="http://schemas.openxmlformats.org/officeDocument/2006/relationships/hyperlink" Target="https://curia.europa.eu/juris/document/document.jsf?text=C-98%252F14&amp;docid=164955&amp;pageIndex=0&amp;doclang=EN&amp;mode=req&amp;dir=&amp;occ=first&amp;part=1&amp;cid=9889670" TargetMode="External"/><Relationship Id="rId45" Type="http://schemas.openxmlformats.org/officeDocument/2006/relationships/hyperlink" Target="https://curia.europa.eu/juris/document/document.jsf?text=&amp;docid=267738&amp;pageIndex=0&amp;doclang=EN&amp;mode=lst&amp;dir=&amp;occ=first&amp;part=1&amp;cid=14061944" TargetMode="External"/><Relationship Id="rId66" Type="http://schemas.openxmlformats.org/officeDocument/2006/relationships/hyperlink" Target="https://curia.europa.eu/juris/showPdf.jsf?text=&amp;docid=100864&amp;pageIndex=0&amp;doclang=EN&amp;mode=lst&amp;dir=&amp;occ=first&amp;part=1&amp;cid=10811412" TargetMode="External"/><Relationship Id="rId87" Type="http://schemas.openxmlformats.org/officeDocument/2006/relationships/hyperlink" Target="https://curia.europa.eu/juris/showPdf.jsf?text=&amp;docid=99992&amp;pageIndex=0&amp;doclang=EN&amp;mode=lst&amp;dir=&amp;occ=first&amp;part=1&amp;cid=10811412" TargetMode="External"/><Relationship Id="rId110" Type="http://schemas.openxmlformats.org/officeDocument/2006/relationships/hyperlink" Target="https://curia.europa.eu/juris/document/document.jsf?text=&amp;docid=280771&amp;pageIndex=0&amp;doclang=EN&amp;mode=lst&amp;dir=&amp;occ=first&amp;part=1&amp;cid=14061944" TargetMode="External"/><Relationship Id="rId115" Type="http://schemas.openxmlformats.org/officeDocument/2006/relationships/footer" Target="footer1.xml"/><Relationship Id="rId61" Type="http://schemas.openxmlformats.org/officeDocument/2006/relationships/hyperlink" Target="https://curia.europa.eu/juris/document/document.jsf?docid=59571&amp;mode=req&amp;pageIndex=1&amp;dir=&amp;occ=first&amp;part=1&amp;text=&amp;doclang=EN&amp;cid=8886921" TargetMode="External"/><Relationship Id="rId82" Type="http://schemas.openxmlformats.org/officeDocument/2006/relationships/hyperlink" Target="https://curia.europa.eu/juris/showPdf.jsf?text=&amp;docid=43725&amp;pageIndex=0&amp;doclang=en&amp;mode=lst&amp;dir=&amp;occ=first&amp;part=1&amp;cid=10904675" TargetMode="External"/><Relationship Id="rId19" Type="http://schemas.openxmlformats.org/officeDocument/2006/relationships/hyperlink" Target="https://curia.europa.eu/juris/document/document.jsf?text=&amp;docid=47026&amp;pageIndex=0&amp;doclang=EN&amp;mode=lst&amp;dir=&amp;occ=first&amp;part=1&amp;cid=8919687" TargetMode="External"/><Relationship Id="rId14" Type="http://schemas.openxmlformats.org/officeDocument/2006/relationships/hyperlink" Target="https://curia.europa.eu/juris/document/document.jsf?text=&amp;docid=45811&amp;pageIndex=0&amp;doclang=EN&amp;mode=lst&amp;dir=&amp;occ=first&amp;part=1&amp;cid=8919687" TargetMode="External"/><Relationship Id="rId30" Type="http://schemas.openxmlformats.org/officeDocument/2006/relationships/hyperlink" Target="https://curia.europa.eu/juris/document/document.jsf?text=&amp;docid=154825&amp;pageIndex=0&amp;doclang=EN&amp;mode=lst&amp;dir=&amp;occ=first&amp;part=1&amp;cid=9889670" TargetMode="External"/><Relationship Id="rId35" Type="http://schemas.openxmlformats.org/officeDocument/2006/relationships/hyperlink" Target="https://curia.europa.eu/juris/document/document.jsf?text=&amp;docid=232725&amp;pageIndex=0&amp;doclang=EN&amp;mode=lst&amp;dir=&amp;occ=first&amp;part=1&amp;cid=7847310" TargetMode="External"/><Relationship Id="rId56" Type="http://schemas.openxmlformats.org/officeDocument/2006/relationships/hyperlink" Target="https://curia.europa.eu/juris/document/document.jsf?text=&amp;docid=234921&amp;pageIndex=0&amp;doclang=EN&amp;mode=lst&amp;dir=&amp;occ=first&amp;part=1&amp;cid=10811412" TargetMode="External"/><Relationship Id="rId77" Type="http://schemas.openxmlformats.org/officeDocument/2006/relationships/hyperlink" Target="https://curia.europa.eu/juris/document/document.jsf?text=&amp;docid=185545&amp;pageIndex=0&amp;doclang=EN&amp;mode=lst&amp;dir=&amp;occ=first&amp;part=1&amp;cid=13138882" TargetMode="External"/><Relationship Id="rId100" Type="http://schemas.openxmlformats.org/officeDocument/2006/relationships/hyperlink" Target="https://curia.europa.eu/juris/document/document.jsf?text=&amp;docid=43935&amp;pageIndex=0&amp;doclang=EN&amp;mode=lst&amp;dir=&amp;occ=first&amp;part=1&amp;cid=10779034" TargetMode="External"/><Relationship Id="rId105" Type="http://schemas.openxmlformats.org/officeDocument/2006/relationships/hyperlink" Target="https://curia.europa.eu/juris/document/document.jsf?text=&amp;docid=177362&amp;pageIndex=0&amp;doclang=FR&amp;mode=lst&amp;dir=&amp;occ=first&amp;part=1&amp;cid=12982840" TargetMode="External"/><Relationship Id="rId8" Type="http://schemas.openxmlformats.org/officeDocument/2006/relationships/hyperlink" Target="https://eur-lex.europa.eu/eli/dir/2015/1535/oj/eng" TargetMode="External"/><Relationship Id="rId51" Type="http://schemas.openxmlformats.org/officeDocument/2006/relationships/hyperlink" Target="https://curia.europa.eu/juris/document/document.jsf?text=&amp;docid=200882&amp;pageIndex=0&amp;doclang=EN&amp;mode=lst&amp;dir=&amp;occ=first&amp;part=1&amp;cid=10880021" TargetMode="External"/><Relationship Id="rId72" Type="http://schemas.openxmlformats.org/officeDocument/2006/relationships/hyperlink" Target="https://curia.europa.eu/juris/document/document.jsf?text=&amp;docid=217670&amp;pageIndex=0&amp;doclang=EN&amp;mode=lst&amp;dir=&amp;occ=first&amp;part=1&amp;cid=10880021" TargetMode="External"/><Relationship Id="rId93" Type="http://schemas.openxmlformats.org/officeDocument/2006/relationships/hyperlink" Target="https://curia.europa.eu/juris/document/document.jsf?text=&amp;docid=226981&amp;pageIndex=0&amp;doclang=EN&amp;mode=lst&amp;dir=&amp;occ=first&amp;part=1&amp;cid=5973987" TargetMode="External"/><Relationship Id="rId98" Type="http://schemas.openxmlformats.org/officeDocument/2006/relationships/hyperlink" Target="https://curia.europa.eu/juris/document/document.jsf?text=&amp;docid=58142&amp;pageIndex=0&amp;doclang=EN&amp;mode=lst&amp;dir=&amp;occ=first&amp;part=1&amp;cid=8886921" TargetMode="External"/><Relationship Id="rId3" Type="http://schemas.openxmlformats.org/officeDocument/2006/relationships/styles" Target="styles.xml"/><Relationship Id="rId25" Type="http://schemas.openxmlformats.org/officeDocument/2006/relationships/hyperlink" Target="https://curia.europa.eu/juris/document/document.jsf?text=&amp;docid=59577&amp;pageIndex=0&amp;doclang=FR&amp;mode=lst&amp;dir=&amp;occ=first&amp;part=1&amp;cid=12994086" TargetMode="External"/><Relationship Id="rId46" Type="http://schemas.openxmlformats.org/officeDocument/2006/relationships/hyperlink" Target="https://curia.europa.eu/juris/document/document.jsf?text=&amp;docid=271072&amp;pageIndex=0&amp;doclang=EN&amp;mode=lst&amp;dir=&amp;occ=first&amp;part=1&amp;cid=14061944" TargetMode="External"/><Relationship Id="rId67" Type="http://schemas.openxmlformats.org/officeDocument/2006/relationships/hyperlink" Target="https://curia.europa.eu/juris/document/document.jsf?text=&amp;docid=154825&amp;pageIndex=0&amp;doclang=EN&amp;mode=lst&amp;dir=&amp;occ=first&amp;part=1&amp;cid=9889670" TargetMode="External"/><Relationship Id="rId116" Type="http://schemas.openxmlformats.org/officeDocument/2006/relationships/footer" Target="footer2.xml"/><Relationship Id="rId20" Type="http://schemas.openxmlformats.org/officeDocument/2006/relationships/hyperlink" Target="https://curia.europa.eu/juris/document/document.jsf?text=&amp;docid=45692&amp;pageIndex=0&amp;doclang=EN&amp;mode=lst&amp;dir=&amp;occ=first&amp;part=1&amp;cid=10763343" TargetMode="External"/><Relationship Id="rId41" Type="http://schemas.openxmlformats.org/officeDocument/2006/relationships/hyperlink" Target="https://curia.europa.eu/juris/document/document.jsf?text=&amp;docid=184507&amp;pageIndex=0&amp;doclang=EN&amp;mode=lst&amp;dir=&amp;occ=first&amp;part=1&amp;cid=9889670" TargetMode="External"/><Relationship Id="rId62" Type="http://schemas.openxmlformats.org/officeDocument/2006/relationships/hyperlink" Target="https://curia.europa.eu/juris/document/document.jsf?text=&amp;docid=63941&amp;pageIndex=0&amp;doclang=EN&amp;mode=lst&amp;dir=&amp;occ=first&amp;part=1&amp;cid=8886921" TargetMode="External"/><Relationship Id="rId83" Type="http://schemas.openxmlformats.org/officeDocument/2006/relationships/hyperlink" Target="https://curia.europa.eu/juris/document/document.jsf?text=&amp;docid=43839&amp;pageIndex=0&amp;doclang=EN&amp;mode=lst&amp;dir=&amp;occ=first&amp;part=1&amp;cid=10811412" TargetMode="External"/><Relationship Id="rId88" Type="http://schemas.openxmlformats.org/officeDocument/2006/relationships/hyperlink" Target="https://curia.europa.eu/juris/document/document.jsf?text=&amp;docid=45692&amp;pageIndex=0&amp;doclang=EN&amp;mode=lst&amp;dir=&amp;occ=first&amp;part=1&amp;cid=10763343" TargetMode="External"/><Relationship Id="rId111" Type="http://schemas.openxmlformats.org/officeDocument/2006/relationships/hyperlink" Target="https://curia.europa.eu/juris/document/document.jsf?text=C-98%252F14&amp;docid=164955&amp;pageIndex=0&amp;doclang=EN&amp;mode=req&amp;dir=&amp;occ=first&amp;part=1&amp;cid=9889670" TargetMode="External"/><Relationship Id="rId15" Type="http://schemas.openxmlformats.org/officeDocument/2006/relationships/hyperlink" Target="https://curia.europa.eu/juris/document/document.jsf?text=&amp;docid=234921&amp;pageIndex=0&amp;doclang=EN&amp;mode=lst&amp;dir=&amp;occ=first&amp;part=1&amp;cid=7739074" TargetMode="External"/><Relationship Id="rId36" Type="http://schemas.openxmlformats.org/officeDocument/2006/relationships/hyperlink" Target="https://curia.europa.eu/juris/document/document.jsf?text=&amp;docid=58142&amp;pageIndex=0&amp;doclang=EN&amp;mode=lst&amp;dir=&amp;occ=first&amp;part=1&amp;cid=8886921" TargetMode="External"/><Relationship Id="rId57" Type="http://schemas.openxmlformats.org/officeDocument/2006/relationships/hyperlink" Target="https://curia.europa.eu/juris/document/document.jsf?text=&amp;docid=283281&amp;pageIndex=0&amp;doclang=EN&amp;mode=lst&amp;dir=&amp;occ=first&amp;part=1&amp;cid=14054161" TargetMode="External"/><Relationship Id="rId106" Type="http://schemas.openxmlformats.org/officeDocument/2006/relationships/hyperlink" Target="https://curia.europa.eu/juris/document/document.jsf?text=&amp;docid=187343&amp;pageIndex=0&amp;doclang=EN&amp;mode=lst&amp;dir=&amp;occ=first&amp;part=1&amp;cid=9777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2775D-4CE0-4D03-B06F-D0E027526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32170</Words>
  <Characters>174042</Characters>
  <Application>Microsoft Office Word</Application>
  <DocSecurity>0</DocSecurity>
  <Lines>3053</Lines>
  <Paragraphs>900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205312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 Brice (GROW)</dc:creator>
  <cp:keywords/>
  <dc:description/>
  <cp:lastModifiedBy>ANTOSOVA Sarka (GROW)</cp:lastModifiedBy>
  <cp:revision>2</cp:revision>
  <cp:lastPrinted>2025-05-13T14:46:00Z</cp:lastPrinted>
  <dcterms:created xsi:type="dcterms:W3CDTF">2025-09-23T15:13:00Z</dcterms:created>
  <dcterms:modified xsi:type="dcterms:W3CDTF">2025-09-23T15:13:00Z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2025-04-02T09:32:03Z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b0298679-eda4-43ad-8f56-7a14780fa596</vt:lpwstr>
  </property>
  <property fmtid="{D5CDD505-2E9C-101B-9397-08002B2CF9AE}" pid="8" name="MSIP_Label_6bd9ddd1-4d20-43f6-abfa-fc3c07406f94_ContentBits">
    <vt:lpwstr>0</vt:lpwstr>
  </property>
</Properties>
</file>