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8CA5" w14:textId="71F4B4E0" w:rsidR="002478C1" w:rsidRPr="002478C1" w:rsidRDefault="002478C1" w:rsidP="002478C1">
      <w:pPr>
        <w:rPr>
          <w:sz w:val="20"/>
          <w:szCs w:val="20"/>
          <w:rFonts w:ascii="Courier New" w:hAnsi="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0658 E-- PL- ------ 20201030 --- --- PROJET</w:t>
      </w:r>
    </w:p>
    <w:p w14:paraId="49EB711B" w14:textId="1BD8DA40" w:rsidR="004B4311" w:rsidRPr="00F1001A" w:rsidRDefault="00E53BF7" w:rsidP="002478C1">
      <w:pPr>
        <w:spacing w:before="120" w:after="120" w:line="240" w:lineRule="auto"/>
        <w:jc w:val="center"/>
        <w:rPr>
          <w:b/>
          <w:sz w:val="24"/>
          <w:rFonts w:ascii="Arial" w:hAnsi="Arial"/>
        </w:rPr>
      </w:pPr>
      <w:r>
        <w:rPr>
          <w:b/>
          <w:sz w:val="24"/>
          <w:rFonts w:ascii="Arial" w:hAnsi="Arial"/>
        </w:rPr>
        <w:t xml:space="preserve">PRZEPISY WSTĘPNEGO PROJEKTU USTAWY O ODPADACH I ZANIECZYSZCZONEJ GLEBIE DOTYCZĄCE TWORZYW SZTUCZNYCH</w:t>
      </w:r>
    </w:p>
    <w:p w14:paraId="77D31614" w14:textId="07E3C837" w:rsidR="00A96224" w:rsidRPr="00F1001A" w:rsidRDefault="0040563B" w:rsidP="002478C1">
      <w:pPr>
        <w:spacing w:before="120" w:after="120" w:line="240" w:lineRule="auto"/>
        <w:jc w:val="center"/>
        <w:rPr>
          <w:b/>
          <w:sz w:val="24"/>
          <w:rFonts w:ascii="Arial" w:hAnsi="Arial"/>
        </w:rPr>
      </w:pPr>
      <w:r>
        <w:rPr>
          <w:b/>
          <w:sz w:val="24"/>
          <w:rFonts w:ascii="Arial" w:hAnsi="Arial"/>
        </w:rPr>
        <w:t xml:space="preserve">(23-10-2020)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b/>
          <w:bCs/>
          <w:i/>
          <w:iCs/>
          <w:sz w:val="24"/>
          <w:szCs w:val="24"/>
          <w:rFonts w:ascii="Arial" w:eastAsia="Arial" w:hAnsi="Arial" w:cs="Arial"/>
        </w:rPr>
      </w:pPr>
      <w:r>
        <w:rPr>
          <w:b/>
          <w:bCs/>
          <w:sz w:val="24"/>
          <w:szCs w:val="24"/>
          <w:rFonts w:ascii="Arial" w:hAnsi="Arial"/>
        </w:rPr>
        <w:t xml:space="preserve">Artykuł 2.</w:t>
      </w:r>
      <w:r>
        <w:rPr>
          <w:b/>
          <w:bCs/>
          <w:sz w:val="24"/>
          <w:szCs w:val="24"/>
          <w:rFonts w:ascii="Arial" w:hAnsi="Arial"/>
        </w:rPr>
        <w:t xml:space="preserve"> </w:t>
      </w:r>
      <w:r>
        <w:rPr>
          <w:b/>
          <w:bCs/>
          <w:sz w:val="24"/>
          <w:szCs w:val="24"/>
          <w:i/>
          <w:iCs/>
          <w:rFonts w:ascii="Arial" w:hAnsi="Arial"/>
        </w:rPr>
        <w:t xml:space="preserve">Definicje.</w:t>
      </w:r>
    </w:p>
    <w:p w14:paraId="708E7869" w14:textId="7C44797C" w:rsidR="0F588873" w:rsidRDefault="0F588873" w:rsidP="00512B74">
      <w:pPr>
        <w:keepNext/>
        <w:keepLines/>
        <w:jc w:val="both"/>
        <w:rPr>
          <w:sz w:val="24"/>
          <w:szCs w:val="24"/>
          <w:rFonts w:ascii="Arial" w:eastAsia="Arial" w:hAnsi="Arial" w:cs="Arial"/>
        </w:rPr>
      </w:pPr>
      <w:r>
        <w:rPr>
          <w:sz w:val="24"/>
          <w:szCs w:val="24"/>
          <w:rFonts w:ascii="Arial" w:hAnsi="Arial"/>
        </w:rPr>
        <w:t xml:space="preserve">Do celów niniejszej ustawy przyjmuje się następujące definicje:</w:t>
      </w:r>
    </w:p>
    <w:p w14:paraId="63AB60FA" w14:textId="741E4A52" w:rsidR="0F588873" w:rsidRDefault="0F588873" w:rsidP="002478C1">
      <w:pPr>
        <w:jc w:val="both"/>
        <w:rPr>
          <w:sz w:val="24"/>
          <w:szCs w:val="24"/>
          <w:rFonts w:ascii="Arial" w:eastAsia="Arial" w:hAnsi="Arial" w:cs="Arial"/>
        </w:rPr>
      </w:pPr>
      <w:r>
        <w:rPr>
          <w:sz w:val="24"/>
          <w:szCs w:val="24"/>
          <w:rFonts w:ascii="Arial" w:hAnsi="Arial"/>
        </w:rPr>
        <w:t xml:space="preserve">a) „odpady” oznaczają każdą substancję lub przedmiot, których posiadacz pozbywa się, zamierza się pozbyć lub do których pozbycia się został zobowiązany;</w:t>
      </w:r>
    </w:p>
    <w:p w14:paraId="4EBE1F1C" w14:textId="26E35B40" w:rsidR="0F588873" w:rsidRDefault="0F588873" w:rsidP="002478C1">
      <w:pPr>
        <w:jc w:val="both"/>
        <w:rPr>
          <w:sz w:val="24"/>
          <w:szCs w:val="24"/>
          <w:rFonts w:ascii="Arial" w:eastAsia="Arial" w:hAnsi="Arial" w:cs="Arial"/>
        </w:rPr>
      </w:pPr>
      <w:r>
        <w:rPr>
          <w:sz w:val="24"/>
          <w:szCs w:val="24"/>
          <w:rFonts w:ascii="Arial" w:hAnsi="Arial"/>
        </w:rPr>
        <w:t xml:space="preserve">b) „odpady z gospodarstw domowych” oznaczają odpady powstające w gospodarstwie domowym w następstwie czynności domowych.</w:t>
      </w:r>
      <w:r>
        <w:rPr>
          <w:sz w:val="24"/>
          <w:szCs w:val="24"/>
          <w:rFonts w:ascii="Arial" w:hAnsi="Arial"/>
        </w:rPr>
        <w:t xml:space="preserve"> </w:t>
      </w:r>
      <w:r>
        <w:rPr>
          <w:sz w:val="24"/>
          <w:szCs w:val="24"/>
          <w:rFonts w:ascii="Arial" w:hAnsi="Arial"/>
        </w:rPr>
        <w:t xml:space="preserve">Za odpady z gospodarstw domowych uważa się również odpady podobne do wspomnianych, powstające w obiektach usługowych i przemysłowych, które nie powstają w następstwie głównej działalności obiektu usługowego lub przemysłowego.</w:t>
      </w:r>
    </w:p>
    <w:p w14:paraId="24B4C1F4" w14:textId="37E72098" w:rsidR="0F588873" w:rsidRDefault="0F588873" w:rsidP="002478C1">
      <w:pPr>
        <w:jc w:val="both"/>
        <w:rPr>
          <w:sz w:val="24"/>
          <w:szCs w:val="24"/>
          <w:rFonts w:ascii="Arial" w:eastAsia="Arial" w:hAnsi="Arial" w:cs="Arial"/>
        </w:rPr>
      </w:pPr>
      <w:r>
        <w:rPr>
          <w:sz w:val="24"/>
          <w:szCs w:val="24"/>
          <w:rFonts w:ascii="Arial" w:hAnsi="Arial"/>
        </w:rPr>
        <w:t xml:space="preserve">Do tej kategorii odpadów zalicza się również odpady powstające w gospodarstwie domowym z urządzeń elektrycznych i elektronicznych, odzieży, baterii, akumulatorów, mebli i wyposażenia oraz odpady i gruz pochodzące z drobnych robót budowlanych i napraw domowych.</w:t>
      </w:r>
    </w:p>
    <w:p w14:paraId="75DBDA38" w14:textId="1CA89DE0" w:rsidR="0F588873" w:rsidRDefault="0F588873" w:rsidP="002478C1">
      <w:pPr>
        <w:jc w:val="both"/>
        <w:rPr>
          <w:sz w:val="24"/>
          <w:szCs w:val="24"/>
          <w:rFonts w:ascii="Arial" w:eastAsia="Arial" w:hAnsi="Arial" w:cs="Arial"/>
        </w:rPr>
      </w:pPr>
      <w:r>
        <w:rPr>
          <w:sz w:val="24"/>
          <w:szCs w:val="24"/>
          <w:rFonts w:ascii="Arial" w:hAnsi="Arial"/>
        </w:rPr>
        <w:t xml:space="preserve">Za odpady z gospodarstw domowych uznaje się odpady pochodzące z czyszczenia dróg publicznych, terenów zielonych, terenów rekreacyjnych i plaż, martwe zwierzęta domowe i porzucone pojazdy;</w:t>
      </w:r>
    </w:p>
    <w:p w14:paraId="39C8C7DC" w14:textId="0082B682" w:rsidR="0F588873" w:rsidRDefault="0F588873" w:rsidP="002478C1">
      <w:pPr>
        <w:jc w:val="both"/>
        <w:rPr>
          <w:sz w:val="24"/>
          <w:szCs w:val="24"/>
          <w:rFonts w:ascii="Arial" w:eastAsia="Arial" w:hAnsi="Arial" w:cs="Arial"/>
        </w:rPr>
      </w:pPr>
      <w:r>
        <w:rPr>
          <w:sz w:val="24"/>
          <w:szCs w:val="24"/>
          <w:rFonts w:ascii="Arial" w:hAnsi="Arial"/>
        </w:rPr>
        <w:t xml:space="preserve">c) „odpady z działalności handlowo-usługowej” oznaczają odpady generowane w ramach własnej działalności placówki handlu hurtowego lub detalicznego, usług restauracji i barów, biur i placów targowych, a także pozostałych obiektów sektora usług;</w:t>
      </w:r>
    </w:p>
    <w:p w14:paraId="27F68E63" w14:textId="5A11FE90" w:rsidR="0F588873" w:rsidRDefault="0F588873" w:rsidP="002478C1">
      <w:pPr>
        <w:jc w:val="both"/>
        <w:rPr>
          <w:sz w:val="24"/>
          <w:szCs w:val="24"/>
          <w:rFonts w:ascii="Arial" w:eastAsia="Arial" w:hAnsi="Arial" w:cs="Arial"/>
        </w:rPr>
      </w:pPr>
      <w:r>
        <w:rPr>
          <w:sz w:val="24"/>
          <w:szCs w:val="24"/>
          <w:rFonts w:ascii="Arial" w:hAnsi="Arial"/>
        </w:rPr>
        <w:t xml:space="preserve">d) „odpady przemysłowe” oznaczają odpady z procesów produkcji, przetwórstwa, użytkowania, konsumpcji, czyszczenia lub konserwacji generowane w ramach działalności przemysłowej;</w:t>
      </w:r>
      <w:r>
        <w:rPr>
          <w:sz w:val="24"/>
          <w:szCs w:val="24"/>
          <w:rFonts w:ascii="Arial" w:hAnsi="Arial"/>
        </w:rPr>
        <w:t xml:space="preserve"> </w:t>
      </w:r>
    </w:p>
    <w:p w14:paraId="5859F5E2" w14:textId="6103E5BF" w:rsidR="0F588873" w:rsidRDefault="0F588873" w:rsidP="002478C1">
      <w:pPr>
        <w:jc w:val="both"/>
        <w:rPr>
          <w:sz w:val="24"/>
          <w:szCs w:val="24"/>
          <w:rFonts w:ascii="Arial" w:eastAsia="Arial" w:hAnsi="Arial" w:cs="Arial"/>
        </w:rPr>
      </w:pPr>
      <w:r>
        <w:rPr>
          <w:sz w:val="24"/>
          <w:szCs w:val="24"/>
          <w:rFonts w:ascii="Arial" w:hAnsi="Arial"/>
        </w:rPr>
        <w:t xml:space="preserve">e) „odpady zarządzane lokalnie” oznaczają odpady zarządzane przez podmioty lokalne, zgodnie z art. 12 ust. 5;</w:t>
      </w:r>
    </w:p>
    <w:p w14:paraId="57BB0354" w14:textId="0E640E33" w:rsidR="0F588873" w:rsidRDefault="0F588873" w:rsidP="00512B74">
      <w:pPr>
        <w:keepNext/>
        <w:keepLines/>
        <w:jc w:val="both"/>
        <w:rPr>
          <w:sz w:val="24"/>
          <w:szCs w:val="24"/>
          <w:rFonts w:ascii="Arial" w:eastAsia="Arial" w:hAnsi="Arial" w:cs="Arial"/>
        </w:rPr>
      </w:pPr>
      <w:r>
        <w:rPr>
          <w:sz w:val="24"/>
          <w:szCs w:val="24"/>
          <w:rFonts w:ascii="Arial" w:hAnsi="Arial"/>
        </w:rPr>
        <w:t xml:space="preserve">f) „odpady komunalne” oznaczają:</w:t>
      </w:r>
      <w:r>
        <w:rPr>
          <w:sz w:val="24"/>
          <w:szCs w:val="24"/>
          <w:rFonts w:ascii="Arial" w:hAnsi="Arial"/>
        </w:rPr>
        <w:t xml:space="preserve"> </w:t>
      </w:r>
    </w:p>
    <w:p w14:paraId="26F01E84" w14:textId="6D85E59D" w:rsidR="0F588873" w:rsidRDefault="0F588873" w:rsidP="002478C1">
      <w:pPr>
        <w:jc w:val="both"/>
        <w:rPr>
          <w:sz w:val="24"/>
          <w:szCs w:val="24"/>
          <w:rFonts w:ascii="Arial" w:eastAsia="Arial" w:hAnsi="Arial" w:cs="Arial"/>
        </w:rPr>
      </w:pPr>
      <w:r>
        <w:rPr>
          <w:sz w:val="24"/>
          <w:szCs w:val="24"/>
          <w:rFonts w:ascii="Arial" w:hAnsi="Arial"/>
        </w:rPr>
        <w:t xml:space="preserve">1) odpady zmieszane i odpady pochodzenia domowego objęte selektywną zbiórką, w tym papier i tekturę, szkło, metale, tworzywa sztuczne, bioodpady, drewno, materiały włókiennicze, opakowania, odpady z urządzeń elektrycznych i elektronicznych, odpady baterii i akumulatorów oraz odpady gabarytowe, w tym materace i meble;</w:t>
      </w:r>
    </w:p>
    <w:p w14:paraId="3133CB51" w14:textId="68A17CF7" w:rsidR="0F588873" w:rsidRDefault="0F588873" w:rsidP="002478C1">
      <w:pPr>
        <w:jc w:val="both"/>
        <w:rPr>
          <w:sz w:val="24"/>
          <w:szCs w:val="24"/>
          <w:rFonts w:ascii="Arial" w:eastAsia="Arial" w:hAnsi="Arial" w:cs="Arial"/>
        </w:rPr>
      </w:pPr>
      <w:r>
        <w:rPr>
          <w:sz w:val="24"/>
          <w:szCs w:val="24"/>
          <w:rFonts w:ascii="Arial" w:hAnsi="Arial"/>
        </w:rPr>
        <w:t xml:space="preserve">2) odpady zmieszane i odpady objęte selektywną zbiórką pochodzące z innych źródeł, w przypadku gdy odpady te są podobne pod względem charakteru i składu do odpadów pochodzenia domowego.</w:t>
      </w:r>
    </w:p>
    <w:p w14:paraId="22A0A140" w14:textId="2B9C0C08" w:rsidR="0F588873" w:rsidRDefault="0F588873" w:rsidP="002478C1">
      <w:pPr>
        <w:jc w:val="both"/>
        <w:rPr>
          <w:sz w:val="24"/>
          <w:szCs w:val="24"/>
          <w:rFonts w:ascii="Arial" w:eastAsia="Arial" w:hAnsi="Arial" w:cs="Arial"/>
        </w:rPr>
      </w:pPr>
      <w:r>
        <w:rPr>
          <w:sz w:val="24"/>
          <w:szCs w:val="24"/>
          <w:rFonts w:ascii="Arial" w:hAnsi="Arial"/>
        </w:rPr>
        <w:t xml:space="preserve">Odpady komunalne nie obejmują odpadów pochodzących z produkcji, rolnictwa, leśnictwa, rybołówstwa, zbiorników ściekowych, sieci kanalizacyjnej i oczyszczalni ścieków, łącznie z osadami ściekowymi, pojazdów wycofanych z eksploatacji ani odpadów budowlanych i rozbiórkowych.</w:t>
      </w:r>
    </w:p>
    <w:p w14:paraId="6BFB726D" w14:textId="0FCB9E76" w:rsidR="0F588873" w:rsidRDefault="0F588873" w:rsidP="002478C1">
      <w:pPr>
        <w:jc w:val="both"/>
        <w:rPr>
          <w:sz w:val="24"/>
          <w:szCs w:val="24"/>
          <w:rFonts w:ascii="Arial" w:eastAsia="Arial" w:hAnsi="Arial" w:cs="Arial"/>
        </w:rPr>
      </w:pPr>
      <w:r>
        <w:rPr>
          <w:sz w:val="24"/>
          <w:szCs w:val="24"/>
          <w:rFonts w:ascii="Arial" w:hAnsi="Arial"/>
        </w:rPr>
        <w:t xml:space="preserve">Niniejszą definicję ustanawia się do potrzeb określania zakresu stosowania celów w dziedzinie przygotowania do ponownego użycia i recyklingu oraz norm ich obliczania ustanowionych w niniejszej ustawie i stosuje się ją bez uszczerbku dla podziału odpowiedzialności w zakresie gospodarowania odpadami między podmiotami publicznymi i prywatnymi w świetle podziału kompetencji wprowadzonego w art. 12 ust. 5;</w:t>
      </w:r>
    </w:p>
    <w:p w14:paraId="6FCED93B" w14:textId="35EA644C" w:rsidR="0F588873" w:rsidRDefault="0F588873" w:rsidP="002478C1">
      <w:pPr>
        <w:jc w:val="both"/>
        <w:rPr>
          <w:sz w:val="24"/>
          <w:szCs w:val="24"/>
          <w:rFonts w:ascii="Arial" w:eastAsia="Arial" w:hAnsi="Arial" w:cs="Arial"/>
        </w:rPr>
      </w:pPr>
      <w:r>
        <w:rPr>
          <w:sz w:val="24"/>
          <w:szCs w:val="24"/>
          <w:rFonts w:ascii="Arial" w:hAnsi="Arial"/>
        </w:rPr>
        <w:t xml:space="preserve">g) „odpady niebezpieczne” oznaczają odpady posiadające jedną lub więcej cech niebezpiecznych wymienionych w załączniku I, które mogą zostać zatwierdzone przez rząd zgodnie z postanowieniami przepisów Unii Europejskiej lub konwencji międzynarodowych, których Hiszpania będzie sygnatariuszem.</w:t>
      </w:r>
      <w:r>
        <w:rPr>
          <w:sz w:val="24"/>
          <w:szCs w:val="24"/>
          <w:rFonts w:ascii="Arial" w:hAnsi="Arial"/>
        </w:rPr>
        <w:t xml:space="preserve"> </w:t>
      </w:r>
      <w:r>
        <w:rPr>
          <w:sz w:val="24"/>
          <w:szCs w:val="24"/>
          <w:rFonts w:ascii="Arial" w:hAnsi="Arial"/>
        </w:rPr>
        <w:t xml:space="preserve">Definicja ta obejmuje również pojemniki i opakowania zawierające pozostałości substancji niebezpiecznych lub zanieczyszczone nimi;</w:t>
      </w:r>
    </w:p>
    <w:p w14:paraId="11D46221" w14:textId="233A520E" w:rsidR="0F588873" w:rsidRDefault="0F588873" w:rsidP="002478C1">
      <w:pPr>
        <w:jc w:val="both"/>
        <w:rPr>
          <w:sz w:val="24"/>
          <w:szCs w:val="24"/>
          <w:rFonts w:ascii="Arial" w:eastAsia="Arial" w:hAnsi="Arial" w:cs="Arial"/>
        </w:rPr>
      </w:pPr>
      <w:r>
        <w:rPr>
          <w:sz w:val="24"/>
          <w:szCs w:val="24"/>
          <w:rFonts w:ascii="Arial" w:hAnsi="Arial"/>
        </w:rPr>
        <w:t xml:space="preserve">h) „odpady inne niż niebezpieczne” oznaczają odpady nieobjęte zakresem lit. g);</w:t>
      </w:r>
    </w:p>
    <w:p w14:paraId="21E1A848" w14:textId="14C078B6" w:rsidR="0F588873" w:rsidRDefault="0F588873" w:rsidP="002478C1">
      <w:pPr>
        <w:jc w:val="both"/>
        <w:rPr>
          <w:sz w:val="24"/>
          <w:szCs w:val="24"/>
          <w:rFonts w:ascii="Arial" w:eastAsia="Arial" w:hAnsi="Arial" w:cs="Arial"/>
        </w:rPr>
      </w:pPr>
      <w:r>
        <w:rPr>
          <w:sz w:val="24"/>
          <w:szCs w:val="24"/>
          <w:rFonts w:ascii="Arial" w:hAnsi="Arial"/>
        </w:rPr>
        <w:t xml:space="preserve">i) „oleje odpadowe” oznaczają wszelkie mineralne lub syntetyczne oleje smarowe lub przemysłowe, które stały się niezdatne do wykorzystania zgodnie z pierwotnym przeznaczeniem, takie jak zużyte oleje z silników spalinowych i oleje przekładniowe, oleje smarowe, oleje turbinowe oraz oleje hydrauliczne, z wyłączeniem zużytych kuchennych olejów roślinnych lub zwierzęcych;</w:t>
      </w:r>
    </w:p>
    <w:p w14:paraId="143268EB" w14:textId="18184C87" w:rsidR="0F588873" w:rsidRDefault="0F588873" w:rsidP="002478C1">
      <w:pPr>
        <w:jc w:val="both"/>
        <w:rPr>
          <w:sz w:val="24"/>
          <w:szCs w:val="24"/>
          <w:rFonts w:ascii="Arial" w:eastAsia="Arial" w:hAnsi="Arial" w:cs="Arial"/>
        </w:rPr>
      </w:pPr>
      <w:r>
        <w:rPr>
          <w:sz w:val="24"/>
          <w:szCs w:val="24"/>
          <w:rFonts w:ascii="Arial" w:hAnsi="Arial"/>
        </w:rPr>
        <w:t xml:space="preserve">j) „odpady budowlane i rozbiórkowe” oznaczają odpady generowane w ramach działalności budowlanej i rozbiórkowej;</w:t>
      </w:r>
    </w:p>
    <w:p w14:paraId="07179E8D" w14:textId="77777777" w:rsidR="009F092F" w:rsidRDefault="009F092F" w:rsidP="002478C1">
      <w:pPr>
        <w:jc w:val="both"/>
        <w:rPr>
          <w:sz w:val="24"/>
          <w:szCs w:val="24"/>
          <w:rFonts w:ascii="Arial" w:eastAsia="Arial" w:hAnsi="Arial" w:cs="Arial"/>
        </w:rPr>
      </w:pPr>
      <w:r>
        <w:rPr>
          <w:sz w:val="24"/>
          <w:szCs w:val="24"/>
          <w:rFonts w:ascii="Arial" w:hAnsi="Arial"/>
        </w:rPr>
        <w:t xml:space="preserve">k) „odpady z narzędzi połowowych” oznaczają każde narzędzie połowowe odpowiadające definicji odpadu, łącznie ze wszystkimi elementami oddzielnie, substancjami lub materiałami, które wchodziły w skład narzędzia połowowego lub były z nim połączone w momencie wyrzucenia go.</w:t>
      </w:r>
      <w:r>
        <w:rPr>
          <w:sz w:val="24"/>
          <w:szCs w:val="24"/>
          <w:rFonts w:ascii="Arial" w:hAnsi="Arial"/>
        </w:rPr>
        <w:t xml:space="preserve"> </w:t>
      </w:r>
      <w:r>
        <w:rPr>
          <w:sz w:val="24"/>
          <w:szCs w:val="24"/>
          <w:rFonts w:ascii="Arial" w:hAnsi="Arial"/>
        </w:rPr>
        <w:t xml:space="preserve">W zakres tej definicji wchodzą również porzucone lub zgubione narzędzia połowowe i ich elementy;</w:t>
      </w:r>
    </w:p>
    <w:p w14:paraId="72C0E29D" w14:textId="59538BD2" w:rsidR="0F588873" w:rsidRDefault="0F588873" w:rsidP="002478C1">
      <w:pPr>
        <w:jc w:val="both"/>
        <w:rPr>
          <w:sz w:val="24"/>
          <w:szCs w:val="24"/>
          <w:rFonts w:ascii="Arial" w:eastAsia="Arial" w:hAnsi="Arial" w:cs="Arial"/>
        </w:rPr>
      </w:pPr>
      <w:r>
        <w:rPr>
          <w:sz w:val="24"/>
          <w:szCs w:val="24"/>
          <w:rFonts w:ascii="Arial" w:hAnsi="Arial"/>
        </w:rPr>
        <w:t xml:space="preserve">l) „odpady żywnościowe” oznaczają wszystkie środki spożywcze zgodnie z definicją w art.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które stały się odpadem;</w:t>
      </w:r>
    </w:p>
    <w:p w14:paraId="4915AD57" w14:textId="69ABEB0F" w:rsidR="0F588873" w:rsidRDefault="0F588873" w:rsidP="002478C1">
      <w:pPr>
        <w:jc w:val="both"/>
        <w:rPr>
          <w:sz w:val="24"/>
          <w:szCs w:val="24"/>
          <w:rFonts w:ascii="Arial" w:eastAsia="Arial" w:hAnsi="Arial" w:cs="Arial"/>
        </w:rPr>
      </w:pPr>
      <w:r>
        <w:rPr>
          <w:sz w:val="24"/>
          <w:szCs w:val="24"/>
          <w:rFonts w:ascii="Arial" w:hAnsi="Arial"/>
        </w:rPr>
        <w:t xml:space="preserve">m) „bioodpady” oznaczają ulegające biodegradacji odpady ogrodowe i parkowe, odpady spożywcze i kuchenne z gospodarstw domowych, biur, restauracji, hurtowni, jadłodajni, placówek zbiorowego żywienia i handlu detalicznego i porównywalne odpady z zakładów przetwórstwa spożywczego;</w:t>
      </w:r>
    </w:p>
    <w:p w14:paraId="16BEBDFF" w14:textId="7E420C37" w:rsidR="0F588873" w:rsidRDefault="0F588873" w:rsidP="002478C1">
      <w:pPr>
        <w:jc w:val="both"/>
        <w:rPr>
          <w:sz w:val="24"/>
          <w:szCs w:val="24"/>
          <w:rFonts w:ascii="Arial" w:eastAsia="Arial" w:hAnsi="Arial" w:cs="Arial"/>
        </w:rPr>
      </w:pPr>
      <w:r>
        <w:rPr>
          <w:sz w:val="24"/>
          <w:szCs w:val="24"/>
          <w:rFonts w:ascii="Arial" w:hAnsi="Arial"/>
        </w:rPr>
        <w:t xml:space="preserve">n) „kompost” oznacza nawóz organiczny uzyskany w wyniku aerobowego i termofilnego przetwarzania biologicznego odpadów ulegających biodegradacji zebranych selektywnie.</w:t>
      </w:r>
      <w:r>
        <w:rPr>
          <w:sz w:val="24"/>
          <w:szCs w:val="24"/>
          <w:rFonts w:ascii="Arial" w:hAnsi="Arial"/>
        </w:rPr>
        <w:t xml:space="preserve"> </w:t>
      </w:r>
      <w:r>
        <w:rPr>
          <w:sz w:val="24"/>
          <w:szCs w:val="24"/>
          <w:rFonts w:ascii="Arial" w:hAnsi="Arial"/>
        </w:rPr>
        <w:t xml:space="preserve">Nie uznaje się za kompost materii organicznej uzyskanej w zakładach mechaniczno-biologicznego przetwarzania odpadów zmieszanych, którą określa się jako materiał biostabilizowany;</w:t>
      </w:r>
    </w:p>
    <w:p w14:paraId="24917409" w14:textId="1EDC63E3" w:rsidR="0F588873" w:rsidRDefault="0F588873" w:rsidP="002478C1">
      <w:pPr>
        <w:jc w:val="both"/>
        <w:rPr>
          <w:sz w:val="24"/>
          <w:szCs w:val="24"/>
          <w:rFonts w:ascii="Arial" w:eastAsia="Arial" w:hAnsi="Arial" w:cs="Arial"/>
        </w:rPr>
      </w:pPr>
      <w:r>
        <w:rPr>
          <w:sz w:val="24"/>
          <w:szCs w:val="24"/>
          <w:rFonts w:ascii="Arial" w:hAnsi="Arial"/>
        </w:rPr>
        <w:t xml:space="preserve">ñ) „poferment” oznacza nawóz organiczny uzyskany w wyniku anaerobowego przetwarzania biologicznego odpadów ulegających biodegradacji zebranych selektywnie.</w:t>
      </w:r>
      <w:r>
        <w:rPr>
          <w:sz w:val="24"/>
          <w:szCs w:val="24"/>
          <w:rFonts w:ascii="Arial" w:hAnsi="Arial"/>
        </w:rPr>
        <w:t xml:space="preserve"> </w:t>
      </w:r>
      <w:r>
        <w:rPr>
          <w:sz w:val="24"/>
          <w:szCs w:val="24"/>
          <w:rFonts w:ascii="Arial" w:hAnsi="Arial"/>
        </w:rPr>
        <w:t xml:space="preserve">Nie uznaje się za poferment materii organicznej uzyskanej w zakładach anaerobowego mechaniczno-biologicznego przetwarzania odpadów zmieszanych, którą określa się jako materiał biostabilizowany;</w:t>
      </w:r>
    </w:p>
    <w:p w14:paraId="0CCECC99" w14:textId="52754674" w:rsidR="0F588873" w:rsidRDefault="0F588873" w:rsidP="002478C1">
      <w:pPr>
        <w:jc w:val="both"/>
        <w:rPr>
          <w:sz w:val="24"/>
          <w:szCs w:val="24"/>
          <w:rFonts w:ascii="Arial" w:eastAsia="Arial" w:hAnsi="Arial" w:cs="Arial"/>
        </w:rPr>
      </w:pPr>
      <w:r>
        <w:rPr>
          <w:sz w:val="24"/>
          <w:szCs w:val="24"/>
          <w:rFonts w:ascii="Arial" w:hAnsi="Arial"/>
        </w:rPr>
        <w:t xml:space="preserve">o) „zapobieganie” oznacza wszystkie środki przyjęte na etapie koncepcji i projektowania, produkcji, dystrybucji i konsumpcji substancji, materiału lub produktu w celu ograniczenia:</w:t>
      </w:r>
    </w:p>
    <w:p w14:paraId="2CEF2741" w14:textId="65B83D7D" w:rsidR="0F588873" w:rsidRDefault="0F588873" w:rsidP="002478C1">
      <w:pPr>
        <w:jc w:val="both"/>
        <w:rPr>
          <w:sz w:val="24"/>
          <w:szCs w:val="24"/>
          <w:rFonts w:ascii="Arial" w:eastAsia="Arial" w:hAnsi="Arial" w:cs="Arial"/>
        </w:rPr>
      </w:pPr>
      <w:r>
        <w:rPr>
          <w:sz w:val="24"/>
          <w:szCs w:val="24"/>
          <w:rFonts w:ascii="Arial" w:hAnsi="Arial"/>
        </w:rPr>
        <w:t xml:space="preserve">1) ilości odpadów, w tym również przez ponowne użycie produktów lub wydłużenie okresu żywotności produktów;</w:t>
      </w:r>
    </w:p>
    <w:p w14:paraId="4C79ABBC" w14:textId="52256EF4" w:rsidR="0F588873" w:rsidRDefault="0F588873" w:rsidP="002478C1">
      <w:pPr>
        <w:jc w:val="both"/>
        <w:rPr>
          <w:sz w:val="24"/>
          <w:szCs w:val="24"/>
          <w:rFonts w:ascii="Arial" w:eastAsia="Arial" w:hAnsi="Arial" w:cs="Arial"/>
        </w:rPr>
      </w:pPr>
      <w:r>
        <w:rPr>
          <w:sz w:val="24"/>
          <w:szCs w:val="24"/>
          <w:rFonts w:ascii="Arial" w:hAnsi="Arial"/>
        </w:rPr>
        <w:t xml:space="preserve">2) niekorzystnego oddziaływania wytworzonych odpadów na środowisko i zdrowie ludzkie, w tym poprzez ograniczenie zużycia materiałów lub energii;</w:t>
      </w:r>
    </w:p>
    <w:p w14:paraId="1C7454E0" w14:textId="4DC1FF87" w:rsidR="0F588873" w:rsidRDefault="0F588873" w:rsidP="002478C1">
      <w:pPr>
        <w:jc w:val="both"/>
        <w:rPr>
          <w:sz w:val="24"/>
          <w:szCs w:val="24"/>
          <w:rFonts w:ascii="Arial" w:eastAsia="Arial" w:hAnsi="Arial" w:cs="Arial"/>
        </w:rPr>
      </w:pPr>
      <w:r>
        <w:rPr>
          <w:sz w:val="24"/>
          <w:szCs w:val="24"/>
          <w:rFonts w:ascii="Arial" w:hAnsi="Arial"/>
        </w:rPr>
        <w:t xml:space="preserve">3) zawartości substancji szkodliwych w materiałach i produktach;</w:t>
      </w:r>
    </w:p>
    <w:p w14:paraId="44F459E3" w14:textId="02E63FA5" w:rsidR="0F588873" w:rsidRDefault="0F588873" w:rsidP="002478C1">
      <w:pPr>
        <w:jc w:val="both"/>
        <w:rPr>
          <w:sz w:val="24"/>
          <w:szCs w:val="24"/>
          <w:rFonts w:ascii="Arial" w:eastAsia="Arial" w:hAnsi="Arial" w:cs="Arial"/>
        </w:rPr>
      </w:pPr>
      <w:r>
        <w:rPr>
          <w:sz w:val="24"/>
          <w:szCs w:val="24"/>
          <w:rFonts w:ascii="Arial" w:hAnsi="Arial"/>
        </w:rPr>
        <w:t xml:space="preserve">p) „ponowne użycie” oznacza jakikolwiek proces, w wyniku którego produkty lub składniki produktów niebędące odpadami są wykorzystywane ponownie do tego samego celu, do którego były przeznaczone;</w:t>
      </w:r>
    </w:p>
    <w:p w14:paraId="4B9FB7BB" w14:textId="6D91AE92" w:rsidR="0F588873" w:rsidRDefault="0F588873" w:rsidP="002478C1">
      <w:pPr>
        <w:jc w:val="both"/>
        <w:rPr>
          <w:sz w:val="24"/>
          <w:szCs w:val="24"/>
          <w:rFonts w:ascii="Arial" w:eastAsia="Arial" w:hAnsi="Arial" w:cs="Arial"/>
        </w:rPr>
      </w:pPr>
      <w:r>
        <w:rPr>
          <w:sz w:val="24"/>
          <w:szCs w:val="24"/>
          <w:rFonts w:ascii="Arial" w:hAnsi="Arial"/>
        </w:rPr>
        <w:t xml:space="preserve">q) „wytwórca odpadów” oznacza dowolną osobę fizyczną lub prawną, której działalność prowadzi do powstawania odpadów (pierwotny wytwórca odpadów), lub dowolny podmiot zajmujący się przetwarzaniem wstępnym, mieszaniem lub innymi procesami prowadzącymi do zmiany charakteru lub składu tych odpadów.</w:t>
      </w:r>
      <w:r>
        <w:rPr>
          <w:sz w:val="24"/>
          <w:szCs w:val="24"/>
          <w:rFonts w:ascii="Arial" w:hAnsi="Arial"/>
        </w:rPr>
        <w:t xml:space="preserve"> </w:t>
      </w:r>
      <w:r>
        <w:rPr>
          <w:sz w:val="24"/>
          <w:szCs w:val="24"/>
          <w:rFonts w:ascii="Arial" w:hAnsi="Arial"/>
        </w:rPr>
        <w:t xml:space="preserve">W przypadku towarów podjętych przez służby kontroli i inspekcji w obiektach granicznych za wytwórcę odpadów uważa się właściciela towaru bądź jego importera lub eksportera w zależności od definicji w przepisach celnych;</w:t>
      </w:r>
    </w:p>
    <w:p w14:paraId="5BBAE603" w14:textId="79DAF3D6" w:rsidR="0F588873" w:rsidRDefault="0F588873" w:rsidP="002478C1">
      <w:pPr>
        <w:jc w:val="both"/>
        <w:rPr>
          <w:sz w:val="24"/>
          <w:szCs w:val="24"/>
          <w:rFonts w:ascii="Arial" w:eastAsia="Arial" w:hAnsi="Arial" w:cs="Arial"/>
        </w:rPr>
      </w:pPr>
      <w:r>
        <w:rPr>
          <w:sz w:val="24"/>
          <w:szCs w:val="24"/>
          <w:rFonts w:ascii="Arial" w:hAnsi="Arial"/>
        </w:rPr>
        <w:t xml:space="preserve">r) „posiadacz odpadów” oznacza wytwórcę odpadów lub osobę fizyczną lub prawną będącą w posiadaniu tych odpadów;</w:t>
      </w:r>
    </w:p>
    <w:p w14:paraId="066CDE28" w14:textId="2796B1E7" w:rsidR="0F588873" w:rsidRDefault="0F588873" w:rsidP="002478C1">
      <w:pPr>
        <w:jc w:val="both"/>
        <w:rPr>
          <w:sz w:val="24"/>
          <w:szCs w:val="24"/>
          <w:rFonts w:ascii="Arial" w:eastAsia="Arial" w:hAnsi="Arial" w:cs="Arial"/>
        </w:rPr>
      </w:pPr>
      <w:r>
        <w:rPr>
          <w:sz w:val="24"/>
          <w:szCs w:val="24"/>
          <w:rFonts w:ascii="Arial" w:hAnsi="Arial"/>
        </w:rPr>
        <w:t xml:space="preserve">s) „gospodarowanie odpadami” oznacza zbieranie, transport, odzysk (łącznie z sortowaniem) oraz unieszkodliwianie odpadów, łącznie z nadzorem nad tego rodzaju działaniami, jak również późniejsze postępowanie z miejscami unieszkodliwiania odpadów wraz z działaniami wykonywanymi w charakterze sprzedawcy odpadów lub pośrednika w obrocie odpadami;</w:t>
      </w:r>
    </w:p>
    <w:p w14:paraId="5242AE8B" w14:textId="4517330E" w:rsidR="0F588873" w:rsidRDefault="0F588873" w:rsidP="002478C1">
      <w:pPr>
        <w:jc w:val="both"/>
        <w:rPr>
          <w:sz w:val="24"/>
          <w:szCs w:val="24"/>
          <w:rFonts w:ascii="Arial" w:eastAsia="Arial" w:hAnsi="Arial" w:cs="Arial"/>
        </w:rPr>
      </w:pPr>
      <w:r>
        <w:rPr>
          <w:sz w:val="24"/>
          <w:szCs w:val="24"/>
          <w:rFonts w:ascii="Arial" w:hAnsi="Arial"/>
        </w:rPr>
        <w:t xml:space="preserve">t) „zbieranie” oznacza gromadzenie odpadów, wstępne sortowanie i wstępne magazynowanie odpadów do celów ich transportu do zakładu przetwarzania;</w:t>
      </w:r>
    </w:p>
    <w:p w14:paraId="5DD765A4" w14:textId="0723A28F" w:rsidR="0F588873" w:rsidRDefault="0F588873" w:rsidP="002478C1">
      <w:pPr>
        <w:jc w:val="both"/>
        <w:rPr>
          <w:sz w:val="24"/>
          <w:szCs w:val="24"/>
          <w:rFonts w:ascii="Arial" w:eastAsia="Arial" w:hAnsi="Arial" w:cs="Arial"/>
        </w:rPr>
      </w:pPr>
      <w:r>
        <w:rPr>
          <w:sz w:val="24"/>
          <w:szCs w:val="24"/>
          <w:rFonts w:ascii="Arial" w:hAnsi="Arial"/>
        </w:rPr>
        <w:t xml:space="preserve">u) „selektywna zbiórka” oznacza zbiórkę, w ramach której dany strumień odpadów obejmuje jedynie odpady jednego rodzaju i o tym samym charakterze w celu ułatwienia określonego przetwarzania;</w:t>
      </w:r>
    </w:p>
    <w:p w14:paraId="7E4879E8" w14:textId="5419A6E2" w:rsidR="0F588873" w:rsidRDefault="0F588873" w:rsidP="002478C1">
      <w:pPr>
        <w:jc w:val="both"/>
        <w:rPr>
          <w:sz w:val="24"/>
          <w:szCs w:val="24"/>
          <w:rFonts w:ascii="Arial" w:eastAsia="Arial" w:hAnsi="Arial" w:cs="Arial"/>
        </w:rPr>
      </w:pPr>
      <w:r>
        <w:rPr>
          <w:sz w:val="24"/>
          <w:szCs w:val="24"/>
          <w:rFonts w:ascii="Arial" w:hAnsi="Arial"/>
        </w:rPr>
        <w:t xml:space="preserve">v) „transport odpadów” oznacza operację zarządzania realizowaną przez przedsiębiorstwa, których działalność podstawową stanowi profesjonalne transportowanie odpadów na zlecenie osób trzecich, a także transport realizowany przez przedsiębiorstwa w ramach ich działalności zawodowej jako jedną z czynności wykonywanych regularnie, chociaż nie jest to ich działalność podstawowa;</w:t>
      </w:r>
    </w:p>
    <w:p w14:paraId="34171A63" w14:textId="4BF26964" w:rsidR="0F588873" w:rsidRDefault="0F588873" w:rsidP="002478C1">
      <w:pPr>
        <w:jc w:val="both"/>
        <w:rPr>
          <w:sz w:val="24"/>
          <w:szCs w:val="24"/>
          <w:rFonts w:ascii="Arial" w:eastAsia="Arial" w:hAnsi="Arial" w:cs="Arial"/>
        </w:rPr>
      </w:pPr>
      <w:r>
        <w:rPr>
          <w:sz w:val="24"/>
          <w:szCs w:val="24"/>
          <w:rFonts w:ascii="Arial" w:hAnsi="Arial"/>
        </w:rPr>
        <w:t xml:space="preserve">w) „przetwarzanie” oznacza procesy odzysku lub unieszkodliwiania, w tym przygotowanie poprzedzające odzysk lub unieszkodliwianie;</w:t>
      </w:r>
    </w:p>
    <w:p w14:paraId="39F4F6E4" w14:textId="7C167B6B" w:rsidR="0F588873" w:rsidRDefault="0F588873" w:rsidP="002478C1">
      <w:pPr>
        <w:jc w:val="both"/>
        <w:rPr>
          <w:sz w:val="24"/>
          <w:szCs w:val="24"/>
          <w:rFonts w:ascii="Arial" w:eastAsia="Arial" w:hAnsi="Arial" w:cs="Arial"/>
        </w:rPr>
      </w:pPr>
      <w:r>
        <w:rPr>
          <w:sz w:val="24"/>
          <w:szCs w:val="24"/>
          <w:rFonts w:ascii="Arial" w:hAnsi="Arial"/>
        </w:rPr>
        <w:t xml:space="preserve">x) „odzysk” oznacza jakikolwiek proces, którego głównym wynikiem jest to, aby odpady służyły użytecznemu zastosowaniu, poprzez zastąpienie innych materiałów, które w przeciwnym wypadku zostałyby użyte do spełnienia danej funkcji, lub w wyniku którego odpady są przygotowywane do spełnienia takiej funkcji w danym zakładzie lub w gospodarce w ogóle.</w:t>
      </w:r>
      <w:r>
        <w:rPr>
          <w:sz w:val="24"/>
          <w:szCs w:val="24"/>
          <w:rFonts w:ascii="Arial" w:hAnsi="Arial"/>
        </w:rPr>
        <w:t xml:space="preserve"> </w:t>
      </w:r>
      <w:r>
        <w:rPr>
          <w:sz w:val="24"/>
          <w:szCs w:val="24"/>
          <w:rFonts w:ascii="Arial" w:hAnsi="Arial"/>
        </w:rPr>
        <w:t xml:space="preserve">Załącznik II zawiera niewyczerpujący wykaz procesów odzysku;</w:t>
      </w:r>
    </w:p>
    <w:p w14:paraId="1AF10599" w14:textId="5320F6ED" w:rsidR="0F588873" w:rsidRDefault="0F588873" w:rsidP="002478C1">
      <w:pPr>
        <w:jc w:val="both"/>
        <w:rPr>
          <w:sz w:val="24"/>
          <w:szCs w:val="24"/>
          <w:rFonts w:ascii="Arial" w:eastAsia="Arial" w:hAnsi="Arial" w:cs="Arial"/>
        </w:rPr>
      </w:pPr>
      <w:r>
        <w:rPr>
          <w:sz w:val="24"/>
          <w:szCs w:val="24"/>
          <w:rFonts w:ascii="Arial" w:hAnsi="Arial"/>
        </w:rPr>
        <w:t xml:space="preserve">y) „odzysk materiałów” oznacza każdy proces odzysku inny niż odzysk energii i ponowne przetwarzanie na materiały, które mają być wykorzystane jako paliwa lub inne środki do wytwarzania energii.</w:t>
      </w:r>
      <w:r>
        <w:rPr>
          <w:sz w:val="24"/>
          <w:szCs w:val="24"/>
          <w:rFonts w:ascii="Arial" w:hAnsi="Arial"/>
        </w:rPr>
        <w:t xml:space="preserve"> </w:t>
      </w:r>
      <w:r>
        <w:rPr>
          <w:sz w:val="24"/>
          <w:szCs w:val="24"/>
          <w:rFonts w:ascii="Arial" w:hAnsi="Arial"/>
        </w:rPr>
        <w:t xml:space="preserve">Odzysk materiałów obejmuje, oprócz innych operacji, przygotowywanie do ponownego użycia, recykling i wypełnianie wyrobisk;</w:t>
      </w:r>
    </w:p>
    <w:p w14:paraId="207F23D6" w14:textId="5BA20980" w:rsidR="0F588873" w:rsidRDefault="0F588873" w:rsidP="002478C1">
      <w:pPr>
        <w:jc w:val="both"/>
        <w:rPr>
          <w:sz w:val="24"/>
          <w:szCs w:val="24"/>
          <w:rFonts w:ascii="Arial" w:eastAsia="Arial" w:hAnsi="Arial" w:cs="Arial"/>
        </w:rPr>
      </w:pPr>
      <w:r>
        <w:rPr>
          <w:sz w:val="24"/>
          <w:szCs w:val="24"/>
          <w:rFonts w:ascii="Arial" w:hAnsi="Arial"/>
        </w:rPr>
        <w:t xml:space="preserve">z) „przygotowanie do ponownego użycia” oznacza procesy odzysku polegające na sprawdzeniu, czyszczeniu lub naprawie, w ramach których produkty lub składniki produktów, które wcześniej stały się odpadami, są przygotowywane do tego, by mogły być ponownie wykorzystywane bez jakichkolwiek innych czynności przetwarzania wstępnego;</w:t>
      </w:r>
    </w:p>
    <w:p w14:paraId="1257275F" w14:textId="7BF380C7" w:rsidR="0F588873" w:rsidRDefault="0F588873" w:rsidP="002478C1">
      <w:pPr>
        <w:jc w:val="both"/>
        <w:rPr>
          <w:sz w:val="24"/>
          <w:szCs w:val="24"/>
          <w:rFonts w:ascii="Arial" w:eastAsia="Arial" w:hAnsi="Arial" w:cs="Arial"/>
        </w:rPr>
      </w:pPr>
      <w:r>
        <w:rPr>
          <w:sz w:val="24"/>
          <w:szCs w:val="24"/>
          <w:rFonts w:ascii="Arial" w:hAnsi="Arial"/>
        </w:rPr>
        <w:t xml:space="preserve">aa) „recykling” oznacza jakikolwiek proces odzysku, w ramach którego materiały odpadowe są ponownie przetwarzane w produkty, materiały lub substancje wykorzystywane w pierwotnym celu lub innych celach.</w:t>
      </w:r>
      <w:r>
        <w:rPr>
          <w:sz w:val="24"/>
          <w:szCs w:val="24"/>
          <w:rFonts w:ascii="Arial" w:hAnsi="Arial"/>
        </w:rPr>
        <w:t xml:space="preserve"> </w:t>
      </w:r>
      <w:r>
        <w:rPr>
          <w:sz w:val="24"/>
          <w:szCs w:val="24"/>
          <w:rFonts w:ascii="Arial" w:hAnsi="Arial"/>
        </w:rPr>
        <w:t xml:space="preserve">Recykling obejmuje to ponowne przetwarzanie materiału organicznego, ale nie obejmuje odzysku energii i ponownego przetwarzania na materiały, które mają być wykorzystane jako paliwa lub do celów wypełniania wyrobisk;</w:t>
      </w:r>
    </w:p>
    <w:p w14:paraId="29B1B2E2" w14:textId="0ED8E8BE" w:rsidR="0F588873" w:rsidRDefault="0F588873" w:rsidP="002478C1">
      <w:pPr>
        <w:jc w:val="both"/>
        <w:rPr>
          <w:sz w:val="24"/>
          <w:szCs w:val="24"/>
          <w:rFonts w:ascii="Arial" w:eastAsia="Arial" w:hAnsi="Arial" w:cs="Arial"/>
        </w:rPr>
      </w:pPr>
      <w:r>
        <w:rPr>
          <w:sz w:val="24"/>
          <w:szCs w:val="24"/>
          <w:rFonts w:ascii="Arial" w:hAnsi="Arial"/>
        </w:rPr>
        <w:t xml:space="preserve">ab) „wypełnianie wyrobisk” oznacza proces odzysku, w ramach którego odpady inne niż niebezpieczne są wykorzystywane do rekultywacji obszarów, na których prowadzone były roboty ziemne, lub do celów inżynieryjnych na potrzeby architektury krajobrazu.</w:t>
      </w:r>
      <w:r>
        <w:rPr>
          <w:sz w:val="24"/>
          <w:szCs w:val="24"/>
          <w:rFonts w:ascii="Arial" w:hAnsi="Arial"/>
        </w:rPr>
        <w:t xml:space="preserve"> </w:t>
      </w:r>
      <w:r>
        <w:rPr>
          <w:sz w:val="24"/>
          <w:szCs w:val="24"/>
          <w:rFonts w:ascii="Arial" w:hAnsi="Arial"/>
        </w:rPr>
        <w:t xml:space="preserve">Odpady zastosowane do wypełniania wyrobisk powinny zastąpić materiały niebędące odpadami i być odpowiednie do wymienionych wcześniej celów.</w:t>
      </w:r>
      <w:r>
        <w:rPr>
          <w:sz w:val="24"/>
          <w:szCs w:val="24"/>
          <w:rFonts w:ascii="Arial" w:hAnsi="Arial"/>
        </w:rPr>
        <w:t xml:space="preserve"> </w:t>
      </w:r>
      <w:r>
        <w:rPr>
          <w:sz w:val="24"/>
          <w:szCs w:val="24"/>
          <w:rFonts w:ascii="Arial" w:hAnsi="Arial"/>
        </w:rPr>
        <w:t xml:space="preserve">Poza tym operacje wypełniania wyrobisk powinny być uzasadnione koniecznością przywrócenia pierwotnej topografii terenu, a ilość użytych odpadów należy ograniczyć do ilości ściśle koniecznej do realizacji wspomnianych celów;</w:t>
      </w:r>
    </w:p>
    <w:p w14:paraId="3C1EB025" w14:textId="0292DB6A" w:rsidR="0F588873" w:rsidRDefault="0F588873" w:rsidP="002478C1">
      <w:pPr>
        <w:jc w:val="both"/>
        <w:rPr>
          <w:sz w:val="24"/>
          <w:szCs w:val="24"/>
          <w:rFonts w:ascii="Arial" w:eastAsia="Arial" w:hAnsi="Arial" w:cs="Arial"/>
        </w:rPr>
      </w:pPr>
      <w:r>
        <w:rPr>
          <w:sz w:val="24"/>
          <w:szCs w:val="24"/>
          <w:rFonts w:ascii="Arial" w:hAnsi="Arial"/>
        </w:rPr>
        <w:t xml:space="preserve">ac) „regeneracja olejów odpadowych” oznacza jakikolwiek proces recyklingu, w którym w wyniku rafinacji olejów odpadowych mogą zostać wyprodukowane oleje bazowe, w szczególności przez usunięcie znajdujących się w olejach odpadowych zanieczyszczeń, produktów reakcji utleniania i dodatków;</w:t>
      </w:r>
    </w:p>
    <w:p w14:paraId="2CCD4725" w14:textId="57BD4629" w:rsidR="0F588873" w:rsidRDefault="0F588873" w:rsidP="002478C1">
      <w:pPr>
        <w:jc w:val="both"/>
        <w:rPr>
          <w:sz w:val="24"/>
          <w:szCs w:val="24"/>
          <w:rFonts w:ascii="Arial" w:eastAsia="Arial" w:hAnsi="Arial" w:cs="Arial"/>
        </w:rPr>
      </w:pPr>
      <w:r>
        <w:rPr>
          <w:sz w:val="24"/>
          <w:szCs w:val="24"/>
          <w:rFonts w:ascii="Arial" w:hAnsi="Arial"/>
        </w:rPr>
        <w:t xml:space="preserve">ad) „przetwarzanie pośrednie” oznacza procesy odzysku R12 i R13 i procesy unieszkodliwiania D8, D9, D13, D14 i D15, zgodnie z załącznikami II i III;</w:t>
      </w:r>
    </w:p>
    <w:p w14:paraId="27421964" w14:textId="0589A07A" w:rsidR="0F588873" w:rsidRDefault="0F588873" w:rsidP="002478C1">
      <w:pPr>
        <w:jc w:val="both"/>
        <w:rPr>
          <w:sz w:val="24"/>
          <w:szCs w:val="24"/>
          <w:rFonts w:ascii="Arial" w:eastAsia="Arial" w:hAnsi="Arial" w:cs="Arial"/>
        </w:rPr>
      </w:pPr>
      <w:r>
        <w:rPr>
          <w:sz w:val="24"/>
          <w:szCs w:val="24"/>
          <w:rFonts w:ascii="Arial" w:hAnsi="Arial"/>
        </w:rPr>
        <w:t xml:space="preserve">ae) „unieszkodliwianie” oznacza jakikolwiek proces niebędący odzyskiem, nawet jeżeli wtórnym skutkiem takiego procesu jest odzysk substancji lub energii.</w:t>
      </w:r>
      <w:r>
        <w:rPr>
          <w:sz w:val="24"/>
          <w:szCs w:val="24"/>
          <w:rFonts w:ascii="Arial" w:hAnsi="Arial"/>
        </w:rPr>
        <w:t xml:space="preserve"> </w:t>
      </w:r>
      <w:r>
        <w:rPr>
          <w:sz w:val="24"/>
          <w:szCs w:val="24"/>
          <w:rFonts w:ascii="Arial" w:hAnsi="Arial"/>
        </w:rPr>
        <w:t xml:space="preserve">Załącznik III zawiera niewyczerpujący wykaz procesów unieszkodliwiania;</w:t>
      </w:r>
    </w:p>
    <w:p w14:paraId="1FE4169A" w14:textId="2C0EC3E1" w:rsidR="0F588873" w:rsidRDefault="0F588873" w:rsidP="002478C1">
      <w:pPr>
        <w:jc w:val="both"/>
        <w:rPr>
          <w:sz w:val="24"/>
          <w:szCs w:val="24"/>
          <w:rFonts w:ascii="Arial" w:eastAsia="Arial" w:hAnsi="Arial" w:cs="Arial"/>
        </w:rPr>
      </w:pPr>
      <w:r>
        <w:rPr>
          <w:sz w:val="24"/>
          <w:szCs w:val="24"/>
          <w:rFonts w:ascii="Arial" w:hAnsi="Arial"/>
        </w:rPr>
        <w:t xml:space="preserve">af) „najlepsza dostępna technika” oznacza najlepszą dostępną technikę zgodnie z definicją podaną w art. 3 lit. ñ) ujednoliconego tekstu ustawy o zintegrowanym zapobieganiu zanieczyszczeniom i ich kontroli, zatwierdzonego królewskim dekretem ustawodawczym nr 1/2016 z dnia 16 grudnia w sprawie zatwierdzenia zmienionego brzmienia ustawy o zintegrowanym zapobieganiu zanieczyszczeniom i ich kontroli;</w:t>
      </w:r>
    </w:p>
    <w:p w14:paraId="348F7F4C" w14:textId="7D4A05A8" w:rsidR="0F588873" w:rsidRDefault="0F588873" w:rsidP="002478C1">
      <w:pPr>
        <w:jc w:val="both"/>
        <w:rPr>
          <w:sz w:val="24"/>
          <w:szCs w:val="24"/>
          <w:rFonts w:ascii="Arial" w:eastAsia="Arial" w:hAnsi="Arial" w:cs="Arial"/>
        </w:rPr>
      </w:pPr>
      <w:r>
        <w:rPr>
          <w:sz w:val="24"/>
          <w:szCs w:val="24"/>
          <w:rFonts w:ascii="Arial" w:hAnsi="Arial"/>
        </w:rPr>
        <w:t xml:space="preserve">ag) „podmiot gospodarujący odpadami” oznacza osobę lub podmiot, publiczny lub prywatny, zarejestrowany na podstawie zezwolenia lub zgłoszenia, realizujący dowolną z operacji składających się na gospodarowanie odpadami, niezależnie od tego, czy jest wytwórcą odpadów;</w:t>
      </w:r>
    </w:p>
    <w:p w14:paraId="3D8B249F" w14:textId="06997844" w:rsidR="0F588873" w:rsidRDefault="0F588873" w:rsidP="002478C1">
      <w:pPr>
        <w:jc w:val="both"/>
        <w:rPr>
          <w:sz w:val="24"/>
          <w:szCs w:val="24"/>
          <w:rFonts w:ascii="Arial" w:eastAsia="Arial" w:hAnsi="Arial" w:cs="Arial"/>
        </w:rPr>
      </w:pPr>
      <w:r>
        <w:rPr>
          <w:sz w:val="24"/>
          <w:szCs w:val="24"/>
          <w:rFonts w:ascii="Arial" w:hAnsi="Arial"/>
        </w:rPr>
        <w:t xml:space="preserve">ah) „sprzedawca odpadów” oznacza jakąkolwiek osobę fizyczną lub prawną występującą w roli zleceniodawcy w transakcji zakupu, a następnie sprzedaży odpadów, w tym sprzedawcę odpadów, który nie obejmuje odpadów fizycznie w posiadanie;</w:t>
      </w:r>
    </w:p>
    <w:p w14:paraId="430FDD99" w14:textId="2D519FC5" w:rsidR="0F588873" w:rsidRDefault="0F588873" w:rsidP="002478C1">
      <w:pPr>
        <w:jc w:val="both"/>
        <w:rPr>
          <w:sz w:val="24"/>
          <w:szCs w:val="24"/>
          <w:rFonts w:ascii="Arial" w:eastAsia="Arial" w:hAnsi="Arial" w:cs="Arial"/>
        </w:rPr>
      </w:pPr>
      <w:r>
        <w:rPr>
          <w:sz w:val="24"/>
          <w:szCs w:val="24"/>
          <w:rFonts w:ascii="Arial" w:hAnsi="Arial"/>
        </w:rPr>
        <w:t xml:space="preserve">ai) „pośrednik w obrocie odpadami” oznacza jakąkolwiek osobę fizyczną lub prawną organizującą odzysk lub unieszkodliwianie odpadów w imieniu innych stron, w tym pośrednika w obrocie odpadami, który nie obejmuje odpadów fizycznie w posiadanie;</w:t>
      </w:r>
    </w:p>
    <w:p w14:paraId="4C51DF62" w14:textId="77777777" w:rsidR="009F092F" w:rsidRDefault="009F092F" w:rsidP="002478C1">
      <w:pPr>
        <w:jc w:val="both"/>
        <w:rPr>
          <w:sz w:val="24"/>
          <w:szCs w:val="24"/>
          <w:rFonts w:ascii="Arial" w:eastAsia="Arial" w:hAnsi="Arial" w:cs="Arial"/>
        </w:rPr>
      </w:pPr>
      <w:r>
        <w:rPr>
          <w:sz w:val="24"/>
          <w:szCs w:val="24"/>
          <w:rFonts w:ascii="Arial" w:hAnsi="Arial"/>
        </w:rPr>
        <w:t xml:space="preserve">aj) „producent produktu” oznacza jakąkolwiek osobę fizyczną lub prawną profesjonalnie projektującą, produkującą, przetwarzającą, napełniającą, sprzedającą lub importującą produkty, niezależnie od techniki sprzedaży użytej przy wprowadzaniu produktu na rynek krajowy.</w:t>
      </w:r>
      <w:r>
        <w:rPr>
          <w:sz w:val="24"/>
          <w:szCs w:val="24"/>
          <w:rFonts w:ascii="Arial" w:hAnsi="Arial"/>
        </w:rPr>
        <w:t xml:space="preserve"> </w:t>
      </w:r>
      <w:r>
        <w:rPr>
          <w:sz w:val="24"/>
          <w:szCs w:val="24"/>
          <w:rFonts w:ascii="Arial" w:hAnsi="Arial"/>
        </w:rPr>
        <w:t xml:space="preserve">Pojęcie to obejmuje zarówno producentów posiadających siedzibę na terytorium krajowym i wprowadzających produkty na rynek krajowy, jak i zlokalizowanych w innym państwie członkowskim lub państwie trzecim i sprzedających bezpośrednio gospodarstwom domowym lub użytkownikom innym niż gospodarstwa prywatne za pośrednictwem umów zawieranych na odległość, zgodnie z definicją w art. 92 ust. 1 ujednoliconego tekstu ustawy ogólnej o ochronie konsumentów i użytkowników oraz o innych ustawach uzupełniających, przyjętego królewskim dekretem ustawodawczym nr 1/2007 z dnia 16 listopada;</w:t>
      </w:r>
    </w:p>
    <w:p w14:paraId="5FB46457" w14:textId="242DFF15" w:rsidR="0F588873" w:rsidRDefault="0F588873" w:rsidP="002478C1">
      <w:pPr>
        <w:jc w:val="both"/>
        <w:rPr>
          <w:sz w:val="24"/>
          <w:szCs w:val="24"/>
          <w:rFonts w:ascii="Arial" w:eastAsia="Arial" w:hAnsi="Arial" w:cs="Arial"/>
        </w:rPr>
      </w:pPr>
      <w:r>
        <w:rPr>
          <w:sz w:val="24"/>
          <w:szCs w:val="24"/>
          <w:rFonts w:ascii="Arial" w:hAnsi="Arial"/>
        </w:rPr>
        <w:t xml:space="preserve">ak) „system rozszerzonej odpowiedzialności producenta” oznacza zestaw środków przyjętych w celu zagwarantowania ponoszenia przez producentów produktów odpowiedzialności finansowej lub finansowej i organizacyjnej za zarządzanie etapem odpadu w cyklu życia produktu;</w:t>
      </w:r>
    </w:p>
    <w:p w14:paraId="1BC5043B" w14:textId="3A012EF4" w:rsidR="0F588873" w:rsidRDefault="0F588873" w:rsidP="002478C1">
      <w:pPr>
        <w:jc w:val="both"/>
        <w:rPr>
          <w:sz w:val="24"/>
          <w:szCs w:val="24"/>
          <w:rFonts w:ascii="Arial" w:eastAsia="Arial" w:hAnsi="Arial" w:cs="Arial"/>
        </w:rPr>
      </w:pPr>
      <w:r>
        <w:rPr>
          <w:sz w:val="24"/>
          <w:szCs w:val="24"/>
          <w:rFonts w:ascii="Arial" w:hAnsi="Arial"/>
        </w:rPr>
        <w:t xml:space="preserve">al) „opakowanie” oznacza opakowanie zgodnie z definicją zawartą w ustawie nr 11/1997 z dnia 24 kwietnia o opakowaniach i odpadach opakowaniowych;</w:t>
      </w:r>
    </w:p>
    <w:p w14:paraId="29A1C94A" w14:textId="7C9D8154" w:rsidR="0F588873" w:rsidRDefault="0F588873" w:rsidP="002478C1">
      <w:pPr>
        <w:jc w:val="both"/>
        <w:rPr>
          <w:sz w:val="24"/>
          <w:szCs w:val="24"/>
          <w:rFonts w:ascii="Arial" w:eastAsia="Arial" w:hAnsi="Arial" w:cs="Arial"/>
        </w:rPr>
      </w:pPr>
      <w:r>
        <w:rPr>
          <w:sz w:val="24"/>
          <w:szCs w:val="24"/>
          <w:rFonts w:ascii="Arial" w:hAnsi="Arial"/>
        </w:rPr>
        <w:t xml:space="preserve">am) „tworzywo sztuczne” oznacza materiał składający się z polimeru w rozumieniu art. 3 pkt 5 rozporządzenia (WE) nr 1907/2006 Parlamentu Europejskiego i Rady z dnia 18 grudnia 2006 r. w sprawie rejestracji, oceny, udzielania zezwoleń i stosowanych ograniczeń w zakresie chemikaliów (REACH), utworzenia Europejskiej Agencji Chemikaliów, zmieniającego dyrektywę 1999/45/WE oraz uchylającego rozporządzenie Rady (EWG) nr 793/93 i rozporządzenie Komisji (WE) nr 1488/94, jak również dyrektywę Rady 76/769/EWG i dyrektywy Komisji 91/155/EWG, 93/67/EWG, 93/105/WE i 2000/21/WE, do którego mogły zostać dodane dodatki lub inne substancje i który może funkcjonować jako główny składnik strukturalny wyrobów końcowych, z wyjątkiem polimerów naturalnych, które nie zostały poddane modyfikacjom chemicznym;</w:t>
      </w:r>
    </w:p>
    <w:p w14:paraId="61327800" w14:textId="484C07B3" w:rsidR="0F588873" w:rsidRDefault="0F588873" w:rsidP="002478C1">
      <w:pPr>
        <w:jc w:val="both"/>
        <w:rPr>
          <w:sz w:val="24"/>
          <w:szCs w:val="24"/>
          <w:rFonts w:ascii="Arial" w:eastAsia="Arial" w:hAnsi="Arial" w:cs="Arial"/>
        </w:rPr>
      </w:pPr>
      <w:r>
        <w:rPr>
          <w:sz w:val="24"/>
          <w:szCs w:val="24"/>
          <w:rFonts w:ascii="Arial" w:hAnsi="Arial"/>
        </w:rPr>
        <w:t xml:space="preserve">an) „produkt jednorazowego użytku z tworzyw sztucznych” oznacza produkt, który jest w całości lub częściowo wykonany z tworzyw sztucznych i który nie został przeznaczony, zaprojektowany ani wprowadzony do obrotu tak, aby osiągnąć w ramach okresu żywotności wielokrotną rotację poprzez zwrócenie go do producenta w celu powtórnego napełnienia lub ponownego użycia do tego samego celu, do którego był pierwotnie przeznaczony;</w:t>
      </w:r>
    </w:p>
    <w:p w14:paraId="5040CE5B" w14:textId="219DE949" w:rsidR="0F588873" w:rsidRDefault="0F588873" w:rsidP="002478C1">
      <w:pPr>
        <w:jc w:val="both"/>
        <w:rPr>
          <w:sz w:val="24"/>
          <w:szCs w:val="24"/>
          <w:rFonts w:ascii="Arial" w:eastAsia="Arial" w:hAnsi="Arial" w:cs="Arial"/>
        </w:rPr>
      </w:pPr>
      <w:r>
        <w:rPr>
          <w:sz w:val="24"/>
          <w:szCs w:val="24"/>
          <w:rFonts w:ascii="Arial" w:hAnsi="Arial"/>
        </w:rPr>
        <w:t xml:space="preserve">añ) „oksydegradowalne tworzywo sztuczne” oznacza materiały z tworzyw sztucznych zawierające dodatki, które pod wpływem utleniania prowadzą do rozpadu tych materiałów na mikrofragmenty lub do ich rozkładu chemicznego;</w:t>
      </w:r>
    </w:p>
    <w:p w14:paraId="73518DB1" w14:textId="71A16E46" w:rsidR="0F588873" w:rsidRDefault="0F588873" w:rsidP="002478C1">
      <w:pPr>
        <w:jc w:val="both"/>
        <w:rPr>
          <w:sz w:val="24"/>
          <w:szCs w:val="24"/>
          <w:rFonts w:ascii="Arial" w:eastAsia="Arial" w:hAnsi="Arial" w:cs="Arial"/>
        </w:rPr>
      </w:pPr>
      <w:r>
        <w:rPr>
          <w:sz w:val="24"/>
          <w:szCs w:val="24"/>
          <w:rFonts w:ascii="Arial" w:hAnsi="Arial"/>
        </w:rPr>
        <w:t xml:space="preserve">ao) „tworzywo sztuczne ulegające biodegradacji” oznacza tworzywo sztuczne zdolne do fizycznego lub biologicznego rozkładu prowadzącego ostatecznie do jego rozkładu na dwutlenek węgla (CO</w:t>
      </w:r>
      <w:r>
        <w:rPr>
          <w:sz w:val="24"/>
          <w:szCs w:val="24"/>
          <w:vertAlign w:val="subscript"/>
          <w:rFonts w:ascii="Arial" w:hAnsi="Arial"/>
        </w:rPr>
        <w:t xml:space="preserve">2</w:t>
      </w:r>
      <w:r>
        <w:rPr>
          <w:sz w:val="24"/>
          <w:szCs w:val="24"/>
          <w:rFonts w:ascii="Arial" w:hAnsi="Arial"/>
        </w:rPr>
        <w:t xml:space="preserve">), biomasę i wodę i które, zgodne z europejskimi normami dotyczącymi opakowań, nadaje się do odzysku poprzez kompostowanie i fermentację beztlenową;</w:t>
      </w:r>
    </w:p>
    <w:p w14:paraId="1F785278" w14:textId="0FBE0C15" w:rsidR="009F092F" w:rsidRDefault="009F092F" w:rsidP="002478C1">
      <w:pPr>
        <w:jc w:val="both"/>
        <w:rPr>
          <w:sz w:val="24"/>
          <w:szCs w:val="24"/>
          <w:rFonts w:ascii="Arial" w:eastAsia="Arial" w:hAnsi="Arial" w:cs="Arial"/>
        </w:rPr>
      </w:pPr>
      <w:r>
        <w:rPr>
          <w:sz w:val="24"/>
          <w:szCs w:val="24"/>
          <w:rFonts w:ascii="Arial" w:hAnsi="Arial"/>
        </w:rPr>
        <w:t xml:space="preserve">ap) „narzędzia połowowe” oznaczają sprzęt wykorzystywany w rybołówstwie lub akwakulturze w celu lokalizowania, chwytania lub hodowli żywych zasobów morza lub sprzęt pływający na powierzchni morza i stosowany do wabienia i chwytania lub hodowli takich żywych zasobów morza;</w:t>
      </w:r>
    </w:p>
    <w:p w14:paraId="0BFEBE26" w14:textId="0EE6A897" w:rsidR="0F588873" w:rsidRDefault="009F092F" w:rsidP="002478C1">
      <w:pPr>
        <w:spacing w:line="257" w:lineRule="auto"/>
        <w:jc w:val="both"/>
        <w:rPr>
          <w:sz w:val="24"/>
          <w:szCs w:val="24"/>
          <w:rFonts w:ascii="Arial" w:eastAsia="Arial" w:hAnsi="Arial" w:cs="Arial"/>
        </w:rPr>
      </w:pPr>
      <w:r>
        <w:rPr>
          <w:sz w:val="24"/>
          <w:szCs w:val="24"/>
          <w:rFonts w:ascii="Arial" w:hAnsi="Arial"/>
        </w:rPr>
        <w:t xml:space="preserve">aq) „portowe urządzenia do odbioru odpadów” oznaczają portowe urządzenia do odbioru odpadów zgodnie z definicją zawartą w dekrecie królewskim nr 1381/2002 z dnia 20 grudnia w sprawie portowych urządzeń do odbioru odpadów wytwarzanych przez statki i pozostałości ładunku;</w:t>
      </w:r>
    </w:p>
    <w:p w14:paraId="77247FCA" w14:textId="367404E2" w:rsidR="0F588873" w:rsidRDefault="009F092F" w:rsidP="002478C1">
      <w:pPr>
        <w:jc w:val="both"/>
        <w:rPr>
          <w:sz w:val="24"/>
          <w:szCs w:val="24"/>
          <w:rFonts w:ascii="Arial" w:eastAsia="Arial" w:hAnsi="Arial" w:cs="Arial"/>
        </w:rPr>
      </w:pPr>
      <w:r>
        <w:rPr>
          <w:sz w:val="24"/>
          <w:szCs w:val="24"/>
          <w:rFonts w:ascii="Arial" w:hAnsi="Arial"/>
        </w:rPr>
        <w:t xml:space="preserve">ar) „wyroby tytoniowe” oznaczają wyroby tytoniowe w rozumieniu art. 3 lit. ac) dekretu królewskiego nr 579/2017 z dnia 9 czerwca w sprawie uregulowania określonych kwestii związanych z produkcją, prezentowaniem i wprowadzaniem do obrotu wyrobów tytoniowych i wyrobów powiązanych;</w:t>
      </w:r>
    </w:p>
    <w:p w14:paraId="2ACA4D50" w14:textId="59C7C11B" w:rsidR="0F588873" w:rsidRDefault="009F092F" w:rsidP="002478C1">
      <w:pPr>
        <w:jc w:val="both"/>
        <w:rPr>
          <w:sz w:val="24"/>
          <w:szCs w:val="24"/>
          <w:rFonts w:ascii="Arial" w:eastAsia="Arial" w:hAnsi="Arial" w:cs="Arial"/>
        </w:rPr>
      </w:pPr>
      <w:r>
        <w:rPr>
          <w:sz w:val="24"/>
          <w:szCs w:val="24"/>
          <w:rFonts w:ascii="Arial" w:hAnsi="Arial"/>
        </w:rPr>
        <w:t xml:space="preserve">as) „wprowadzenie do obrotu” oznacza udostępnienie produktu na rynku krajowym po raz pierwszy;</w:t>
      </w:r>
    </w:p>
    <w:p w14:paraId="735C131E" w14:textId="0E8A8541" w:rsidR="0F588873" w:rsidRDefault="009F092F" w:rsidP="002478C1">
      <w:pPr>
        <w:jc w:val="both"/>
        <w:rPr>
          <w:sz w:val="24"/>
          <w:szCs w:val="24"/>
          <w:rFonts w:ascii="Arial" w:eastAsia="Arial" w:hAnsi="Arial" w:cs="Arial"/>
        </w:rPr>
      </w:pPr>
      <w:r>
        <w:rPr>
          <w:sz w:val="24"/>
          <w:szCs w:val="24"/>
          <w:rFonts w:ascii="Arial" w:hAnsi="Arial"/>
        </w:rPr>
        <w:t xml:space="preserve">at) „udostępnienie produktu na rynku” oznacza każde dostarczenie produktu w celu jego dystrybucji, konsumpcji lub używania na rynku krajowym w ramach działalności handlowej, odpłatnie lub nieodpłatnie;</w:t>
      </w:r>
    </w:p>
    <w:p w14:paraId="59EADF24" w14:textId="538656F0" w:rsidR="0F588873" w:rsidRDefault="009F092F" w:rsidP="002478C1">
      <w:pPr>
        <w:jc w:val="both"/>
        <w:rPr>
          <w:sz w:val="24"/>
          <w:szCs w:val="24"/>
          <w:rFonts w:ascii="Arial" w:eastAsia="Arial" w:hAnsi="Arial" w:cs="Arial"/>
        </w:rPr>
      </w:pPr>
      <w:r>
        <w:rPr>
          <w:sz w:val="24"/>
          <w:szCs w:val="24"/>
          <w:rFonts w:ascii="Arial" w:hAnsi="Arial"/>
        </w:rPr>
        <w:t xml:space="preserve">au) „zanieczyszczona gleba” oznacza glebę, na której cechy wpłynęła niekorzystnie obecność substancji chemicznych o charakterze niebezpiecznym pochodzących z działalności człowieka w stężeniu stanowiącym niedopuszczalne zagrożenie dla zdrowia człowieka lub środowiska, zgodnie z kryteriami i normami określonymi przez rząd i ogłoszonymi w drodze wyraźnej decyzji;</w:t>
      </w:r>
    </w:p>
    <w:p w14:paraId="62DFF878" w14:textId="7E1AB655" w:rsidR="0F588873" w:rsidRDefault="009F092F" w:rsidP="002478C1">
      <w:pPr>
        <w:jc w:val="both"/>
        <w:rPr>
          <w:sz w:val="24"/>
          <w:szCs w:val="24"/>
          <w:rFonts w:ascii="Arial" w:eastAsia="Arial" w:hAnsi="Arial" w:cs="Arial"/>
        </w:rPr>
      </w:pPr>
      <w:r>
        <w:rPr>
          <w:sz w:val="24"/>
          <w:szCs w:val="24"/>
          <w:rFonts w:ascii="Arial" w:hAnsi="Arial"/>
        </w:rPr>
        <w:t xml:space="preserve">av) „norma zharmonizowana” oznacza normę zharmonizowaną zgodnie z definicją w art. 2 pkt 1 lit. c)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(Tekst mający znaczenie dla EOG);</w:t>
      </w:r>
    </w:p>
    <w:p w14:paraId="71F9E11C" w14:textId="15DC75F2" w:rsidR="4B897C5B" w:rsidRPr="0046140C" w:rsidRDefault="009F092F" w:rsidP="002478C1">
      <w:pPr>
        <w:jc w:val="both"/>
        <w:rPr>
          <w:sz w:val="24"/>
          <w:szCs w:val="24"/>
          <w:rFonts w:ascii="Arial" w:hAnsi="Arial"/>
        </w:rPr>
      </w:pPr>
      <w:r>
        <w:rPr>
          <w:sz w:val="24"/>
          <w:rFonts w:ascii="Arial" w:hAnsi="Arial"/>
        </w:rPr>
        <w:t xml:space="preserve">aw) „właściwy organ” oznacz organ odpowiadający za realizację zadań przewidzianych w niniejszej ustawie, wskazany we właściwym zakresie kompetencji przez rząd i organy administracji publicznej: organy Generalnej Administracji Państwowej, wspólnoty autonomiczne, a także miasta Ceuta i Melilla, do celów wykonania niniejszej ustawy, rządy autonomiczne i samorządy lokalne, zgodnie z przepisami art.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b/>
          <w:i/>
          <w:sz w:val="24"/>
          <w:rFonts w:ascii="Arial" w:hAnsi="Arial"/>
        </w:rPr>
      </w:pPr>
      <w:r>
        <w:rPr>
          <w:b/>
          <w:sz w:val="24"/>
          <w:rFonts w:ascii="Arial" w:hAnsi="Arial"/>
        </w:rPr>
        <w:t xml:space="preserve">Artykuł 3.</w:t>
      </w:r>
      <w:r>
        <w:rPr>
          <w:b/>
          <w:sz w:val="24"/>
          <w:rFonts w:ascii="Arial" w:hAnsi="Arial"/>
        </w:rPr>
        <w:t xml:space="preserve"> </w:t>
      </w:r>
      <w:r>
        <w:rPr>
          <w:b/>
          <w:sz w:val="24"/>
          <w:i/>
          <w:rFonts w:ascii="Arial" w:hAnsi="Arial"/>
        </w:rPr>
        <w:t xml:space="preserve">Zakres stosowania.</w:t>
      </w:r>
    </w:p>
    <w:p w14:paraId="17C04B48" w14:textId="2F2308DB"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Niniejsza ustawa ma zastosowanie do:</w:t>
      </w:r>
    </w:p>
    <w:p w14:paraId="4714D97B"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a) wszystkich rodzajów odpadów, z uwzględnieniem wyjątków wymienionych w ust. 2 i 3;</w:t>
      </w:r>
      <w:r>
        <w:rPr>
          <w:sz w:val="24"/>
          <w:rFonts w:ascii="Arial" w:hAnsi="Arial"/>
        </w:rPr>
        <w:t xml:space="preserve"> </w:t>
      </w:r>
    </w:p>
    <w:p w14:paraId="05E812BD"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b) produktów jednorazowego użytku z tworzyw sztucznych wymienionych w załączniku I; dowolnego produktu wytworzonego z oksydegradowalnego tworzywa sztucznego i narzędzi połowowych zawierających tworzywa sztuczne.</w:t>
      </w:r>
      <w:r>
        <w:rPr>
          <w:sz w:val="24"/>
          <w:rFonts w:ascii="Arial" w:hAnsi="Arial"/>
        </w:rPr>
        <w:t xml:space="preserve"> </w:t>
      </w:r>
      <w:r>
        <w:rPr>
          <w:sz w:val="24"/>
          <w:rFonts w:ascii="Arial" w:hAnsi="Arial"/>
        </w:rPr>
        <w:t xml:space="preserve">Jeśli środki ustanowione w odniesieniu do tych produktów z tworzywa sztucznego stoją w sprzeczności z pozostałymi przepisami ustanowionymi w niniejszej ustawie lub w przepisach dotyczących opakowań, pierwszeństwo mają środki ustanowione w niniejszej ustawie w odniesieniu do tych produktów z tworzyw sztucznych;</w:t>
      </w:r>
    </w:p>
    <w:p w14:paraId="332381FA"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c) zanieczyszczonej gleby, która podlega przepisom tytułu VI o zanieczyszczonej glebie.</w:t>
      </w:r>
    </w:p>
    <w:p w14:paraId="743E18D4" w14:textId="2D5E140D" w:rsidR="003F66C3" w:rsidRPr="00512B74" w:rsidRDefault="00512B74"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Niniejsza ustawa nie ma zastosowania do:</w:t>
      </w:r>
    </w:p>
    <w:p w14:paraId="0D4B6206"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emisji do atmosfery regulowanych ustawą nr 34/2007 z dnia 15 listopada w sprawie jakości powietrza i ochrony atmosfery, a także dwutlenku węgla wychwytywanego i transportowanego dla celów geologicznego składowania i rzeczywiście składowanego w formacjach geologicznych zgodnie z ustawą nr 40/2010 z dnia 29 grudnia o geologicznym składowaniu dwutlenku węgla.</w:t>
      </w:r>
      <w:r>
        <w:rPr>
          <w:sz w:val="24"/>
          <w:rFonts w:ascii="Arial" w:hAnsi="Arial"/>
        </w:rPr>
        <w:t xml:space="preserve"> </w:t>
      </w:r>
      <w:r>
        <w:rPr>
          <w:sz w:val="24"/>
          <w:rFonts w:ascii="Arial" w:hAnsi="Arial"/>
        </w:rPr>
        <w:t xml:space="preserve">Ustawa nie ma również zastosowania do geologicznego składowania dwutlenku węgla dla celów badań, rozwoju lub testowania nowych produktów i procesów, w ramach którego planuje się łączne składowanie mniej niż 100 kiloton;</w:t>
      </w:r>
    </w:p>
    <w:p w14:paraId="1FFC2DF7" w14:textId="6EE526FE" w:rsidR="003F66C3" w:rsidRPr="005649E3" w:rsidRDefault="003F66C3" w:rsidP="002478C1">
      <w:pPr>
        <w:spacing w:before="120" w:after="120" w:line="240" w:lineRule="auto"/>
        <w:jc w:val="both"/>
        <w:rPr>
          <w:sz w:val="24"/>
          <w:rFonts w:ascii="Arial" w:hAnsi="Arial"/>
        </w:rPr>
      </w:pPr>
      <w:r>
        <w:rPr>
          <w:sz w:val="24"/>
          <w:rFonts w:ascii="Arial" w:hAnsi="Arial"/>
        </w:rPr>
        <w:t xml:space="preserve">b) niezanieczyszczonej gleby i innych materiałów występujących w stanie naturalnym, wydobytych w trakcie prac budowlanych, jeżeli jest pewne, że materiały te zostaną wykorzystane do celów budowlanych w stanie naturalnym w miejscu lub obiekcie budowlanym, w których zostały wydobyte;</w:t>
      </w:r>
    </w:p>
    <w:p w14:paraId="287C0F89"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odpadów promieniotwórczych;</w:t>
      </w:r>
    </w:p>
    <w:p w14:paraId="3A6CB417"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d) zdetonowanych materiałów wybuchowych;</w:t>
      </w:r>
    </w:p>
    <w:p w14:paraId="7745AE7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odchodów, jeżeli nie są objęte ust. 2 lit. b), słomy i innych materiałów naturalnych niebędących niebezpiecznymi substancji pochodzących z produkcji rolniczej lub leśnej, które są wykorzystywane w gospodarstwach rolnych i hodowlanych, leśnictwie lub do produkcji energii z takiej biomasy za pomocą procesów lub metod, które nie są szkodliwe dla środowiska ani nie stanowią zagrożenia dla zdrowia ludzkiego.</w:t>
      </w:r>
    </w:p>
    <w:p w14:paraId="474322CF"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Niniejsza ustawa nie ma zastosowania do odpadów wymienionych poniżej w kwestiach już uregulowanych w innym przepisie wspólnotowym lub krajowym włączającym do hiszpańskiego porządku prawnego przepisy wspólnotowe:</w:t>
      </w:r>
    </w:p>
    <w:p w14:paraId="759B4AB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a) ścieki;</w:t>
      </w:r>
    </w:p>
    <w:p w14:paraId="618E67C8"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b) produkty uboczne pochodzenia zwierzęcego objęte zakresem rozporządzenia Parlamentu Europejskiego i Rady (WE) nr 1069/2009 z dnia 21 października 2009 r. określającego przepisy sanitarne dotyczące produktów ubocznych pochodzenia zwierzęcego, nieprzeznaczonych do spożycia przez ludzi, i uchylającego rozporządzenie (WE) nr 1774/2002.</w:t>
      </w:r>
      <w:r>
        <w:rPr>
          <w:sz w:val="24"/>
          <w:rFonts w:ascii="Arial" w:hAnsi="Arial"/>
        </w:rPr>
        <w:t xml:space="preserve"> </w:t>
      </w:r>
    </w:p>
    <w:p w14:paraId="2F305613" w14:textId="77777777" w:rsidR="003F66C3" w:rsidRPr="006B1639" w:rsidRDefault="003F66C3" w:rsidP="002478C1">
      <w:pPr>
        <w:spacing w:before="120" w:after="120" w:line="240" w:lineRule="auto"/>
        <w:jc w:val="both"/>
        <w:rPr>
          <w:sz w:val="24"/>
          <w:rFonts w:ascii="Arial" w:hAnsi="Arial"/>
        </w:rPr>
      </w:pPr>
      <w:r>
        <w:rPr>
          <w:sz w:val="24"/>
          <w:rFonts w:ascii="Arial" w:hAnsi="Arial"/>
        </w:rPr>
        <w:t xml:space="preserve">Nie są objęte niniejszym wyjątkiem, a co za tym idzie, podlegają regulacji niniejszą ustawą, produkty uboczne pochodzenia zwierzęcego i produkty pochodne przeznaczone do spalenia jako odpady, usunięcia na składowisko odpadów lub wykorzystania w wytwórni biogazu, kompostowni lub wytwórni paliw;</w:t>
      </w:r>
    </w:p>
    <w:p w14:paraId="6C62D863"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c) zwłoki zwierząt, które poniosły śmierć w inny sposób niż przez ubój, w tym zwierząt uśmierconych w celu wyeliminowania chorób epizootycznych, i które są unieszkodliwiane zgodnie z rozporządzeniem Parlamentu Europejskiego i Rady (WE) nr 1069/2009 z dnia 21 października 2009 r.;</w:t>
      </w:r>
      <w:r>
        <w:rPr>
          <w:sz w:val="24"/>
          <w:rFonts w:ascii="Arial" w:hAnsi="Arial"/>
        </w:rPr>
        <w:t xml:space="preserve"> </w:t>
      </w:r>
    </w:p>
    <w:p w14:paraId="271444BA" w14:textId="530DC7DD" w:rsidR="003F66C3" w:rsidRPr="005649E3" w:rsidRDefault="003F66C3" w:rsidP="002478C1">
      <w:pPr>
        <w:spacing w:before="120" w:after="120" w:line="240" w:lineRule="auto"/>
        <w:jc w:val="both"/>
        <w:rPr>
          <w:sz w:val="24"/>
          <w:rFonts w:ascii="Arial" w:hAnsi="Arial"/>
        </w:rPr>
      </w:pPr>
      <w:r>
        <w:rPr>
          <w:sz w:val="24"/>
          <w:rFonts w:ascii="Arial" w:hAnsi="Arial"/>
        </w:rPr>
        <w:t xml:space="preserve">d) odpady powstałe w wyniku poszukiwania, wydobywania, przetwarzania i składowania zasobów mineralnych oraz z działalności odkrywkowej, zgodnie z dekretem królewskim nr 975/2009 z dnia 12 czerwca w sprawie gospodarowania odpadami pochodzącymi z przemysłu wydobywczego oraz ochrony i rehabilitacji terenów zniszczonych w wyniku działalności górniczej;</w:t>
      </w:r>
    </w:p>
    <w:p w14:paraId="4F9D69AA" w14:textId="77777777" w:rsidR="003F66C3" w:rsidRPr="005649E3" w:rsidRDefault="003F66C3" w:rsidP="002478C1">
      <w:pPr>
        <w:spacing w:before="120" w:after="120" w:line="240" w:lineRule="auto"/>
        <w:jc w:val="both"/>
        <w:rPr>
          <w:sz w:val="24"/>
          <w:rFonts w:ascii="Arial" w:hAnsi="Arial"/>
        </w:rPr>
      </w:pPr>
      <w:r>
        <w:rPr>
          <w:sz w:val="24"/>
          <w:rFonts w:ascii="Arial" w:hAnsi="Arial"/>
        </w:rPr>
        <w:t xml:space="preserve">e) substancje niebędące produktami ubocznymi pochodzenia zwierzęcego ani ich niezawierające, przeznaczone do wykorzystania jako surowce do produkcji pasz zgodnie z definicją w art. 3 ust. 2 lit. g) rozporządzenia Parlamentu Europejskiego i Rady (WE) nr 767/2009 z dnia 13 lipca 2009 r. w sprawie wprowadzania na rynek i stosowania pasz, zmieniającego rozporządzenie (WE) nr 1831/2003 Parlamentu Europejskiego i Rady i uchylającego dyrektywę Rady 79/373/EWG, dyrektywę Komisji 80/511/EWG, dyrektywy Rady 82/471/EWG, 83/228/EWG, 93/74/EWG, 93/113/WE i 96/25/WE oraz decyzję Komisji 2004/217/WE.</w:t>
      </w:r>
      <w:r>
        <w:rPr>
          <w:sz w:val="24"/>
          <w:rFonts w:ascii="Arial" w:hAnsi="Arial"/>
        </w:rPr>
        <w:t xml:space="preserve"> </w:t>
      </w:r>
    </w:p>
    <w:p w14:paraId="17FACEC9" w14:textId="565DBC83" w:rsidR="00AD084A" w:rsidRPr="005649E3" w:rsidRDefault="003F66C3"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Bez uszczerbku dla zobowiązań wynikających z mających zastosowanie szczegółowych przepisów, z zakresu stosowania niniejszej ustawy wyłącza się osady, jeżeli zostanie wykazane, że nie są one niebezpieczne, zgodnie z wytycznymi zatwierdzonymi przez rząd, zgodnie z przepisami art. 4 ust. 2 ustawy nr 41/2010 z dnia 29 grudnia o ochronie środowiska morskiego, przemieszczane w obrębie wód powierzchniowych w celu związanym z gospodarowaniem wodami i drogami wodnymi, tworzeniem nowych terenów lub zapobieganiem powodziom, bądź ograniczaniem skutków powodzi i susz.</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b/>
          <w:i/>
          <w:sz w:val="24"/>
          <w:rFonts w:ascii="Arial" w:hAnsi="Arial"/>
        </w:rPr>
      </w:pPr>
      <w:r>
        <w:rPr>
          <w:b/>
          <w:sz w:val="24"/>
          <w:rFonts w:ascii="Arial" w:hAnsi="Arial"/>
        </w:rPr>
        <w:t xml:space="preserve">Artykuł 17.</w:t>
      </w:r>
      <w:r>
        <w:rPr>
          <w:b/>
          <w:sz w:val="24"/>
          <w:rFonts w:ascii="Arial" w:hAnsi="Arial"/>
        </w:rPr>
        <w:t xml:space="preserve"> </w:t>
      </w:r>
      <w:r>
        <w:rPr>
          <w:b/>
          <w:sz w:val="24"/>
          <w:i/>
          <w:rFonts w:ascii="Arial" w:hAnsi="Arial"/>
        </w:rPr>
        <w:t xml:space="preserve">Cele zapobiegania powstawaniu odpadów.</w:t>
      </w:r>
    </w:p>
    <w:p w14:paraId="1612F68D" w14:textId="2A288615" w:rsidR="00570081" w:rsidRPr="00D53AB1" w:rsidRDefault="00570081"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W celu przerwania powiązania pomiędzy wzrostem gospodarczym a wpływem na środowisko związanym z wytwarzaniem odpadów politykę zapobiegania powstawaniu odpadów należy ukierunkować na realizację celu, jakim jest ograniczenie masy wytwarzanych odpadów, według następującego terminarza:</w:t>
      </w:r>
    </w:p>
    <w:p w14:paraId="407B0EEC" w14:textId="031753E5" w:rsidR="00570081" w:rsidRPr="00D53AB1" w:rsidRDefault="00570081" w:rsidP="002478C1">
      <w:pPr>
        <w:spacing w:before="120" w:after="120" w:line="240" w:lineRule="auto"/>
        <w:jc w:val="both"/>
        <w:rPr>
          <w:sz w:val="24"/>
          <w:rFonts w:ascii="Arial" w:hAnsi="Arial"/>
        </w:rPr>
      </w:pPr>
      <w:r>
        <w:rPr>
          <w:sz w:val="24"/>
          <w:rFonts w:ascii="Arial" w:hAnsi="Arial"/>
        </w:rPr>
        <w:t xml:space="preserve">a) w 2020 r. o 10% w stosunku do wytworzonych w 2010 r.;</w:t>
      </w:r>
    </w:p>
    <w:p w14:paraId="2049B7D8" w14:textId="089AEE9A" w:rsidR="00570081" w:rsidRPr="00D53AB1" w:rsidRDefault="00570081" w:rsidP="002478C1">
      <w:pPr>
        <w:spacing w:before="120" w:after="120" w:line="240" w:lineRule="auto"/>
        <w:jc w:val="both"/>
        <w:rPr>
          <w:sz w:val="24"/>
          <w:rFonts w:ascii="Arial" w:hAnsi="Arial"/>
        </w:rPr>
      </w:pPr>
      <w:r>
        <w:rPr>
          <w:sz w:val="24"/>
          <w:rFonts w:ascii="Arial" w:hAnsi="Arial"/>
        </w:rPr>
        <w:t xml:space="preserve">b) w 2025 r. o 13% w stosunku do wytworzonych w 2010 r.;</w:t>
      </w:r>
    </w:p>
    <w:p w14:paraId="4B5954FE" w14:textId="3AC03448" w:rsidR="00A741A0" w:rsidRPr="00D53AB1" w:rsidRDefault="00570081" w:rsidP="002478C1">
      <w:pPr>
        <w:spacing w:before="120" w:after="120" w:line="240" w:lineRule="auto"/>
        <w:jc w:val="both"/>
        <w:rPr>
          <w:sz w:val="24"/>
          <w:rFonts w:ascii="Arial" w:hAnsi="Arial"/>
        </w:rPr>
      </w:pPr>
      <w:r>
        <w:rPr>
          <w:sz w:val="24"/>
          <w:rFonts w:ascii="Arial" w:hAnsi="Arial"/>
        </w:rPr>
        <w:t xml:space="preserve">c) w 2030 r. o 15% w stosunku do wytworzonych w 2010 r.</w:t>
      </w:r>
    </w:p>
    <w:p w14:paraId="4640BE0D" w14:textId="6A501898" w:rsidR="00A741A0" w:rsidRPr="00D53AB1" w:rsidRDefault="00570081"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Na potrzeby realizacji celów określonych w poprzednim ustępie rząd, na podstawie dostępnych informacji, może ustanowić przepisami szczegółowe cele zapobiegania dla określonych produktów.</w:t>
      </w:r>
    </w:p>
    <w:p w14:paraId="2B7E2E3C" w14:textId="0A639C3C" w:rsidR="000A339B" w:rsidRPr="00D53AB1" w:rsidRDefault="000348A6"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Od 2021 r. zakazuje się niszczenia niesprzedanych nadwyżek produktów niepsujących się łatwo, takich jak między innymi materiały włókiennicze, zabawki, urządzenia elektryczne, z wyjątkiem sytuacji, gdy produkty te należy zniszczyć na podstawie innego przepisu.</w:t>
      </w:r>
      <w:r>
        <w:rPr>
          <w:sz w:val="24"/>
          <w:rFonts w:ascii="Arial" w:hAnsi="Arial"/>
        </w:rPr>
        <w:t xml:space="preserve"> </w:t>
      </w:r>
    </w:p>
    <w:p w14:paraId="39B451F7" w14:textId="2D5C18E8" w:rsidR="006F0C49" w:rsidRPr="00D53AB1" w:rsidRDefault="000348A6"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W celu ograniczenia zużycia opakowań organy administracji publicznej przyjmują konieczne środki, aby zmniejszyć zużycie wody butelkowanej w swoich oddziałach, między innymi poprzez promowanie korzystania ze źródeł wody pitnej w warunkach gwarantujących higienę i bezpieczeństwo żywnościowe, dostarczanie wody w opakowaniach wielorazowego użytku, bez uszczerbku dla dopuszczenia wprowadzania do obrotu opakowań jednorazowego użytku w placówkach opieki zdrowotnej i edukacyjnych.</w:t>
      </w:r>
      <w:r>
        <w:rPr>
          <w:sz w:val="24"/>
          <w:rFonts w:ascii="Arial" w:hAnsi="Arial"/>
        </w:rPr>
        <w:t xml:space="preserve"> </w:t>
      </w:r>
    </w:p>
    <w:p w14:paraId="016FD112" w14:textId="685764CA" w:rsidR="006F0C49" w:rsidRPr="00D53AB1" w:rsidRDefault="00E5579B" w:rsidP="002478C1">
      <w:pPr>
        <w:spacing w:before="120" w:after="120" w:line="240" w:lineRule="auto"/>
        <w:jc w:val="both"/>
        <w:rPr>
          <w:sz w:val="24"/>
          <w:rFonts w:ascii="Arial" w:hAnsi="Arial"/>
        </w:rPr>
      </w:pPr>
      <w:r>
        <w:rPr>
          <w:sz w:val="24"/>
          <w:rFonts w:ascii="Arial" w:hAnsi="Arial"/>
        </w:rPr>
        <w:t xml:space="preserve">W tym samym celu w obiektach sektora hotelarskiego i gastronomicznego zawsze należy oferować konsumentom, klientom lub osobom korzystającym z ich usług możliwość nieodpłatnego spożywania wody niebutelkowanej w uzupełnieniu do oferty tego samego obiektu, pod warunkiem że organ administracji lokalnej lub przedsiębiorstwo dostarczające wodę gwarantuje, że woda jest zdatna do spożycia przez ludzi i w związku z tym spełnia wymagane warunki zdrowotne.</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b/>
          <w:sz w:val="24"/>
          <w:rFonts w:ascii="Arial" w:hAnsi="Arial"/>
        </w:rPr>
      </w:pPr>
      <w:r>
        <w:rPr>
          <w:b/>
          <w:sz w:val="24"/>
          <w:rFonts w:ascii="Arial" w:hAnsi="Arial"/>
        </w:rPr>
        <w:t xml:space="preserve">TYTUŁ V</w:t>
      </w:r>
    </w:p>
    <w:p w14:paraId="4F89AFA3" w14:textId="7C5FA881" w:rsidR="00905B3C" w:rsidRPr="00034253" w:rsidRDefault="000644F0" w:rsidP="00512B74">
      <w:pPr>
        <w:keepNext/>
        <w:keepLines/>
        <w:spacing w:before="120" w:after="120" w:line="240" w:lineRule="auto"/>
        <w:jc w:val="center"/>
        <w:rPr>
          <w:b/>
          <w:sz w:val="24"/>
          <w:rFonts w:ascii="Arial" w:hAnsi="Arial"/>
        </w:rPr>
      </w:pPr>
      <w:r>
        <w:rPr>
          <w:b/>
          <w:sz w:val="24"/>
          <w:rFonts w:ascii="Arial" w:hAnsi="Arial"/>
        </w:rPr>
        <w:t xml:space="preserve">Ograniczenie wpływu określonych produktów z tworzyw sztucznych na środowisko</w:t>
      </w:r>
      <w:r>
        <w:rPr>
          <w:b/>
          <w:sz w:val="24"/>
          <w:rFonts w:ascii="Arial" w:hAnsi="Arial"/>
        </w:rPr>
        <w:t xml:space="preserve">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b/>
          <w:i/>
          <w:sz w:val="24"/>
          <w:rFonts w:ascii="Arial" w:hAnsi="Arial"/>
        </w:rPr>
      </w:pPr>
      <w:r>
        <w:rPr>
          <w:b/>
          <w:sz w:val="24"/>
          <w:rFonts w:ascii="Arial" w:hAnsi="Arial"/>
        </w:rPr>
        <w:t xml:space="preserve">Artykuł 40.</w:t>
      </w:r>
      <w:r>
        <w:rPr>
          <w:b/>
          <w:sz w:val="24"/>
          <w:rFonts w:ascii="Arial" w:hAnsi="Arial"/>
        </w:rPr>
        <w:t xml:space="preserve"> </w:t>
      </w:r>
      <w:r>
        <w:rPr>
          <w:b/>
          <w:sz w:val="24"/>
          <w:i/>
          <w:rFonts w:ascii="Arial" w:hAnsi="Arial"/>
        </w:rPr>
        <w:t xml:space="preserve">Ograniczenie zużycia określonych produktów jednorazowego użytku z tworzyw sztucznych.</w:t>
      </w:r>
    </w:p>
    <w:p w14:paraId="35998CA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W odniesieniu do produktów jednorazowego użytku z tworzyw sztucznych ujętych w załączniku IV część A ustanawia się następujący terminarz ograniczenia wprowadzania do obrotu:</w:t>
      </w:r>
    </w:p>
    <w:p w14:paraId="5EB586E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w 2026 r. należy osiągnąć ograniczenie wagowe o 50% w stosunku do 2022 r.;</w:t>
      </w:r>
      <w:r>
        <w:rPr>
          <w:sz w:val="24"/>
          <w:rFonts w:ascii="Arial" w:hAnsi="Arial"/>
        </w:rPr>
        <w:t xml:space="preserve"> </w:t>
      </w:r>
    </w:p>
    <w:p w14:paraId="7506555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w 2030 r. należy osiągnąć ograniczenie wagowe o 70% w stosunku do 2022 r.</w:t>
      </w:r>
      <w:r>
        <w:rPr>
          <w:sz w:val="24"/>
          <w:rFonts w:ascii="Arial" w:hAnsi="Arial"/>
        </w:rPr>
        <w:t xml:space="preserve"> </w:t>
      </w:r>
    </w:p>
    <w:p w14:paraId="0F05C920"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Z zamiarem realizacji powyższych celów wszystkie podmioty zaangażowane we wprowadzanie do obrotu promują korzystanie z alternatywnych rozwiązań wielorazowego użytku lub innych materiałów niż tworzywa sztuczne.</w:t>
      </w:r>
      <w:r>
        <w:rPr>
          <w:sz w:val="24"/>
          <w:rFonts w:ascii="Arial" w:hAnsi="Arial"/>
        </w:rPr>
        <w:t xml:space="preserve"> </w:t>
      </w:r>
      <w:r>
        <w:rPr>
          <w:sz w:val="24"/>
          <w:rFonts w:ascii="Arial" w:hAnsi="Arial"/>
        </w:rPr>
        <w:t xml:space="preserve">W każdym przypadku od dnia 1 stycznia 2023 r. jest pobierana opłata za każdy produkt z tworzywa sztucznego dostarczany konsumentowi; opłatę wyróżnia się na paragonie.</w:t>
      </w:r>
    </w:p>
    <w:p w14:paraId="6C017929"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Ministerstwo ds. Transformacji Ekologicznej i Wyzwań Demograficznych monitoruje ograniczenie zużycia tych produktów i w zależności od wyników może zaproponować rewizję powyższego terminarza i inne możliwe sposoby ograniczenia ich zużycia, co odbędzie się poprzez przyjęcie odpowiednich przepisów.</w:t>
      </w:r>
      <w:r>
        <w:rPr>
          <w:sz w:val="24"/>
          <w:rFonts w:ascii="Arial" w:hAnsi="Arial"/>
        </w:rPr>
        <w:t xml:space="preserve"> </w:t>
      </w:r>
      <w:r>
        <w:rPr>
          <w:sz w:val="24"/>
          <w:rFonts w:ascii="Arial" w:hAnsi="Arial"/>
        </w:rPr>
        <w:t xml:space="preserve">Środki te będą miały charakter proporcjonalny i niedyskryminacyjny i zostaną zgłoszone Komisji Europejskiej zgodnie z dekretem królewskim nr 1337/1999 z dnia 31 lipca w celu spełnienia wymagań dyrektywy (UE) 2015/1535 Parlamentu Europejskiego i Rady z dnia 9 września 2015 r.</w:t>
      </w:r>
      <w:r>
        <w:rPr>
          <w:sz w:val="24"/>
          <w:rFonts w:ascii="Arial" w:hAnsi="Arial"/>
        </w:rPr>
        <w:t xml:space="preserve"> </w:t>
      </w:r>
    </w:p>
    <w:p w14:paraId="0F91FE01"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Pojemniki na żywność uważa się za produkt jednorazowego użytku z tworzyw sztucznych, jeśli, oprócz spełniania kryteriów wymienionych w ich definicji, decydujące znaczenie ma ich tendencja do przekształcania się w odpady rozproszone ze względu na ich objętość lub rozmiar, w szczególności indywidualnych porcji.</w:t>
      </w:r>
      <w:r>
        <w:rPr>
          <w:sz w:val="24"/>
          <w:rFonts w:ascii="Arial" w:hAnsi="Arial"/>
        </w:rPr>
        <w:t xml:space="preserve"> </w:t>
      </w:r>
      <w:r>
        <w:rPr>
          <w:sz w:val="24"/>
          <w:rFonts w:ascii="Arial" w:hAnsi="Arial"/>
        </w:rPr>
        <w:t xml:space="preserve">Do tego celu wykorzystuje się informacje wynikające z zastosowania przepisów art. 18 ust. 1 lit. k).</w:t>
      </w:r>
    </w:p>
    <w:p w14:paraId="6ECA1340"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Jeśli chodzi o tacki z tworzywa sztucznego będące opakowaniami i niepodlegające załącznikowi IV, produkty jednodawkowe w opakowaniach z tworzywa sztucznego, pierścienie z tworzywa sztucznego umożliwiające połączenie wielu opakowań jednostkowych i patyczki z tworzywa sztucznego używane w sektorze spożywczym do trzymania produktu (patyczki do cukierków, lodów i innych produktów), w każdym przypadku wykonane z niekompostowalnego tworzywa sztucznego, podmioty zaangażowane w ich wprowadzanie do obrotu dążą do ograniczenia ich zużycia poprzez zastępowanie tych produktów z tworzywa sztucznego alternatywnymi rozwiązaniami wielorazowego użytku i innymi materiałami, takimi jak między innymi kompostowalne tworzywo sztuczne, drewno, papier lub tektura.</w:t>
      </w:r>
      <w:r>
        <w:rPr>
          <w:sz w:val="24"/>
          <w:rFonts w:ascii="Arial" w:hAnsi="Arial"/>
        </w:rPr>
        <w:t xml:space="preserve"> </w:t>
      </w:r>
    </w:p>
    <w:p w14:paraId="59516281" w14:textId="77777777" w:rsidR="009F092F" w:rsidRPr="00FD4230" w:rsidRDefault="009F092F" w:rsidP="002478C1">
      <w:pPr>
        <w:spacing w:before="120" w:after="120" w:line="240" w:lineRule="auto"/>
        <w:jc w:val="both"/>
        <w:rPr>
          <w:sz w:val="24"/>
          <w:rFonts w:ascii="Arial" w:hAnsi="Arial"/>
        </w:rPr>
      </w:pPr>
      <w:r>
        <w:rPr>
          <w:sz w:val="24"/>
          <w:rFonts w:ascii="Arial" w:hAnsi="Arial"/>
        </w:rPr>
        <w:t xml:space="preserve">Ministerstwo ds. Transformacji Ekologicznej i Wyzwań Demograficznych monitoruje ograniczenie zużycia tych produktów i w zależności od wyników może ustanowić przepisowo inne środki mające na celu znaczące ograniczenie ich zużycia, w szczególności terminarz ograniczania.</w:t>
      </w:r>
    </w:p>
    <w:p w14:paraId="223CCA0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Ministerstwo ds. Transformacji Ekologicznej i Wyzwań Demograficznych opracuje, przed dniem 3 lipca 2021 r., sprawozdanie na temat wszystkich środków przyjętych na podstawie niniejszego artykułu, przekaże je Komisji i udostępni opinii publicznej.</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b/>
          <w:i/>
          <w:sz w:val="24"/>
          <w:rFonts w:ascii="Arial" w:hAnsi="Arial"/>
        </w:rPr>
      </w:pPr>
      <w:r>
        <w:rPr>
          <w:b/>
          <w:sz w:val="24"/>
          <w:rFonts w:ascii="Arial" w:hAnsi="Arial"/>
        </w:rPr>
        <w:t xml:space="preserve">Artykuł 41.</w:t>
      </w:r>
      <w:r>
        <w:rPr>
          <w:b/>
          <w:sz w:val="24"/>
          <w:rFonts w:ascii="Arial" w:hAnsi="Arial"/>
        </w:rPr>
        <w:t xml:space="preserve"> </w:t>
      </w:r>
      <w:r>
        <w:rPr>
          <w:b/>
          <w:sz w:val="24"/>
          <w:i/>
          <w:rFonts w:ascii="Arial" w:hAnsi="Arial"/>
        </w:rPr>
        <w:t xml:space="preserve">Zakaz dotyczący określonych produktów z tworzyw sztucznych.</w:t>
      </w:r>
    </w:p>
    <w:p w14:paraId="688EA7F6" w14:textId="77777777" w:rsidR="009F092F" w:rsidRPr="00034253" w:rsidRDefault="009F092F" w:rsidP="00512B74">
      <w:pPr>
        <w:keepNext/>
        <w:keepLines/>
        <w:spacing w:before="120" w:after="120" w:line="240" w:lineRule="auto"/>
        <w:jc w:val="both"/>
        <w:rPr>
          <w:sz w:val="24"/>
          <w:rFonts w:ascii="Arial" w:hAnsi="Arial"/>
        </w:rPr>
      </w:pPr>
      <w:r>
        <w:rPr>
          <w:sz w:val="24"/>
          <w:rFonts w:ascii="Arial" w:hAnsi="Arial"/>
        </w:rPr>
        <w:t xml:space="preserve">Od dnia 3 lipca 2021 r. zakazuje się wprowadzania do obrotu następujących produktów:</w:t>
      </w:r>
      <w:r>
        <w:rPr>
          <w:sz w:val="24"/>
          <w:rFonts w:ascii="Arial" w:hAnsi="Arial"/>
        </w:rPr>
        <w:t xml:space="preserve"> </w:t>
      </w:r>
    </w:p>
    <w:p w14:paraId="43CE649B"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a) produktów z tworzyw sztucznych wymienionych w załączniku IV część B;</w:t>
      </w:r>
    </w:p>
    <w:p w14:paraId="5FF658C9"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b) wszelkich produktów z tworzyw sztucznych wytworzonych z oksydegradowalnego tworzywa sztucznego;</w:t>
      </w:r>
    </w:p>
    <w:p w14:paraId="08B905FE" w14:textId="4D9A75E9" w:rsidR="009F092F" w:rsidRPr="00104BBA" w:rsidRDefault="009F092F" w:rsidP="002478C1">
      <w:pPr>
        <w:spacing w:before="120" w:after="120" w:line="240" w:lineRule="auto"/>
        <w:jc w:val="both"/>
        <w:rPr>
          <w:sz w:val="24"/>
          <w:rFonts w:ascii="Arial" w:hAnsi="Arial"/>
        </w:rPr>
      </w:pPr>
      <w:r>
        <w:rPr>
          <w:sz w:val="24"/>
          <w:rFonts w:ascii="Arial" w:hAnsi="Arial"/>
        </w:rPr>
        <w:t xml:space="preserve">c) produktów kosmetycznych w rozumieniu rozporządzenia Parlamentu Europejskiego i Rady (WE) nr 1223/2009 z dnia 30 listopada 2009 r. dotyczącego produktów kosmetycznych oraz detergentów i środków czystości w rozumieniu dekretu królewskiego nr 770/1999 z dnia 7 maja zatwierdzającego przepisy techniczno-sanitarne dotyczące wytwarzania detergentów i środków czystości oraz obrotu i handlu nimi, zawierających dodane celowo mikrogranulki z tworzywa sztucznego o średnicy mniejszej niż 5 mm.</w:t>
      </w:r>
      <w:r>
        <w:rPr>
          <w:sz w:val="24"/>
          <w:rFonts w:ascii="Arial" w:hAnsi="Arial"/>
        </w:rPr>
        <w:t xml:space="preserve">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4A837DA7"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Artykuł 42.</w:t>
      </w:r>
      <w:r>
        <w:rPr>
          <w:b/>
          <w:sz w:val="24"/>
          <w:rFonts w:ascii="Arial" w:hAnsi="Arial"/>
        </w:rPr>
        <w:t xml:space="preserve"> </w:t>
      </w:r>
      <w:r>
        <w:rPr>
          <w:b/>
          <w:sz w:val="24"/>
          <w:i/>
          <w:rFonts w:ascii="Arial" w:hAnsi="Arial"/>
        </w:rPr>
        <w:t xml:space="preserve">Wymogi projektowe w odniesieniu do pojemników z tworzywa sztucznego na napoje.</w:t>
      </w:r>
    </w:p>
    <w:p w14:paraId="3AB537B6" w14:textId="77777777" w:rsidR="009F092F"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Od dnia 3 lipca 2024 r. można wprowadzać do obrotu wyłącznie produkty jednorazowego użytku z tworzyw sztucznych wymienione w załączniku IV część C, których pokrywki i wieczka pozostają przymocowane do pojemników podczas etapu zamierzonego użytkowania produktu.</w:t>
      </w:r>
      <w:r>
        <w:rPr>
          <w:sz w:val="24"/>
          <w:rFonts w:ascii="Arial" w:hAnsi="Arial"/>
        </w:rPr>
        <w:t xml:space="preserve"> </w:t>
      </w:r>
      <w:r>
        <w:rPr>
          <w:sz w:val="24"/>
          <w:rFonts w:ascii="Arial" w:hAnsi="Arial"/>
        </w:rPr>
        <w:t xml:space="preserve">Do celów tego przepisu metalowych zakrętek i wieczek z uszczelką z tworzyw sztucznych nie uznaje się za wykonane z tworzyw sztucznych.</w:t>
      </w:r>
      <w:r>
        <w:rPr>
          <w:sz w:val="24"/>
          <w:rFonts w:ascii="Arial" w:hAnsi="Arial"/>
        </w:rPr>
        <w:t xml:space="preserve"> </w:t>
      </w:r>
    </w:p>
    <w:p w14:paraId="55270AC5"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Uznaje się, że wymienione produkty spełniają wymogi niniejszego ustępu, jeżeli zostały wytworzone zgodnie ze zharmonizowanymi normami przyjętymi w tym celu na szczeblu wspólnotowym.</w:t>
      </w:r>
      <w:r>
        <w:rPr>
          <w:sz w:val="24"/>
          <w:rFonts w:ascii="Arial" w:hAnsi="Arial"/>
        </w:rPr>
        <w:t xml:space="preserve"> </w:t>
      </w:r>
    </w:p>
    <w:p w14:paraId="55D5169C"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Od roku 2025 można wprowadzać do obrotu wyłącznie butelki z politereftalanu etylenu (butelki PET) wymienione w załączniku IV część E zawierające co najmniej 25 % tworzyw sztucznych pochodzących z recyklingu, którą to wartość oblicza się jako średnią dla wszystkich butelek PET wprowadzonych do obrotu;</w:t>
      </w:r>
    </w:p>
    <w:p w14:paraId="6AD13FDA" w14:textId="77777777" w:rsidR="009F092F"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Od roku 2030 można wprowadzać do obrotu wyłącznie butelki wymienione w załączniku IV część E zawierające co najmniej 30% tworzyw sztucznych pochodzących z recyklingu, którą to wartość oblicza się jako średnią dla wszystkich takich butelek na napoje wprowadzonych do obrotu.</w:t>
      </w:r>
    </w:p>
    <w:p w14:paraId="788B7E96" w14:textId="77777777" w:rsidR="009F092F" w:rsidRDefault="009F092F" w:rsidP="002478C1">
      <w:pPr>
        <w:spacing w:before="120" w:after="120" w:line="240" w:lineRule="auto"/>
        <w:jc w:val="both"/>
        <w:rPr>
          <w:sz w:val="24"/>
          <w:rFonts w:ascii="Arial" w:hAnsi="Arial"/>
        </w:rPr>
      </w:pPr>
      <w:r>
        <w:rPr>
          <w:sz w:val="24"/>
          <w:rFonts w:ascii="Arial" w:hAnsi="Arial"/>
        </w:rPr>
        <w:t xml:space="preserve">4.</w:t>
      </w:r>
      <w:r>
        <w:rPr>
          <w:sz w:val="24"/>
          <w:rFonts w:ascii="Arial" w:hAnsi="Arial"/>
        </w:rPr>
        <w:t xml:space="preserve"> </w:t>
      </w:r>
      <w:r>
        <w:rPr>
          <w:sz w:val="24"/>
          <w:rFonts w:ascii="Arial" w:hAnsi="Arial"/>
        </w:rPr>
        <w:t xml:space="preserve">Systemy utworzone w celu realizacji zobowiązań ustanowionych w ramach rozszerzonej odpowiedzialności producenta w dziedzinie opakowań i odpadów opakowaniowych określają środki ułatwiające realizację tych celów.</w:t>
      </w:r>
      <w:r>
        <w:rPr>
          <w:sz w:val="24"/>
          <w:rFonts w:ascii="Arial" w:hAnsi="Arial"/>
        </w:rPr>
        <w:t xml:space="preserve"> </w:t>
      </w:r>
    </w:p>
    <w:p w14:paraId="27E4C895" w14:textId="1A842C04" w:rsidR="00905B3C"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Na butelkach z tworzywa sztucznego wymienionych w ust. 2 i 3 można umieszczać informację na temat ich zawartości procentowej tworzywa sztucznego z recyklingu.</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b/>
          <w:i/>
          <w:sz w:val="24"/>
          <w:rFonts w:ascii="Arial" w:hAnsi="Arial"/>
        </w:rPr>
      </w:pPr>
      <w:r>
        <w:rPr>
          <w:b/>
          <w:sz w:val="24"/>
          <w:rFonts w:ascii="Arial" w:hAnsi="Arial"/>
        </w:rPr>
        <w:t xml:space="preserve">Artykuł 43.</w:t>
      </w:r>
      <w:r>
        <w:rPr>
          <w:b/>
          <w:sz w:val="24"/>
          <w:rFonts w:ascii="Arial" w:hAnsi="Arial"/>
        </w:rPr>
        <w:t xml:space="preserve"> </w:t>
      </w:r>
      <w:r>
        <w:rPr>
          <w:b/>
          <w:sz w:val="24"/>
          <w:i/>
          <w:rFonts w:ascii="Arial" w:hAnsi="Arial"/>
        </w:rPr>
        <w:t xml:space="preserve">Wymogi dotyczące oznakowania określonych produktów jednorazowego użytku z tworzyw sztucznych.</w:t>
      </w:r>
    </w:p>
    <w:p w14:paraId="41CF11FB"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Od dnia 3 lipca 2021 r. wprowadzane do obrotu produkty jednorazowego użytku z tworzyw sztucznych wymienione w załączniku IV część D muszą być oznakowane w widoczny, wyraźnie czytelny i nieusuwalny sposób, zgodnie ze zharmonizowanymi specyfikacjami oznakowania ustanowionymi na szczeblu wspólnotowym.</w:t>
      </w:r>
      <w:r>
        <w:rPr>
          <w:sz w:val="24"/>
          <w:rFonts w:ascii="Arial" w:hAnsi="Arial"/>
        </w:rPr>
        <w:t xml:space="preserve"> </w:t>
      </w:r>
    </w:p>
    <w:p w14:paraId="3FF19B4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Oznakowanie to powinno informować konsumentów o odpowiednich metodach gospodarowania odpadami w przypadku tego produktu lub niewskazanych sposobach unieszkodliwiania odpadów w przypadku tego produktu – zgodnie z hierarchią postępowania z odpadami; oraz o obecności tworzyw sztucznych w tym produkcie i o wynikającym z tego negatywnym wpływie na środowisko zaśmiecania lub innych nieodpowiednich sposobów unieszkodliwiania odpadów w przypadku tego produktu.</w:t>
      </w:r>
    </w:p>
    <w:p w14:paraId="32DDFAFC" w14:textId="77777777" w:rsidR="009F092F" w:rsidRPr="00104BBA"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Przepisy niniejszego artykułu dotyczące wyrobów tytoniowych dodaje się do przepisów przewidzianych w dekrecie królewskim nr 579/2017 z dnia 9 czerwca.</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b/>
          <w:i/>
          <w:sz w:val="24"/>
          <w:rFonts w:ascii="Arial" w:hAnsi="Arial"/>
        </w:rPr>
      </w:pPr>
      <w:r>
        <w:rPr>
          <w:b/>
          <w:sz w:val="24"/>
          <w:rFonts w:ascii="Arial" w:hAnsi="Arial"/>
        </w:rPr>
        <w:t xml:space="preserve">Artykuł 44.</w:t>
      </w:r>
      <w:r>
        <w:rPr>
          <w:b/>
          <w:sz w:val="24"/>
          <w:rFonts w:ascii="Arial" w:hAnsi="Arial"/>
        </w:rPr>
        <w:t xml:space="preserve"> </w:t>
      </w:r>
      <w:r>
        <w:rPr>
          <w:b/>
          <w:sz w:val="24"/>
          <w:i/>
          <w:rFonts w:ascii="Arial" w:hAnsi="Arial"/>
        </w:rPr>
        <w:t xml:space="preserve">Selektywna zbiórka butelek z tworzywa sztucznego.</w:t>
      </w:r>
    </w:p>
    <w:p w14:paraId="1488804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Ustanawia się następujące cele selektywnej zbiórki produktów z tworzyw sztucznych wymienionych w załączniku IV część E z zamiarem przeznaczenia ich do recyklingu:</w:t>
      </w:r>
      <w:r>
        <w:rPr>
          <w:sz w:val="24"/>
          <w:rFonts w:ascii="Arial" w:hAnsi="Arial"/>
        </w:rPr>
        <w:t xml:space="preserve"> </w:t>
      </w:r>
    </w:p>
    <w:p w14:paraId="53AEDE6A"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a) najpóźniej w 2025 r. 77% masy w stosunku do wprowadzonych do obrotu;</w:t>
      </w:r>
      <w:r>
        <w:rPr>
          <w:sz w:val="24"/>
          <w:rFonts w:ascii="Arial" w:hAnsi="Arial"/>
        </w:rPr>
        <w:t xml:space="preserve"> </w:t>
      </w:r>
    </w:p>
    <w:p w14:paraId="76977D8B" w14:textId="77777777" w:rsidR="009F092F" w:rsidRPr="00034253" w:rsidRDefault="009F092F" w:rsidP="00512B74">
      <w:pPr>
        <w:spacing w:before="120" w:after="120" w:line="240" w:lineRule="auto"/>
        <w:jc w:val="both"/>
        <w:rPr>
          <w:sz w:val="24"/>
          <w:rFonts w:ascii="Arial" w:hAnsi="Arial"/>
        </w:rPr>
      </w:pPr>
      <w:r>
        <w:rPr>
          <w:sz w:val="24"/>
          <w:rFonts w:ascii="Arial" w:hAnsi="Arial"/>
        </w:rPr>
        <w:t xml:space="preserve">b) najpóźniej w 2029 r. 90% masy w stosunku do wprowadzonych do obrotu.</w:t>
      </w:r>
      <w:r>
        <w:rPr>
          <w:sz w:val="24"/>
          <w:rFonts w:ascii="Arial" w:hAnsi="Arial"/>
        </w:rPr>
        <w:t xml:space="preserve"> </w:t>
      </w:r>
    </w:p>
    <w:p w14:paraId="2CB8330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Ilość tych produktów wprowadzonych do obrotu można uznać za odpowiadającą ilości wytworzonych odpadów z nich pochodzących, łącznie z zawartymi w odpadach rozproszonych, w danym roku.</w:t>
      </w:r>
    </w:p>
    <w:p w14:paraId="318BA02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W związku z tym w przepisach wykonawczych dotyczących opakowań określa się środki konieczne do realizacji tych celów; można między innymi wdrożyć systemy kaucji i zwrotu lub ustanowić cele w systemach rozszerzonej odpowiedzialności producenta.</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b/>
          <w:i/>
          <w:sz w:val="24"/>
          <w:rFonts w:ascii="Arial" w:hAnsi="Arial"/>
        </w:rPr>
      </w:pPr>
      <w:r>
        <w:rPr>
          <w:b/>
          <w:sz w:val="24"/>
          <w:rFonts w:ascii="Arial" w:hAnsi="Arial"/>
        </w:rPr>
        <w:t xml:space="preserve">Artykuł 45.</w:t>
      </w:r>
      <w:r>
        <w:rPr>
          <w:b/>
          <w:sz w:val="24"/>
          <w:rFonts w:ascii="Arial" w:hAnsi="Arial"/>
        </w:rPr>
        <w:t xml:space="preserve"> </w:t>
      </w:r>
      <w:r>
        <w:rPr>
          <w:b/>
          <w:sz w:val="24"/>
          <w:i/>
          <w:rFonts w:ascii="Arial" w:hAnsi="Arial"/>
        </w:rPr>
        <w:t xml:space="preserve">Systemy rozszerzonej odpowiedzialności producenta.</w:t>
      </w:r>
    </w:p>
    <w:p w14:paraId="69EC59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Rząd ustanawia przepisami systemy rozszerzonej odpowiedzialności producenta w odniesieniu do produktów jednorazowego użytku z tworzyw sztucznych wymienionych w załączniku IV część F.</w:t>
      </w:r>
      <w:r>
        <w:rPr>
          <w:sz w:val="24"/>
          <w:rFonts w:ascii="Arial" w:hAnsi="Arial"/>
        </w:rPr>
        <w:t xml:space="preserve"> </w:t>
      </w:r>
      <w:r>
        <w:rPr>
          <w:sz w:val="24"/>
          <w:rFonts w:ascii="Arial" w:hAnsi="Arial"/>
        </w:rPr>
        <w:t xml:space="preserve">Taki system należy ustanowić przed dniem 1 stycznia 2025 r. dla produktów jednorazowego użytku z tworzyw sztucznych innych niż opakowania, o których mowa w ust. 1, i produktów, o których mowa w części F pkt 2.1 i 2.2, oraz przed dniem 6 stycznia 2023 r. dla pozostałych produktów wymienionych w ust. 1 i w załączniku IV część F pkt 2.3.</w:t>
      </w:r>
      <w:r>
        <w:rPr>
          <w:sz w:val="24"/>
          <w:rFonts w:ascii="Arial" w:hAnsi="Arial"/>
        </w:rPr>
        <w:t xml:space="preserve"> </w:t>
      </w:r>
    </w:p>
    <w:p w14:paraId="2B3E1E1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W ramach systemów rozszerzonej odpowiedzialności producenta wprowadzonych w odniesieniu do produktów jednorazowego użytku z tworzyw sztucznych wymienionych w załączniku IV część F pkt 1 producenci produktów jednorazowego użytku z tworzyw sztucznych ponoszą, oprócz kosztów ustalonych zgodnie z art. 38, następujące koszty, o ile nie zostały one jeszcze uwzględnione:</w:t>
      </w:r>
    </w:p>
    <w:p w14:paraId="0914FB3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koszty środków służących upowszechnianiu wiedzy, o których mowa w art. 46;</w:t>
      </w:r>
    </w:p>
    <w:p w14:paraId="04F598C4"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b) koszty zbierania odpadów w przypadku tych produktów, które są pozostawiane w publicznych systemach zbierania odpadów, w tym koszty infrastruktury i jej funkcjonowania, oraz koszty późniejszego transportu tych odpadów i ich przetwarzania; oraz</w:t>
      </w:r>
      <w:r>
        <w:rPr>
          <w:sz w:val="24"/>
          <w:rFonts w:ascii="Arial" w:hAnsi="Arial"/>
        </w:rPr>
        <w:t xml:space="preserve"> </w:t>
      </w:r>
    </w:p>
    <w:p w14:paraId="5CF2446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koszty sprzątania odpadów pochodzących z tych produktów, a następnie koszty ich transportu i przetwarzania.</w:t>
      </w:r>
    </w:p>
    <w:p w14:paraId="553651BF"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3.</w:t>
      </w:r>
      <w:r>
        <w:rPr>
          <w:sz w:val="24"/>
          <w:rFonts w:ascii="Arial" w:hAnsi="Arial"/>
        </w:rPr>
        <w:t xml:space="preserve"> </w:t>
      </w:r>
      <w:r>
        <w:rPr>
          <w:sz w:val="24"/>
          <w:rFonts w:ascii="Arial" w:hAnsi="Arial"/>
        </w:rPr>
        <w:t xml:space="preserve">W związku z systemami odpowiedzialności opracowanymi w odniesieniu do produktów z tworzywa sztucznego wymienionych w załączniku IV część F pkt 2 zgodnie z art. 38 producenci produktów powinni ponosić co najmniej następujące koszty:</w:t>
      </w:r>
    </w:p>
    <w:p w14:paraId="1FEAE6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koszty środków służących upowszechnianiu wiedzy, o których mowa w art. 46;</w:t>
      </w:r>
    </w:p>
    <w:p w14:paraId="11A04FF8" w14:textId="30C18000" w:rsidR="009F092F" w:rsidRPr="00034253" w:rsidRDefault="009F092F" w:rsidP="002478C1">
      <w:pPr>
        <w:spacing w:before="120" w:after="120" w:line="240" w:lineRule="auto"/>
        <w:jc w:val="both"/>
        <w:rPr>
          <w:sz w:val="24"/>
          <w:rFonts w:ascii="Arial" w:hAnsi="Arial"/>
        </w:rPr>
      </w:pPr>
      <w:r>
        <w:rPr>
          <w:sz w:val="24"/>
          <w:rFonts w:ascii="Arial" w:hAnsi="Arial"/>
        </w:rPr>
        <w:t xml:space="preserve">b) koszty sprzątania odpadów pochodzących z tych produktów, łącznie z czyszczeniem infrastruktury sanitarnej i instalacji oczyszczania, a następnie koszty ich transportu i przetwarzania; oraz</w:t>
      </w:r>
    </w:p>
    <w:p w14:paraId="4E289DC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c) koszty gromadzenia danych i informacji w ramach regularnych i jednostkowych zbiórek w związku ze składowiskami improwizowanymi lub odpadami rozproszonymi w środowisku.</w:t>
      </w:r>
    </w:p>
    <w:p w14:paraId="0738EBF4" w14:textId="0895832B" w:rsidR="009F092F" w:rsidRPr="00034253" w:rsidRDefault="009F092F" w:rsidP="002478C1">
      <w:pPr>
        <w:spacing w:before="120" w:after="120" w:line="240" w:lineRule="auto"/>
        <w:jc w:val="both"/>
        <w:rPr>
          <w:sz w:val="24"/>
          <w:rFonts w:ascii="Arial" w:hAnsi="Arial"/>
        </w:rPr>
      </w:pPr>
      <w:r>
        <w:rPr>
          <w:sz w:val="24"/>
          <w:rFonts w:ascii="Arial" w:hAnsi="Arial"/>
        </w:rPr>
        <w:t xml:space="preserve">W przypadku wyrobów tytoniowych ich producenci ponoszą dodatkowo koszty zbierania odpadów w przypadku tych produktów, które są pozostawiane w publicznych systemach zbierania odpadów, w tym koszty infrastruktury i jej funkcjonowania, a następnie koszty transportu tych odpadów i ich przetwarzania.</w:t>
      </w:r>
      <w:r>
        <w:rPr>
          <w:sz w:val="24"/>
          <w:rFonts w:ascii="Arial" w:hAnsi="Arial"/>
        </w:rPr>
        <w:t xml:space="preserve"> </w:t>
      </w:r>
      <w:r>
        <w:rPr>
          <w:sz w:val="24"/>
          <w:rFonts w:ascii="Arial" w:hAnsi="Arial"/>
        </w:rPr>
        <w:t xml:space="preserve">Koszty te mogą obejmować utworzenie specjalnej infrastruktury do zbierania odpadów w przypadku tych produktów, na przykład odpowiednich pojemników na odpady w miejscach częstego zaśmiecania.</w:t>
      </w:r>
      <w:r>
        <w:rPr>
          <w:sz w:val="24"/>
          <w:rFonts w:ascii="Arial" w:hAnsi="Arial"/>
        </w:rPr>
        <w:t xml:space="preserve"> </w:t>
      </w:r>
      <w:r>
        <w:rPr>
          <w:sz w:val="24"/>
          <w:rFonts w:ascii="Arial" w:hAnsi="Arial"/>
        </w:rPr>
        <w:t xml:space="preserve">Jednocześnie mogą one uwzględniać koszty związane ze środkami mającymi na celu opracowanie rozwiązań alternatywnych i środkami zapobiegawczymi służącymi ograniczeniu generowania odpadów i zwiększeniu ich fizycznego odzysku.</w:t>
      </w:r>
      <w:r>
        <w:rPr>
          <w:sz w:val="24"/>
          <w:rFonts w:ascii="Arial" w:hAnsi="Arial"/>
        </w:rPr>
        <w:t xml:space="preserve"> </w:t>
      </w:r>
    </w:p>
    <w:p w14:paraId="2DC0A644" w14:textId="77777777" w:rsidR="009F092F" w:rsidRPr="00034253" w:rsidRDefault="009F092F" w:rsidP="002478C1">
      <w:pPr>
        <w:spacing w:before="120" w:after="120" w:line="240" w:lineRule="auto"/>
        <w:jc w:val="both"/>
        <w:rPr>
          <w:sz w:val="24"/>
          <w:szCs w:val="24"/>
          <w:rFonts w:ascii="Arial" w:hAnsi="Arial"/>
        </w:rPr>
      </w:pPr>
      <w:r>
        <w:rPr>
          <w:sz w:val="24"/>
          <w:szCs w:val="24"/>
          <w:rFonts w:ascii="Arial" w:hAnsi="Arial"/>
        </w:rPr>
        <w:t xml:space="preserve">4.</w:t>
      </w:r>
      <w:r>
        <w:rPr>
          <w:sz w:val="24"/>
          <w:szCs w:val="24"/>
          <w:rFonts w:ascii="Arial" w:hAnsi="Arial"/>
        </w:rPr>
        <w:t xml:space="preserve"> </w:t>
      </w:r>
      <w:r>
        <w:rPr>
          <w:sz w:val="24"/>
          <w:szCs w:val="24"/>
          <w:rFonts w:ascii="Arial" w:hAnsi="Arial"/>
        </w:rPr>
        <w:t xml:space="preserve">Koszty, które należy pokrywać zgodnie z ust. 2 i 3, nie przekraczają kosztów niezbędnych do gospodarnego świadczenia usług wskazanych w tych przepisach i są one ustalane z zachowaniem przejrzystości między zainteresowanymi podmiotami.</w:t>
      </w:r>
      <w:r>
        <w:rPr>
          <w:sz w:val="24"/>
          <w:szCs w:val="24"/>
          <w:rFonts w:ascii="Arial" w:hAnsi="Arial"/>
        </w:rPr>
        <w:t xml:space="preserve"> </w:t>
      </w:r>
      <w:r>
        <w:rPr>
          <w:sz w:val="24"/>
          <w:szCs w:val="24"/>
          <w:rFonts w:ascii="Arial" w:hAnsi="Arial"/>
        </w:rPr>
        <w:t xml:space="preserve">Koszty sprzątania odpadów są ograniczone do czynności podejmowanych przez organy publiczne lub w ich imieniu.</w:t>
      </w:r>
      <w:r>
        <w:rPr>
          <w:sz w:val="24"/>
          <w:szCs w:val="24"/>
          <w:rFonts w:ascii="Arial" w:hAnsi="Arial"/>
        </w:rPr>
        <w:t xml:space="preserve"> </w:t>
      </w:r>
      <w:r>
        <w:rPr>
          <w:sz w:val="24"/>
          <w:szCs w:val="24"/>
          <w:rFonts w:ascii="Arial" w:hAnsi="Arial"/>
        </w:rPr>
        <w:t xml:space="preserve">Metoda ich obliczania musi być ustalona w taki sposób, aby koszty sprzątania odpadów mogły być ustalane w proporcjonalny sposób.</w:t>
      </w:r>
      <w:r>
        <w:rPr>
          <w:sz w:val="24"/>
          <w:szCs w:val="24"/>
          <w:rFonts w:ascii="Arial" w:hAnsi="Arial"/>
        </w:rPr>
        <w:t xml:space="preserve"> </w:t>
      </w:r>
      <w:r>
        <w:rPr>
          <w:sz w:val="24"/>
          <w:szCs w:val="24"/>
          <w:rFonts w:ascii="Arial" w:hAnsi="Arial"/>
        </w:rPr>
        <w:t xml:space="preserve">W celu zminimalizowania kosztów administracyjnych można określić wkład finansowy na potrzeby kosztów usuwania śmieci poprzez ustanowienie odpowiednich wieloletnich kwot ryczałtowych.</w:t>
      </w:r>
    </w:p>
    <w:p w14:paraId="52B74223"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5.</w:t>
      </w:r>
      <w:r>
        <w:rPr>
          <w:sz w:val="24"/>
          <w:rFonts w:ascii="Arial" w:hAnsi="Arial"/>
        </w:rPr>
        <w:t xml:space="preserve"> </w:t>
      </w:r>
      <w:r>
        <w:rPr>
          <w:sz w:val="24"/>
          <w:rFonts w:ascii="Arial" w:hAnsi="Arial"/>
        </w:rPr>
        <w:t xml:space="preserve">Rząd ustanawia przepisowo systemy rozszerzonej odpowiedzialności producenta w odniesieniu do narzędzi połowowych zgodnie z przepisami art. 37 i 38 przed dniem 1 stycznia 2025 r.</w:t>
      </w:r>
      <w:r>
        <w:rPr>
          <w:sz w:val="24"/>
          <w:rFonts w:ascii="Arial" w:hAnsi="Arial"/>
        </w:rPr>
        <w:t xml:space="preserve"> </w:t>
      </w:r>
      <w:r>
        <w:rPr>
          <w:sz w:val="24"/>
          <w:rFonts w:ascii="Arial" w:hAnsi="Arial"/>
        </w:rPr>
        <w:t xml:space="preserve">We wspomnianej regulacji ustanawia się minimalny krajowy współczynnik zbiórki odpadów z narzędzi połowowych zawierających tworzywa sztuczne w celu ich recyklingu i wprowadza się konieczne środki monitorowania narzędzi połowowych zawierających tworzywa sztuczne wprowadzonych od obrotu oraz zebranych odpadów.</w:t>
      </w:r>
      <w:r>
        <w:rPr>
          <w:sz w:val="24"/>
          <w:rFonts w:ascii="Arial" w:hAnsi="Arial"/>
        </w:rPr>
        <w:t xml:space="preserve"> </w:t>
      </w:r>
      <w:r>
        <w:rPr>
          <w:sz w:val="24"/>
          <w:rFonts w:ascii="Arial" w:hAnsi="Arial"/>
        </w:rPr>
        <w:t xml:space="preserve">Producenci narzędzi połowowych pokrywają wydatki związane z selektywną zbiórką odpadów z narzędzi połowowych zawierających tworzywa sztuczne, które przekazano do instalacji upoważnionych do ich zbiórki, takich jak odpowiednie portowe urządzenia do odbioru odpadów zgodnie z dekretem królewskim nr 1381/2002 z dnia 20 grudnia, lub do innych systemów zbiórki poza zakresem stosowania wspomnianego dekretu królewskiego, oraz koszty ich późniejszego transportu i przetwarzania, a także koszty upowszechniania wiedzy wynikające z art. 46.</w:t>
      </w:r>
    </w:p>
    <w:p w14:paraId="5B7124D6"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Wymogi ustanowione zgodnie z niniejszym ustępem stanowią uzupełnienie wymogów mających zastosowanie do odpadów pochodzących ze statków rybackich na podstawie prawa Unii dotyczącego portowych urządzeń do odbioru odpadów.</w:t>
      </w:r>
    </w:p>
    <w:p w14:paraId="4C57BEA6" w14:textId="77777777" w:rsidR="00935EEE" w:rsidRPr="00034253" w:rsidRDefault="00935EEE" w:rsidP="002478C1">
      <w:pPr>
        <w:spacing w:before="120" w:after="120" w:line="240" w:lineRule="auto"/>
        <w:jc w:val="both"/>
        <w:rPr>
          <w:rFonts w:ascii="Arial" w:hAnsi="Arial"/>
          <w:sz w:val="24"/>
        </w:rPr>
      </w:pPr>
    </w:p>
    <w:p w14:paraId="2D1B68C7" w14:textId="4C4608F7" w:rsidR="00905B3C" w:rsidRPr="00034253" w:rsidRDefault="00905B3C" w:rsidP="00512B74">
      <w:pPr>
        <w:keepNext/>
        <w:keepLines/>
        <w:spacing w:before="120" w:after="120" w:line="240" w:lineRule="auto"/>
        <w:jc w:val="both"/>
        <w:rPr>
          <w:b/>
          <w:i/>
          <w:color w:val="000000" w:themeColor="text1"/>
          <w:sz w:val="24"/>
          <w:rFonts w:ascii="Arial" w:hAnsi="Arial"/>
        </w:rPr>
      </w:pPr>
      <w:r>
        <w:rPr>
          <w:b/>
          <w:color w:val="000000" w:themeColor="text1"/>
          <w:sz w:val="24"/>
          <w:rFonts w:ascii="Arial" w:hAnsi="Arial"/>
        </w:rPr>
        <w:t xml:space="preserve">Artykuł 46.</w:t>
      </w:r>
      <w:r>
        <w:rPr>
          <w:b/>
          <w:color w:val="000000" w:themeColor="text1"/>
          <w:sz w:val="24"/>
          <w:rFonts w:ascii="Arial" w:hAnsi="Arial"/>
        </w:rPr>
        <w:t xml:space="preserve"> </w:t>
      </w:r>
      <w:r>
        <w:rPr>
          <w:b/>
          <w:color w:val="000000" w:themeColor="text1"/>
          <w:sz w:val="24"/>
          <w:i/>
          <w:rFonts w:ascii="Arial" w:hAnsi="Arial"/>
        </w:rPr>
        <w:t xml:space="preserve">Środki służące upowszechnianiu wiedzy.</w:t>
      </w:r>
    </w:p>
    <w:p w14:paraId="147E5DCE"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Właściwe organy przyjmują konieczne środki w celu informowania konsumentów i zachęcania do odpowiedzialnych zachowań konsumentów, w szczególności osób młodych, aby ograniczyć porzucanie rozproszonych śmieci z produktów jednorazowego użytku z tworzyw sztucznych wymienionych w załączniku IV część F oraz produktów higieny dla kobiet wymienionych w załączniku IV część D pkt 1.</w:t>
      </w:r>
    </w:p>
    <w:p w14:paraId="4EE164AD"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Organy przyjmują również środki w celu informowania konsumentów produktów jednorazowego użytku z tworzyw sztucznych wymienionych w poprzednim akapicie i użytkowników narzędzi połowowych zawierających tworzywa sztuczne o następujących kwestiach:</w:t>
      </w:r>
    </w:p>
    <w:p w14:paraId="37E02D92" w14:textId="77777777" w:rsidR="009F092F" w:rsidRPr="00034253" w:rsidRDefault="009F092F" w:rsidP="002478C1">
      <w:pPr>
        <w:spacing w:before="120" w:after="120" w:line="240" w:lineRule="auto"/>
        <w:jc w:val="both"/>
        <w:rPr>
          <w:sz w:val="24"/>
          <w:rFonts w:ascii="Arial" w:hAnsi="Arial"/>
        </w:rPr>
      </w:pPr>
      <w:r>
        <w:rPr>
          <w:sz w:val="24"/>
          <w:rFonts w:ascii="Arial" w:hAnsi="Arial"/>
        </w:rPr>
        <w:t xml:space="preserve">a) dostępności alternatywnych produktów wielokrotnego użytku, systemów ponownego użycia i metod gospodarowania odpadami w przypadku tych produktów jednorazowego użytku z tworzyw sztucznych i narzędzi połowowych zawierających tworzywa sztuczne oraz na temat najlepszych praktyk w zakresie należytego gospodarowania odpadami prowadzonego zgodnie art. 7;</w:t>
      </w:r>
    </w:p>
    <w:p w14:paraId="2E410305"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b) wpływu na środowisko, w szczególności środowisko morskie, zaśmiecania i innego nieodpowiedniego unieszkodliwiania odpadów w przypadku tych produktów jednorazowego użytku z tworzyw sztucznych i narzędzi połowowych zawierających tworzywa sztuczne; oraz</w:t>
      </w:r>
    </w:p>
    <w:p w14:paraId="0F1DAD83"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c) wpływu na sieci kanalizacyjne nieodpowiednich sposobów unieszkodliwiania odpadów w przypadku produktów jednorazowego użytku z tworzyw sztucznych.</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b/>
          <w:i/>
          <w:sz w:val="24"/>
          <w:rFonts w:ascii="Arial" w:hAnsi="Arial"/>
        </w:rPr>
      </w:pPr>
      <w:r>
        <w:rPr>
          <w:b/>
          <w:sz w:val="24"/>
          <w:rFonts w:ascii="Arial" w:hAnsi="Arial"/>
        </w:rPr>
        <w:t xml:space="preserve">Artykuł 47.</w:t>
      </w:r>
      <w:r>
        <w:rPr>
          <w:b/>
          <w:sz w:val="24"/>
          <w:rFonts w:ascii="Arial" w:hAnsi="Arial"/>
        </w:rPr>
        <w:t xml:space="preserve"> </w:t>
      </w:r>
      <w:r>
        <w:rPr>
          <w:b/>
          <w:sz w:val="24"/>
          <w:i/>
          <w:rFonts w:ascii="Arial" w:hAnsi="Arial"/>
        </w:rPr>
        <w:t xml:space="preserve">Koordynacja środków.</w:t>
      </w:r>
    </w:p>
    <w:p w14:paraId="1DB6707D"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Środki przyjmowane na podstawie tego tytułu stanowią integralną część programów środków ustanawianych zgodnie z przepisami dotyczącymi ochrony środowiska morskiego, z przepisami w dziedzinie wody i dekretem królewskim nr 1381/2002 z dnia 20 grudnia.</w:t>
      </w:r>
      <w:r>
        <w:rPr>
          <w:sz w:val="24"/>
          <w:rFonts w:ascii="Arial" w:hAnsi="Arial"/>
        </w:rPr>
        <w:t xml:space="preserve"> </w:t>
      </w:r>
      <w:r>
        <w:rPr>
          <w:sz w:val="24"/>
          <w:rFonts w:ascii="Arial" w:hAnsi="Arial"/>
        </w:rPr>
        <w:t xml:space="preserve">Wspomniane środki mają być spójne z tymi programami i planami.</w:t>
      </w:r>
    </w:p>
    <w:p w14:paraId="7B0635D0" w14:textId="77777777" w:rsidR="009F092F" w:rsidRPr="00A32D87" w:rsidRDefault="009F092F" w:rsidP="002478C1">
      <w:pPr>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Środki przyjęte na podstawie art. 40–45 są zgodne z przepisami prawa żywnościowego Unii Europejskiej w celu zagwarantowania braku zagrożenia dla higieny żywności i bezpieczeństwa żywnościowego, przy promowaniu korzystania ze zrównoważonych rozwiązań stanowiących alternatywę dla tworzywa sztucznego jednorazowego użytku tam, gdzie jest to możliwe w przypadku materiałów przeznaczonych do kontaktu z żywnością.</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b/>
          <w:sz w:val="24"/>
          <w:rFonts w:ascii="Arial" w:hAnsi="Arial"/>
        </w:rPr>
      </w:pPr>
      <w:r>
        <w:rPr>
          <w:b/>
          <w:sz w:val="24"/>
          <w:rFonts w:ascii="Arial" w:hAnsi="Arial"/>
        </w:rPr>
        <w:t xml:space="preserve">ZAŁĄCZNIK IV</w:t>
      </w:r>
    </w:p>
    <w:p w14:paraId="519E54A3" w14:textId="77777777" w:rsidR="00F13023" w:rsidRPr="00A32D87" w:rsidRDefault="00F13023" w:rsidP="00512B74">
      <w:pPr>
        <w:keepNext/>
        <w:keepLines/>
        <w:spacing w:before="120" w:after="120" w:line="240" w:lineRule="auto"/>
        <w:jc w:val="center"/>
        <w:rPr>
          <w:sz w:val="24"/>
          <w:rFonts w:ascii="Arial" w:hAnsi="Arial"/>
        </w:rPr>
      </w:pPr>
      <w:r>
        <w:rPr>
          <w:b/>
          <w:sz w:val="24"/>
          <w:rFonts w:ascii="Arial" w:hAnsi="Arial"/>
        </w:rPr>
        <w:t xml:space="preserve">Artykuły jednorazowego użytku z tworzyw sztucznych</w:t>
      </w:r>
    </w:p>
    <w:p w14:paraId="4221CA3B"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A. Produkty jednorazowego użytku z tworzyw sztucznych objęte ograniczeniem:</w:t>
      </w:r>
    </w:p>
    <w:p w14:paraId="25580B2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kubki na napoje, w tym ich pokrywki i wieczka;</w:t>
      </w:r>
      <w:r>
        <w:rPr>
          <w:sz w:val="24"/>
          <w:rFonts w:ascii="Arial" w:hAnsi="Arial"/>
        </w:rPr>
        <w:t xml:space="preserve"> </w:t>
      </w:r>
    </w:p>
    <w:p w14:paraId="3DB1C4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pojemniki na żywność, tj. pojemniki takie jak pudełka, z pokrywką lub bez, stosowane w celu umieszczania w nich żywności, która:</w:t>
      </w:r>
      <w:r>
        <w:rPr>
          <w:sz w:val="24"/>
          <w:rFonts w:ascii="Arial" w:hAnsi="Arial"/>
        </w:rPr>
        <w:t xml:space="preserve"> </w:t>
      </w:r>
    </w:p>
    <w:p w14:paraId="67BBB0A4"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jest przeznaczona do bezpośredniego spożycia, na miejscu lub na wynos;</w:t>
      </w:r>
      <w:r>
        <w:rPr>
          <w:sz w:val="24"/>
          <w:rFonts w:ascii="Arial" w:hAnsi="Arial"/>
        </w:rPr>
        <w:t xml:space="preserve"> </w:t>
      </w:r>
    </w:p>
    <w:p w14:paraId="26747612"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jest zazwyczaj spożywana bezpośrednio z pojemnika;</w:t>
      </w:r>
      <w:r>
        <w:rPr>
          <w:sz w:val="24"/>
          <w:rFonts w:ascii="Arial" w:hAnsi="Arial"/>
        </w:rPr>
        <w:t xml:space="preserve"> </w:t>
      </w:r>
    </w:p>
    <w:p w14:paraId="5CE258FE"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c) jest gotowa do spożycia bez dalszej obróbki, takiej jak przyrządzanie, gotowanie czy podgrzewanie, w tym pojemniki na żywność typu fast food lub na inne posiłki gotowe do bezpośredniego spożycia, z wyjątkiem pojemników na napoje, talerzy oraz paczek i owijek zawierających żywność.</w:t>
      </w:r>
      <w:r>
        <w:rPr>
          <w:sz w:val="24"/>
          <w:rFonts w:ascii="Arial" w:hAnsi="Arial"/>
        </w:rPr>
        <w:t xml:space="preserve"> </w:t>
      </w:r>
    </w:p>
    <w:p w14:paraId="727CFAE9" w14:textId="77777777"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B. Produkty jednorazowego użytku z tworzyw sztucznych objęte ograniczeniami w zakresie wprowadzania do obrotu:</w:t>
      </w:r>
      <w:r>
        <w:rPr>
          <w:sz w:val="24"/>
          <w:rFonts w:ascii="Arial" w:hAnsi="Arial"/>
        </w:rPr>
        <w:t xml:space="preserve"> </w:t>
      </w:r>
    </w:p>
    <w:p w14:paraId="3FB2B96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patyczki higieniczne, z wyjątkiem patyczków objętych zakresem stosowania dekretu królewskiego nr 1591/2009 z dnia 16 października w sprawie regulacji wyrobów medycznych;</w:t>
      </w:r>
      <w:r>
        <w:rPr>
          <w:sz w:val="24"/>
          <w:rFonts w:ascii="Arial" w:hAnsi="Arial"/>
        </w:rPr>
        <w:t xml:space="preserve"> </w:t>
      </w:r>
    </w:p>
    <w:p w14:paraId="467F6887"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sztućce (widelce, noże, łyżki, pałeczki);</w:t>
      </w:r>
      <w:r>
        <w:rPr>
          <w:sz w:val="24"/>
          <w:rFonts w:ascii="Arial" w:hAnsi="Arial"/>
        </w:rPr>
        <w:t xml:space="preserve"> </w:t>
      </w:r>
    </w:p>
    <w:p w14:paraId="20D9E128"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talerze;</w:t>
      </w:r>
      <w:r>
        <w:rPr>
          <w:sz w:val="24"/>
          <w:rFonts w:ascii="Arial" w:hAnsi="Arial"/>
        </w:rPr>
        <w:t xml:space="preserve"> </w:t>
      </w:r>
    </w:p>
    <w:p w14:paraId="619F746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słomki, z wyjątkiem słomek objętych zakresem stosowania dekretu królewskiego nr 1591/2009 z dnia 16 października;</w:t>
      </w:r>
    </w:p>
    <w:p w14:paraId="3D41681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5) mieszadełka do napojów;</w:t>
      </w:r>
      <w:r>
        <w:rPr>
          <w:sz w:val="24"/>
          <w:rFonts w:ascii="Arial" w:hAnsi="Arial"/>
        </w:rPr>
        <w:t xml:space="preserve"> </w:t>
      </w:r>
    </w:p>
    <w:p w14:paraId="1142F79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6) patyczki mocowane do balonów i służące do tego, by balony się na nich opierały, w tym mechanizmy tych patyczków, z wyjątkiem balonów do użytku przemysłowego lub innych profesjonalnych zastosowań, które to balony nie są rozprowadzane wśród konsumentów;</w:t>
      </w:r>
      <w:r>
        <w:rPr>
          <w:sz w:val="24"/>
          <w:rFonts w:ascii="Arial" w:hAnsi="Arial"/>
        </w:rPr>
        <w:t xml:space="preserve"> </w:t>
      </w:r>
    </w:p>
    <w:p w14:paraId="5120853D"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7) pojemniki na żywność, o których mowa w lit. A pkt 2, wykonane z polistyrenu ekspandowanego;</w:t>
      </w:r>
      <w:r>
        <w:rPr>
          <w:sz w:val="24"/>
          <w:rFonts w:ascii="Arial" w:hAnsi="Arial"/>
        </w:rPr>
        <w:t xml:space="preserve"> </w:t>
      </w:r>
    </w:p>
    <w:p w14:paraId="67A44FE5"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8) wykonane z polistyrenu ekspandowanego pojemniki na napoje, w tym ich zakrętki i wieczka;</w:t>
      </w:r>
      <w:r>
        <w:rPr>
          <w:sz w:val="24"/>
          <w:rFonts w:ascii="Arial" w:hAnsi="Arial"/>
        </w:rPr>
        <w:t xml:space="preserve"> </w:t>
      </w:r>
    </w:p>
    <w:p w14:paraId="259A031F"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9) wykonane z polistyrenu ekspandowanego kubki na napoje, w tym ich zakrętki i wieczka.</w:t>
      </w:r>
    </w:p>
    <w:p w14:paraId="20768A90"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C. Produkty jednorazowego użytku z tworzyw sztucznych objęte wymogami w zakresie ekoprojektowania</w:t>
      </w:r>
    </w:p>
    <w:p w14:paraId="7EAE8908"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Pojemniki na napoje o pojemności do trzech litrów, tj. pojemniki stosowane do przechowywania napojów, takie jak butelki na napoje, w tym ich zakrętki i wieczka, oraz wielomateriałowe opakowania na napoje, w tym ich zakrętki i wieczka, lecz nie:</w:t>
      </w:r>
      <w:r>
        <w:rPr>
          <w:sz w:val="24"/>
          <w:rFonts w:ascii="Arial" w:hAnsi="Arial"/>
        </w:rPr>
        <w:t xml:space="preserve"> </w:t>
      </w:r>
    </w:p>
    <w:p w14:paraId="08CBE62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szklane lub metalowe pojemniki na napoje, których zakrętki i wieczka są wykonane z tworzyw sztucznych;</w:t>
      </w:r>
      <w:r>
        <w:rPr>
          <w:sz w:val="24"/>
          <w:rFonts w:ascii="Arial" w:hAnsi="Arial"/>
        </w:rPr>
        <w:t xml:space="preserve"> </w:t>
      </w:r>
    </w:p>
    <w:p w14:paraId="11483AF6"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pojemniki na napoje przeznaczone i wykorzystywane do mającej płynną postać żywności specjalnego przeznaczenia medycznego zgodnie z definicją w art. 2 lit. g) rozporządzenia Parlamentu Europejskiego i Rady (UE) nr 609/2013 z dnia 12 czerwca 2013 r. w sprawie żywności przeznaczonej dla niemowląt i małych dzieci oraz żywności specjalnego przeznaczenia medycznego i środków spożywczych zastępujących całodzienną dietę, do kontroli masy ciała oraz uchylającego dyrektywę Rady 92/52/EWG, dyrektywy Komisji 96/8/WE, 1999/21/WE, 2006/125/WE i 2006/141/WE, dyrektywę Parlamentu Europejskiego i Rady 2009/39/WE oraz rozporządzenia Komisji (WE) nr 41/2009 i (WE) nr 953/2009.</w:t>
      </w:r>
      <w:r>
        <w:rPr>
          <w:sz w:val="24"/>
          <w:rFonts w:ascii="Arial" w:hAnsi="Arial"/>
        </w:rPr>
        <w:t xml:space="preserve"> </w:t>
      </w:r>
    </w:p>
    <w:p w14:paraId="1B0AA0F9" w14:textId="5DA82798"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D. Produkty jednorazowego użytku z tworzyw sztucznych objęte wymogami w zakresie oznakowania</w:t>
      </w:r>
      <w:r>
        <w:rPr>
          <w:sz w:val="24"/>
          <w:rFonts w:ascii="Arial" w:hAnsi="Arial"/>
        </w:rPr>
        <w:t xml:space="preserve"> </w:t>
      </w:r>
    </w:p>
    <w:p w14:paraId="01CE2D6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1) podpaski higieniczne, tampony oraz aplikatory do tamponów;</w:t>
      </w:r>
    </w:p>
    <w:p w14:paraId="5DAF8933"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2) chusteczki nawilżane, tj. uprzednio nawilżone chusteczki przeznaczone do higieny osobistej i uprzednio nawilżone chusteczki do użytku domowego;</w:t>
      </w:r>
      <w:r>
        <w:rPr>
          <w:sz w:val="24"/>
          <w:rFonts w:ascii="Arial" w:hAnsi="Arial"/>
        </w:rPr>
        <w:t xml:space="preserve"> </w:t>
      </w:r>
    </w:p>
    <w:p w14:paraId="322F54C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3) wyroby tytoniowe z filtrami i filtry sprzedawane do używania z wyrobami tytoniowymi;</w:t>
      </w:r>
      <w:r>
        <w:rPr>
          <w:sz w:val="24"/>
          <w:rFonts w:ascii="Arial" w:hAnsi="Arial"/>
        </w:rPr>
        <w:t xml:space="preserve"> </w:t>
      </w:r>
    </w:p>
    <w:p w14:paraId="5CD337D1"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4) kubki na napoje.</w:t>
      </w:r>
    </w:p>
    <w:p w14:paraId="2E11469C" w14:textId="77777777" w:rsidR="00F13023" w:rsidRPr="00A32D87" w:rsidRDefault="00F13023" w:rsidP="002478C1">
      <w:pPr>
        <w:spacing w:before="120" w:after="120" w:line="240" w:lineRule="auto"/>
        <w:jc w:val="both"/>
        <w:rPr>
          <w:sz w:val="24"/>
          <w:rFonts w:ascii="Arial" w:hAnsi="Arial"/>
        </w:rPr>
      </w:pPr>
      <w:r>
        <w:rPr>
          <w:sz w:val="24"/>
          <w:rFonts w:ascii="Arial" w:hAnsi="Arial"/>
        </w:rPr>
        <w:t xml:space="preserve">E. Produkty jednorazowego użytku z tworzyw sztucznych podlegające selektywnej zbiórce objęte wymogami w zakresie ekoprojektowania</w:t>
      </w:r>
    </w:p>
    <w:p w14:paraId="67CEA7E9" w14:textId="77777777" w:rsidR="00F13023" w:rsidRDefault="00F13023" w:rsidP="00512B74">
      <w:pPr>
        <w:keepNext/>
        <w:keepLines/>
        <w:spacing w:before="120" w:after="120" w:line="240" w:lineRule="auto"/>
        <w:jc w:val="both"/>
        <w:rPr>
          <w:sz w:val="24"/>
          <w:rFonts w:ascii="Arial" w:hAnsi="Arial"/>
        </w:rPr>
      </w:pPr>
      <w:r>
        <w:rPr>
          <w:sz w:val="24"/>
          <w:rFonts w:ascii="Arial" w:hAnsi="Arial"/>
        </w:rPr>
        <w:t xml:space="preserve">Butelki na napoje o pojemności nieprzekraczającej trzech litrów, w tym ich zakrętki i wieczka, lecz nie:</w:t>
      </w:r>
      <w:r>
        <w:rPr>
          <w:sz w:val="24"/>
          <w:rFonts w:ascii="Arial" w:hAnsi="Arial"/>
        </w:rPr>
        <w:t xml:space="preserve"> </w:t>
      </w:r>
    </w:p>
    <w:p w14:paraId="7E0C7C4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a) szklane lub metalowe butelki na napoje, których zakrętki i wieczka są wykonane z tworzyw sztucznych;</w:t>
      </w:r>
    </w:p>
    <w:p w14:paraId="4009439B" w14:textId="77777777" w:rsidR="00F13023" w:rsidRPr="00A32D87" w:rsidRDefault="00F13023" w:rsidP="002478C1">
      <w:pPr>
        <w:spacing w:before="120" w:after="120" w:line="240" w:lineRule="auto"/>
        <w:ind w:left="709"/>
        <w:jc w:val="both"/>
        <w:rPr>
          <w:sz w:val="24"/>
          <w:rFonts w:ascii="Arial" w:hAnsi="Arial"/>
        </w:rPr>
      </w:pPr>
      <w:r>
        <w:rPr>
          <w:sz w:val="24"/>
          <w:rFonts w:ascii="Arial" w:hAnsi="Arial"/>
        </w:rPr>
        <w:t xml:space="preserve">b) butelki na napoje przeznaczone i wykorzystywane do mającej płynną postać żywności specjalnego przeznaczenia medycznego zgodnie z definicją w art. 2 lit. g) rozporządzenia Parlamentu Europejskiego i Rady (UE) nr 609/2013 z dnia 12 czerwca 2013 r.</w:t>
      </w:r>
    </w:p>
    <w:p w14:paraId="3E735C9D" w14:textId="62C2A9CC" w:rsidR="00F13023" w:rsidRPr="00A32D87" w:rsidRDefault="00F13023" w:rsidP="002478C1">
      <w:pPr>
        <w:spacing w:before="120" w:after="120" w:line="240" w:lineRule="auto"/>
        <w:jc w:val="both"/>
        <w:rPr>
          <w:sz w:val="24"/>
          <w:rFonts w:ascii="Arial" w:hAnsi="Arial"/>
        </w:rPr>
      </w:pPr>
      <w:r>
        <w:rPr>
          <w:sz w:val="24"/>
          <w:rFonts w:ascii="Arial" w:hAnsi="Arial"/>
        </w:rPr>
        <w:t xml:space="preserve">F. Produkty jednorazowego użytku z tworzyw sztucznych objęte art. 45 dotyczącym rozszerzonej odpowiedzialności producenta i art. 46 dotyczącym środków służących upowszechnianiu wiedzy</w:t>
      </w:r>
    </w:p>
    <w:p w14:paraId="6AB4BB90" w14:textId="60F8E1CE"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1.</w:t>
      </w:r>
      <w:r>
        <w:rPr>
          <w:sz w:val="24"/>
          <w:rFonts w:ascii="Arial" w:hAnsi="Arial"/>
        </w:rPr>
        <w:t xml:space="preserve"> </w:t>
      </w:r>
      <w:r>
        <w:rPr>
          <w:sz w:val="24"/>
          <w:rFonts w:ascii="Arial" w:hAnsi="Arial"/>
        </w:rPr>
        <w:t xml:space="preserve">Produkty jednorazowego użytku z tworzyw sztucznych objęte art. 45 ust. 2 dotyczącym rozszerzonej odpowiedzialności producenta</w:t>
      </w:r>
    </w:p>
    <w:p w14:paraId="328C7CEC" w14:textId="43ABAA56"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1) pojemniki na żywność, tj. pojemniki takie jak pudełka, z pokrywką lub bez, stosowane w celu umieszczania w nich żywności, która:</w:t>
      </w:r>
    </w:p>
    <w:p w14:paraId="52A13C01" w14:textId="7C0EF137"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a) jest przeznaczona do bezpośredniego spożycia, na miejscu lub na wynos;</w:t>
      </w:r>
    </w:p>
    <w:p w14:paraId="0E87DD24" w14:textId="599EA543"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b) jest zazwyczaj spożywana bezpośrednio z pojemnika;</w:t>
      </w:r>
    </w:p>
    <w:p w14:paraId="0D3B5B57" w14:textId="3D6DF30D" w:rsidR="00F13023" w:rsidRPr="00A32D87" w:rsidRDefault="00F13023" w:rsidP="005E6A73">
      <w:pPr>
        <w:spacing w:before="120" w:after="120" w:line="240" w:lineRule="auto"/>
        <w:ind w:left="709"/>
        <w:jc w:val="both"/>
        <w:rPr>
          <w:sz w:val="24"/>
          <w:rFonts w:ascii="Arial" w:hAnsi="Arial"/>
        </w:rPr>
      </w:pPr>
      <w:r>
        <w:rPr>
          <w:sz w:val="24"/>
          <w:rFonts w:ascii="Arial" w:hAnsi="Arial"/>
        </w:rPr>
        <w:t xml:space="preserve">c) jest gotowa do spożycia bez dalszej obróbki, takiej jak przyrządzanie, gotowanie czy podgrzewanie, w tym pojemniki na żywność typu fast food lub na inne posiłki gotowe do bezpośredniego spożycia, z wyjątkiem pojemników na napoje, talerzy oraz paczek i owijek zawierających żywność;</w:t>
      </w:r>
      <w:r>
        <w:rPr>
          <w:sz w:val="24"/>
          <w:rFonts w:ascii="Arial" w:hAnsi="Arial"/>
        </w:rPr>
        <w:t xml:space="preserve"> </w:t>
      </w:r>
    </w:p>
    <w:p w14:paraId="392BC0FE" w14:textId="48CCC619"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2) paczki i owijki wykonane z elastycznych materiałów zawierające żywność przeznaczoną do bezpośredniego spożycia z paczki lub owijki bez żadnej dalszej obróbki;</w:t>
      </w:r>
    </w:p>
    <w:p w14:paraId="5E97A670" w14:textId="777220C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3) pojemniki na napoje o pojemności nieprzekraczającej trzech litrów, tj. pojemniki stosowane do przechowywania napojów, takie jak butelki na napoje, w tym ich zakrętki i wieczka, oraz wielomateriałowe opakowania na napoje, w tym ich zakrętki i wieczka, ale nie szklane lub metalowe pojemniki na napoje, których zakrętki i wieczka są wykonane z tworzyw sztucznych;</w:t>
      </w:r>
    </w:p>
    <w:p w14:paraId="7AD9128A" w14:textId="2C941904"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4) kubki na napoje, w tym ich pokrywki i wieczka;</w:t>
      </w:r>
    </w:p>
    <w:p w14:paraId="74A941FF" w14:textId="6734ABAE" w:rsidR="00F13023" w:rsidRPr="00A32D87" w:rsidRDefault="00F13023" w:rsidP="002F35DA">
      <w:pPr>
        <w:spacing w:before="120" w:after="120" w:line="240" w:lineRule="auto"/>
        <w:ind w:left="709"/>
        <w:jc w:val="both"/>
        <w:rPr>
          <w:sz w:val="24"/>
          <w:rFonts w:ascii="Arial" w:hAnsi="Arial"/>
        </w:rPr>
      </w:pPr>
      <w:r>
        <w:rPr>
          <w:sz w:val="24"/>
          <w:rFonts w:ascii="Arial" w:hAnsi="Arial"/>
        </w:rPr>
        <w:t xml:space="preserve">5) lekkie plastikowe torby na zakupy zgodnie z definicją w dekrecie królewskim nr 293/2018 z dnia 18 maja.</w:t>
      </w:r>
    </w:p>
    <w:p w14:paraId="1C55DC3C" w14:textId="46FB8EDA" w:rsidR="00F13023" w:rsidRPr="00A32D87" w:rsidRDefault="00F13023" w:rsidP="00512B74">
      <w:pPr>
        <w:keepNext/>
        <w:keepLines/>
        <w:spacing w:before="120" w:after="120" w:line="240" w:lineRule="auto"/>
        <w:jc w:val="both"/>
        <w:rPr>
          <w:sz w:val="24"/>
          <w:rFonts w:ascii="Arial" w:hAnsi="Arial"/>
        </w:rPr>
      </w:pPr>
      <w:r>
        <w:rPr>
          <w:sz w:val="24"/>
          <w:rFonts w:ascii="Arial" w:hAnsi="Arial"/>
        </w:rPr>
        <w:t xml:space="preserve">2.</w:t>
      </w:r>
      <w:r>
        <w:rPr>
          <w:sz w:val="24"/>
          <w:rFonts w:ascii="Arial" w:hAnsi="Arial"/>
        </w:rPr>
        <w:t xml:space="preserve"> </w:t>
      </w:r>
      <w:r>
        <w:rPr>
          <w:sz w:val="24"/>
          <w:rFonts w:ascii="Arial" w:hAnsi="Arial"/>
        </w:rPr>
        <w:t xml:space="preserve">Produkty jednorazowego użytku z tworzyw sztucznych objęte art. 45 ust. 3 dotyczącym rozszerzonej odpowiedzialności producenta:</w:t>
      </w:r>
    </w:p>
    <w:p w14:paraId="24EEA25F"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1) chusteczki nawilżane, tj. uprzednio nawilżone chusteczki przeznaczone do higieny osobistej i uprzednio nawilżone chusteczki do użytku domowego;</w:t>
      </w:r>
    </w:p>
    <w:p w14:paraId="71D7CF4E"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2) balony, z wyjątkiem balonów do użytku przemysłowego lub innych profesjonalnych zastosowań, które to balony nie są rozprowadzane wśród konsumentów;</w:t>
      </w:r>
    </w:p>
    <w:p w14:paraId="7F38D765" w14:textId="77777777" w:rsidR="00F13023" w:rsidRPr="00A32D87" w:rsidRDefault="00F13023" w:rsidP="002478C1">
      <w:pPr>
        <w:autoSpaceDE w:val="0"/>
        <w:autoSpaceDN w:val="0"/>
        <w:adjustRightInd w:val="0"/>
        <w:spacing w:before="120" w:after="120" w:line="240" w:lineRule="auto"/>
        <w:ind w:left="709"/>
        <w:jc w:val="both"/>
        <w:rPr>
          <w:sz w:val="24"/>
          <w:rFonts w:ascii="Arial" w:hAnsi="Arial"/>
        </w:rPr>
      </w:pPr>
      <w:r>
        <w:rPr>
          <w:sz w:val="24"/>
          <w:rFonts w:ascii="Arial" w:hAnsi="Arial"/>
        </w:rPr>
        <w:t xml:space="preserve">3) wyroby tytoniowe z filtrami i filtry sprzedawane do używania z wyrobami tytoniowymi.</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016A" w14:textId="77777777" w:rsidR="005F5FF0" w:rsidRDefault="005F5FF0" w:rsidP="009F2382">
      <w:pPr>
        <w:spacing w:after="0" w:line="240" w:lineRule="auto"/>
      </w:pPr>
      <w:r>
        <w:separator/>
      </w:r>
    </w:p>
  </w:endnote>
  <w:endnote w:type="continuationSeparator" w:id="0">
    <w:p w14:paraId="5ECFDEAF" w14:textId="77777777" w:rsidR="005F5FF0" w:rsidRDefault="005F5FF0" w:rsidP="009F2382">
      <w:pPr>
        <w:spacing w:after="0" w:line="240" w:lineRule="auto"/>
      </w:pPr>
      <w:r>
        <w:continuationSeparator/>
      </w:r>
    </w:p>
  </w:endnote>
  <w:endnote w:type="continuationNotice" w:id="1">
    <w:p w14:paraId="51722FB4" w14:textId="77777777" w:rsidR="005F5FF0" w:rsidRDefault="005F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721F1C">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6CFC3" w14:textId="77777777" w:rsidR="005F5FF0" w:rsidRDefault="005F5FF0" w:rsidP="009F2382">
      <w:pPr>
        <w:spacing w:after="0" w:line="240" w:lineRule="auto"/>
      </w:pPr>
      <w:r>
        <w:separator/>
      </w:r>
    </w:p>
  </w:footnote>
  <w:footnote w:type="continuationSeparator" w:id="0">
    <w:p w14:paraId="0A72394E" w14:textId="77777777" w:rsidR="005F5FF0" w:rsidRDefault="005F5FF0" w:rsidP="009F2382">
      <w:pPr>
        <w:spacing w:after="0" w:line="240" w:lineRule="auto"/>
      </w:pPr>
      <w:r>
        <w:continuationSeparator/>
      </w:r>
    </w:p>
  </w:footnote>
  <w:footnote w:type="continuationNotice" w:id="1">
    <w:p w14:paraId="21EAC4D0" w14:textId="77777777" w:rsidR="005F5FF0" w:rsidRDefault="005F5F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position w:val="12"/>
              <w:sz w:val="14"/>
              <w:szCs w:val="14"/>
              <w:rFonts w:ascii="Arial" w:hAnsi="Arial" w:cs="Arial"/>
            </w:rPr>
          </w:pPr>
          <w:r>
            <w:rPr>
              <w:sz w:val="14"/>
              <w:szCs w:val="14"/>
              <w:rFonts w:ascii="Arial" w:hAnsi="Arial"/>
            </w:rPr>
            <w:object w:dxaOrig="945" w:dyaOrig="960"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pt" o:ole="">
                <v:imagedata r:id="rId1" o:title=""/>
              </v:shape>
              <o:OLEObject Type="Embed" ProgID="PBrush" ShapeID="_x0000_i1025" DrawAspect="Content" ObjectID="_1664996855" r:id="rId2"/>
            </w:object>
          </w:r>
        </w:p>
      </w:tc>
      <w:tc>
        <w:tcPr>
          <w:tcW w:w="4641" w:type="dxa"/>
          <w:vMerge w:val="restart"/>
          <w:vAlign w:val="center"/>
        </w:tcPr>
        <w:p w14:paraId="467E6C3D" w14:textId="78A3A593" w:rsidR="009F092F" w:rsidRPr="002478C1" w:rsidRDefault="009F092F" w:rsidP="002478C1">
          <w:pPr>
            <w:spacing w:after="0"/>
            <w:ind w:right="993"/>
            <w:rPr>
              <w:position w:val="12"/>
              <w:szCs w:val="14"/>
              <w:rFonts w:ascii="Arial" w:hAnsi="Arial" w:cs="Arial"/>
            </w:rPr>
          </w:pPr>
          <w:r>
            <w:rPr>
              <w:szCs w:val="14"/>
              <w:rFonts w:ascii="Arial" w:hAnsi="Arial"/>
            </w:rPr>
            <w:t xml:space="preserve">MINISTERSTWO DS. TRANSFORMACJI EKOLOGICZNEJ I WYZWAŃ DEMOGRAFICZNYCH</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sz w:val="14"/>
              <w:szCs w:val="14"/>
              <w:rFonts w:ascii="Arial" w:hAnsi="Arial" w:cs="Arial"/>
            </w:rPr>
          </w:pPr>
          <w:r>
            <w:rPr>
              <w:sz w:val="14"/>
              <w:szCs w:val="14"/>
              <w:rFonts w:ascii="Arial" w:hAnsi="Arial"/>
            </w:rPr>
            <w:t xml:space="preserve">SEKRETARIAT STANU DS. ŚRODOWISKA</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sz w:val="14"/>
              <w:szCs w:val="14"/>
              <w:rFonts w:ascii="Arial" w:hAnsi="Arial" w:cs="Arial"/>
            </w:rPr>
          </w:pPr>
          <w:r>
            <w:rPr>
              <w:sz w:val="14"/>
              <w:szCs w:val="14"/>
              <w:rFonts w:ascii="Arial" w:hAnsi="Arial"/>
            </w:rPr>
            <w:t xml:space="preserve">DYREKCJA GENERALNA DS. JAKOŚCI I OCENY WPŁYWU NA ŚRODOWISKO</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lang w:val="pl-PL"/>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lang w:val="pl-PL"/>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lang w:val="pl-PL"/>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lang w:val="pl-PL"/>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lang w:val="pl-PL"/>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lang w:val="pl-PL"/>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lang w:val="pl-PL"/>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lang w:val="pl-PL"/>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lang w:val="pl-PL"/>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pl-PL"/>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lang w:val="pl-PL"/>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4.xml><?xml version="1.0" encoding="utf-8"?>
<ds:datastoreItem xmlns:ds="http://schemas.openxmlformats.org/officeDocument/2006/customXml" ds:itemID="{428D4753-D60D-479E-8AA2-5379EB34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6705</Words>
  <Characters>38223</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Ke, Tingting</cp:lastModifiedBy>
  <cp:revision>4</cp:revision>
  <cp:lastPrinted>2020-02-20T16:31:00Z</cp:lastPrinted>
  <dcterms:created xsi:type="dcterms:W3CDTF">2020-10-23T09:37:00Z</dcterms:created>
  <dcterms:modified xsi:type="dcterms:W3CDTF">2020-10-23T14:21:00Z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