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2E06D" w14:textId="6AA5D332" w:rsidR="00485123" w:rsidRPr="00363995" w:rsidRDefault="00485123" w:rsidP="00485123">
      <w:pPr>
        <w:jc w:val="center"/>
        <w:rPr>
          <w:sz w:val="20"/>
          <w:rFonts w:ascii="Courier New" w:hAnsi="Courier New"/>
        </w:rPr>
      </w:pPr>
      <w:bookmarkStart w:id="0" w:name="_Hlk62225604"/>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------IND- 2021 0077 D-- FR- ------ 20210307 --- --- PROJET</w:t>
      </w:r>
      <w:bookmarkEnd w:id="0"/>
    </w:p>
    <w:p w14:paraId="257A296C" w14:textId="77777777" w:rsidR="002C527A" w:rsidRPr="00AE0058" w:rsidRDefault="002C527A" w:rsidP="002C527A">
      <w:pPr>
        <w:pStyle w:val="VorblattDokumentstatus"/>
      </w:pPr>
      <w:r>
        <w:t xml:space="preserve">Projet de loi</w:t>
      </w:r>
    </w:p>
    <w:p w14:paraId="5A93C7C9" w14:textId="3DC0B97F" w:rsidR="002C527A" w:rsidRPr="00AE0058" w:rsidRDefault="002C527A" w:rsidP="00E46289">
      <w:pPr>
        <w:pStyle w:val="Initiant"/>
        <w:suppressAutoHyphens/>
      </w:pPr>
      <w:r>
        <w:t xml:space="preserve">du ministère fédéral de l’environnement, de la protection de la nature et de la sûreté nucléaire</w:t>
      </w:r>
    </w:p>
    <w:p w14:paraId="726442A8" w14:textId="4EA8274B" w:rsidR="002C527A" w:rsidRPr="00AE0058" w:rsidRDefault="002C527A" w:rsidP="00E46289">
      <w:pPr>
        <w:pStyle w:val="VorblattBezeichnung"/>
        <w:suppressAutoHyphens/>
      </w:pPr>
      <w:r>
        <w:t xml:space="preserve">Projet d’une première loi modifiant la loi sur les statistiques environnementales et d’autres lois</w:t>
      </w:r>
    </w:p>
    <w:p w14:paraId="3564A282" w14:textId="77777777" w:rsidR="002C527A" w:rsidRPr="00AE0058" w:rsidRDefault="002C527A" w:rsidP="002C527A">
      <w:pPr>
        <w:pStyle w:val="VorblattTitelProblemundZiel"/>
      </w:pPr>
      <w:r>
        <w:t xml:space="preserve">A. Problème et objectif</w:t>
      </w:r>
    </w:p>
    <w:p w14:paraId="70BB2B64" w14:textId="5E6AE5BD" w:rsidR="002C527A" w:rsidRPr="00AE0058" w:rsidRDefault="002C527A" w:rsidP="002C527A">
      <w:pPr>
        <w:pStyle w:val="Text"/>
      </w:pPr>
      <w:r>
        <w:t xml:space="preserve">Depuis la dernière modification de la loi sur les statistiques environnementales en 2017, des bases juridiques nouvelles ou modifiées de l'UE sont entrées en vigueur, obligeant les États membres à modifier les données fournies à l'UE, parfois avec de nouvelles caractéristiques.</w:t>
      </w:r>
      <w:r>
        <w:t xml:space="preserve"> </w:t>
      </w:r>
      <w:r>
        <w:t xml:space="preserve">Cela concerne le domaine des statistiques sur les déchets, les statistiques sur la gestion de l'eau et la comptabilité environnementale.</w:t>
      </w:r>
      <w:r>
        <w:t xml:space="preserve"> </w:t>
      </w:r>
      <w:r>
        <w:t xml:space="preserve">Afin de pouvoir satisfaire aux nouvelles obligations de déclaration, les enquêtes correspondantes doivent être commandées dans le cadre de la loi sur les statistiques environnementales.</w:t>
      </w:r>
      <w:r>
        <w:t xml:space="preserve"> </w:t>
      </w:r>
    </w:p>
    <w:p w14:paraId="6B63E28F" w14:textId="225449B1" w:rsidR="004D5A7F" w:rsidRPr="00AE0058" w:rsidRDefault="004D5A7F" w:rsidP="003F5274">
      <w:pPr>
        <w:pStyle w:val="Text"/>
        <w:keepNext/>
        <w:rPr>
          <w:b/>
        </w:rPr>
      </w:pPr>
      <w:r>
        <w:rPr>
          <w:b/>
        </w:rPr>
        <w:t xml:space="preserve">Statistiques sur les déchets</w:t>
      </w:r>
    </w:p>
    <w:p w14:paraId="0034D6AC" w14:textId="4004FF5E" w:rsidR="002C527A" w:rsidRPr="00AE0058" w:rsidRDefault="002C527A" w:rsidP="003F5274">
      <w:pPr>
        <w:pStyle w:val="Text"/>
        <w:keepNext/>
      </w:pPr>
      <w:r>
        <w:t xml:space="preserve">Afin de promouvoir la prévention des déchets, la réutilisation des marchandises ou de leurs composants déjà produits et donc l'économie circulaire, l'UE a adopté un paquet de différentes directives sur les déchets.</w:t>
      </w:r>
      <w:r>
        <w:t xml:space="preserve"> </w:t>
      </w:r>
      <w:r>
        <w:t xml:space="preserve">Ce paquet de l'UE sur les déchets comprend</w:t>
      </w:r>
      <w:r>
        <w:t xml:space="preserve"> </w:t>
      </w:r>
    </w:p>
    <w:p w14:paraId="061C2455" w14:textId="2B696735" w:rsidR="002C527A" w:rsidRPr="00AE0058" w:rsidRDefault="002C527A" w:rsidP="002C527A">
      <w:pPr>
        <w:pStyle w:val="Text"/>
      </w:pPr>
      <w:r>
        <w:t xml:space="preserve">- la directive-cadre relative aux déchets (AbfRRL), directive 2008/98/CE du Parlement européen et du Conseil du 19 novembre 2008 relative aux déchets et abrogeant certaines directives (JO L 312 du 22.11.2008, p. 3), modifiée en dernier lieu par la directive (UE) 2018/851 (JO L 150 du 14.6.2018, p. 109),</w:t>
      </w:r>
      <w:r>
        <w:t xml:space="preserve"> </w:t>
      </w:r>
    </w:p>
    <w:p w14:paraId="00AA8BEE" w14:textId="6C015E75" w:rsidR="002C527A" w:rsidRPr="00AE0058" w:rsidRDefault="002C527A" w:rsidP="002C527A">
      <w:pPr>
        <w:pStyle w:val="Text"/>
      </w:pPr>
      <w:r>
        <w:t xml:space="preserve">- la directive sur les emballages (directive 94/62/CE du Parlement européen et du Conseil du 20 décembre 1994 relative aux emballages et aux déchets d'emballages (JO L 365 du 31.12.1994, p. 10), modifiée en dernier lieu par la directive (UE) 2018/852 (JO L 150 du 14.6.2018, p. 141) et</w:t>
      </w:r>
    </w:p>
    <w:p w14:paraId="29C6CA0B" w14:textId="771327F9" w:rsidR="002C527A" w:rsidRPr="00AE0058" w:rsidRDefault="002C527A" w:rsidP="002C527A">
      <w:pPr>
        <w:pStyle w:val="Text"/>
      </w:pPr>
      <w:r>
        <w:t xml:space="preserve">- la directive sur la mise en décharge des déchets (directive 1999/31/CE du Conseil du 26 avril 1999 concernant la mise en décharge des déchets (JO L 182 du 16.7.1999, p. 1), modifiée en dernier lieu par la directive (UE) 2018/850 (JO L 150 du 14.6.2018, p. 100).</w:t>
      </w:r>
      <w:r>
        <w:t xml:space="preserve"> </w:t>
      </w:r>
    </w:p>
    <w:p w14:paraId="4A41CB79" w14:textId="576FDC91" w:rsidR="002C527A" w:rsidRPr="00AE0058" w:rsidRDefault="002C527A" w:rsidP="002C527A">
      <w:pPr>
        <w:pStyle w:val="Text"/>
      </w:pPr>
      <w:r>
        <w:t xml:space="preserve">La modification de la directive-cadre relative aux déchets par la directive (UE) 2018/851 contient de nombreux changements et nouveautés concernant les obligations de déclaration.</w:t>
      </w:r>
      <w:r>
        <w:t xml:space="preserve"> </w:t>
      </w:r>
      <w:r>
        <w:t xml:space="preserve">Les données à fournir sont plus nombreuses qu'auparavant.</w:t>
      </w:r>
      <w:r>
        <w:t xml:space="preserve"> </w:t>
      </w:r>
      <w:r>
        <w:t xml:space="preserve">Par exemple, les déchets organiques qui sont séparés et recyclés au point de production (compostage propre) doivent être pris en compte dans le calcul du taux de recyclage.</w:t>
      </w:r>
      <w:r>
        <w:t xml:space="preserve"> </w:t>
      </w:r>
      <w:r>
        <w:t xml:space="preserve">Certaines caractéristiques qui doivent être nouvellement incluses dans le questionnaire conformément au droit de l'Union sont déjà couvertes par la loi sur les statistiques environnementales.</w:t>
      </w:r>
    </w:p>
    <w:p w14:paraId="5927D086" w14:textId="3B7E8825" w:rsidR="002C527A" w:rsidRPr="00AE0058" w:rsidRDefault="002C527A" w:rsidP="002C527A">
      <w:pPr>
        <w:pStyle w:val="Text"/>
      </w:pPr>
      <w:r>
        <w:t xml:space="preserve">La modification de la directive européenne sur les emballages par la directive (UE) 2018/852, par la nouvelle directive sur les plastiques à usage unique (directive (UE) 2019/904 du Parlement européen et du Conseil du 5 juin 2019 relative à la réduction de l'impact de certains produits en matière plastique sur l'environnement) (JO L 155 du 12.6.2019, p. 1) et la directive (UE) 2019/883 du Parlement européen et du Conseil du 17 avril 2019 sur les installations de réception portuaires pour le déchargement des déchets des navires, modifiant la directive 2010/65/UE et abrogeant la directive 2000/59/CE (JO L 151 du 7.6.2019, p. 116) rend nécessaire la remise de données plus importantes.</w:t>
      </w:r>
      <w:r>
        <w:t xml:space="preserve"> </w:t>
      </w:r>
      <w:r>
        <w:t xml:space="preserve">Ces données sont nécessaires pour contrôler les objectifs fixés.</w:t>
      </w:r>
      <w:r>
        <w:t xml:space="preserve"> </w:t>
      </w:r>
      <w:r>
        <w:t xml:space="preserve">La Commission européenne a publié ou est en train d'adopter des directives d'exécution pour la mise en œuvre du suivi des objectifs.</w:t>
      </w:r>
      <w:r>
        <w:t xml:space="preserve"> </w:t>
      </w:r>
    </w:p>
    <w:p w14:paraId="67779046" w14:textId="2CECDA9F" w:rsidR="002C527A" w:rsidRPr="00AE0058" w:rsidRDefault="002C527A" w:rsidP="002C527A">
      <w:pPr>
        <w:pStyle w:val="Text"/>
      </w:pPr>
      <w:r>
        <w:t xml:space="preserve">Afin de pouvoir satisfaire aux nouvelles obligations de déclaration, il est nécessaire de prévoir des caractéristiques et des statistiques supplémentaires dans la loi sur les statistiques environnementales.</w:t>
      </w:r>
    </w:p>
    <w:p w14:paraId="70E6C756" w14:textId="5BFCC4BD" w:rsidR="002C527A" w:rsidRPr="00AE0058" w:rsidRDefault="002C527A" w:rsidP="002C527A">
      <w:pPr>
        <w:pStyle w:val="Text"/>
      </w:pPr>
      <w:r>
        <w:t xml:space="preserve">En outre, il existe jusqu'à présent un vide juridique dans la transmission des données individuelles à l'Agence fédérale de l'environnement (UBA), qui doit être comblé par une modification de la loi sur les statistiques environnementales.</w:t>
      </w:r>
      <w:r>
        <w:t xml:space="preserve"> </w:t>
      </w:r>
      <w:r>
        <w:t xml:space="preserve">En plus de la déclaration des émissions, l'UBA utilise également les données des offices statistiques des Länder et du gouvernement fédéral pour d'autres obligations de déclaration à l'UE.</w:t>
      </w:r>
      <w:r>
        <w:t xml:space="preserve"> </w:t>
      </w:r>
      <w:r>
        <w:t xml:space="preserve">Il reçoit des tableaux avec des résultats statistiques pour ses calculs, même si les champs du tableau ne montrent qu'un seul cas.</w:t>
      </w:r>
    </w:p>
    <w:p w14:paraId="77734AC6" w14:textId="0342486E" w:rsidR="00025B89" w:rsidRPr="00AE0058" w:rsidRDefault="00587703" w:rsidP="00274D4E">
      <w:pPr>
        <w:pStyle w:val="Text"/>
        <w:keepNext/>
        <w:rPr>
          <w:b/>
        </w:rPr>
      </w:pPr>
      <w:r>
        <w:rPr>
          <w:b/>
        </w:rPr>
        <w:t xml:space="preserve">Statistiques sur la gestion de l'eau et les substances ayant un impact sur le climat</w:t>
      </w:r>
    </w:p>
    <w:p w14:paraId="0812E66B" w14:textId="29A6E434" w:rsidR="00E014C9" w:rsidRPr="00AE0058" w:rsidRDefault="00E014C9" w:rsidP="002C527A">
      <w:pPr>
        <w:pStyle w:val="Text"/>
      </w:pPr>
      <w:r>
        <w:t xml:space="preserve">Dans le domaine des boues d'épuration, des informations supplémentaires sont requises pour la déclaration à l'UE.</w:t>
      </w:r>
      <w:r>
        <w:t xml:space="preserve"> </w:t>
      </w:r>
      <w:r>
        <w:t xml:space="preserve">Ces informations sont destinées à fournir une désignation spatiale des terres agricoles avec utilisation de boues d'épuration.</w:t>
      </w:r>
      <w:r>
        <w:t xml:space="preserve"> </w:t>
      </w:r>
      <w:r>
        <w:t xml:space="preserve">La base des modifications est le règlement (UE) 2019/1010 du Parlement européen et du Conseil du 5 juin 2019 concernant le rapprochement des exigences en matière de rapports dans le domaine de la législation relative à l'environnement et modifiant les règlements (CE) n° 166/2006 et (UE) n° 995/2010 du Parlement européen et du Conseil, les directives 2002/49/CE, 2004/35/CE, 2007/2/CE, 2009/147/CE et 2010/63/UE du Parlement européen et du Conseil, les règlements (CE) n° 338/97 et (CE) n° 2173/2005 du Conseil et la directive 86/278/CEE du Conseil (JO L 170 du 25.6.2019, p. 115).</w:t>
      </w:r>
    </w:p>
    <w:p w14:paraId="095E02E7" w14:textId="075C1B11" w:rsidR="00425352" w:rsidRPr="00AE0058" w:rsidRDefault="002C527A" w:rsidP="00425352">
      <w:r>
        <w:t xml:space="preserve">Pour les rapports internationaux sur les effets de l'utilisation des substances qui altèrent le climat, des informations sur la production, l'importation et l'exportation ainsi que sur l'utilisation de ces substances sont nécessaires.</w:t>
      </w:r>
      <w:r>
        <w:t xml:space="preserve"> </w:t>
      </w:r>
      <w:r>
        <w:t xml:space="preserve">Comme la nature des substances utilisées change régulièrement, des ajustements appropriés doivent être apportés aux fins de la déclaration.</w:t>
      </w:r>
      <w:r>
        <w:t xml:space="preserve"> </w:t>
      </w:r>
      <w:r>
        <w:t xml:space="preserve">Par exemple, le règlement européen sur les gaz fluorés (règlement (UE) n° 517/2014 du Parlement européen et du Conseil du 16 avril 2014 relatif aux gaz à effet de serre fluorés et abrogeant le règlement (CE) n° 842/2006 (JO L 150 du 20.5.2014, p. 195)) réglemente, entre autres, l'interdiction progressive d'utiliser certaines substances ayant un impact climatique élevé d'ici 2028.</w:t>
      </w:r>
      <w:r>
        <w:t xml:space="preserve"> </w:t>
      </w:r>
      <w:r>
        <w:t xml:space="preserve">L'obligation de déclaration pour la collecte de données sur les émissions de gaz à effet de serre découle du règlement (UE) n° 525/2013 du Parlement européen du 21 mai 2013 concernant un mécanisme de surveillance des émissions de gaz à effet de serre et pour la déclaration de ces émissions et d'autres informations liées au climat au niveau des États membres et de l'Union, et abrogeant la décision n° 280/2004/CE (JO L 165 du 18.6.2013, p. 13), modifié en dernier lieu par le règlement (UE) 2018/1999 (JO L 328 du 21.12.2018, p. 1).</w:t>
      </w:r>
    </w:p>
    <w:p w14:paraId="5D8DFF20" w14:textId="3A3E0DC2" w:rsidR="00785602" w:rsidRPr="00AE0058" w:rsidRDefault="00785602" w:rsidP="003F5274">
      <w:pPr>
        <w:pStyle w:val="Text"/>
        <w:keepNext/>
        <w:rPr>
          <w:b/>
        </w:rPr>
      </w:pPr>
      <w:r>
        <w:rPr>
          <w:b/>
        </w:rPr>
        <w:t xml:space="preserve">Comptabilité environnementale</w:t>
      </w:r>
    </w:p>
    <w:p w14:paraId="68E0B0BC" w14:textId="1D9FD0D4" w:rsidR="002C527A" w:rsidRPr="00AE0058" w:rsidRDefault="002C527A" w:rsidP="002C527A">
      <w:pPr>
        <w:pStyle w:val="Text"/>
      </w:pPr>
      <w:r>
        <w:t xml:space="preserve">Les décideurs politiques ont besoin d'une base de données complète et valable pour la gestion efficace des mesures de protection du climat et de l'environnement et pour le développement d'une économie durable.</w:t>
      </w:r>
      <w:r>
        <w:t xml:space="preserve"> </w:t>
      </w:r>
      <w:r>
        <w:t xml:space="preserve">Les dépenses financières requises pour ces mesures, ainsi que les effets sur le chiffre d'affaires et l'emploi résultant de la mise en œuvre des mesures, n'ont pas encore été enregistrées dans la mesure nécessaire pour respecter les obligations européennes en matière de fourniture de données, notamment en vertu du règlement (UE) n° 691/2011 du Parlement européen et du Conseil du 6 juillet 2011 relatif aux comptes économiques européens de l’environnement (JO L 192 du 22.7.2011, p. 11), tel que modifié par le règlement (UE) n° 538/2014 du Parlement européen et du Conseil du 16 avril 2014 (JO L 158 du 27.5.2014, p. 113) ou pour servir des objectifs politiques tels que ceux du «Green Deal» européen.</w:t>
      </w:r>
      <w:r>
        <w:t xml:space="preserve"> </w:t>
      </w:r>
      <w:r>
        <w:t xml:space="preserve">Par exemple, il manque des données sur les dépenses pour l'électromobilité ou pour les mesures de conservation des ressources limitées, ainsi que sur les effets sur les chiffres d'affaires et l'emploi qui en résultent.</w:t>
      </w:r>
      <w:r>
        <w:t xml:space="preserve"> </w:t>
      </w:r>
    </w:p>
    <w:p w14:paraId="0EE9141C" w14:textId="6EF86602" w:rsidR="002C527A" w:rsidRPr="00AE0058" w:rsidRDefault="002C527A" w:rsidP="002C527A">
      <w:pPr>
        <w:pStyle w:val="Text"/>
      </w:pPr>
      <w:r>
        <w:t xml:space="preserve">En outre, les mesures de protection du climat et de l'environnement à prendre en compte pour les statistiques sont soumises à une grande dynamique due au progrès technologique et à l'évolution des priorités politiques.</w:t>
      </w:r>
      <w:r>
        <w:t xml:space="preserve"> </w:t>
      </w:r>
      <w:r>
        <w:t xml:space="preserve">La statistique officielle doit être en mesure d'adapter l'enquête et les programmes sur lesquels elle repose à ces évolutions en temps utile afin de remplir les obligations européennes en matière de fourniture de données, c'est-à-dire de combler les lacunes en matière de données et de proposer des données plus rapides et plus complètes pour le suivi des mesures climatiques et environnementales politiquement et écologiquement pertinentes.</w:t>
      </w:r>
      <w:r>
        <w:t xml:space="preserve"> </w:t>
      </w:r>
      <w:r>
        <w:t xml:space="preserve">Le principal changement concerne la conception plus souple des statistiques économiques de l'environnement:</w:t>
      </w:r>
      <w:r>
        <w:t xml:space="preserve"> </w:t>
      </w:r>
      <w:r>
        <w:t xml:space="preserve">En se référant aux classifications environnementales existantes (classification des activités de protection de l'environnement (CEPA) et classification des activités de gestion des ressources (CReMA)), il est possible d'interroger les mesures pertinentes de protection de l'environnement et du climat sans avoir à adapter à chaque fois la loi sur les statistiques environnementales.</w:t>
      </w:r>
    </w:p>
    <w:p w14:paraId="74803E74" w14:textId="77777777" w:rsidR="004705E2" w:rsidRPr="00AE0058" w:rsidRDefault="004705E2" w:rsidP="00274D4E">
      <w:pPr>
        <w:pStyle w:val="VorblattTitelLsung"/>
      </w:pPr>
      <w:r>
        <w:t xml:space="preserve">B. Solution</w:t>
      </w:r>
    </w:p>
    <w:p w14:paraId="383E415B" w14:textId="171B0738" w:rsidR="003C4E72" w:rsidRPr="00AE0058" w:rsidRDefault="003C4E72" w:rsidP="003C4E72">
      <w:pPr>
        <w:pStyle w:val="Text"/>
      </w:pPr>
      <w:r>
        <w:t xml:space="preserve">Modification de la loi UStatG afin de satisfaire aux exigences de la législation européenne susmentionnée (essentiellement les directives du paquet de l'UE sur les déchets, le règlement (UE) n° 691/2011 sur les comptes économiques européens de l'environnement, le règlement (UE) 2019/1010 modifiant la directive de l'UE sur les boues d'épuration, entre autres).</w:t>
      </w:r>
      <w:r>
        <w:t xml:space="preserve"> </w:t>
      </w:r>
      <w:r>
        <w:t xml:space="preserve">En même temps, des dispositions sont incluses pour s'adapter aux développements survenus dans les différents domaines, à des fins de clarification et de simplification.</w:t>
      </w:r>
    </w:p>
    <w:p w14:paraId="5C15B888" w14:textId="77777777" w:rsidR="004705E2" w:rsidRPr="00AE0058" w:rsidRDefault="004705E2">
      <w:pPr>
        <w:pStyle w:val="VorblattTitelAlternativen"/>
      </w:pPr>
      <w:r>
        <w:t xml:space="preserve">C. Autres possibilités</w:t>
      </w:r>
    </w:p>
    <w:p w14:paraId="4855157E" w14:textId="77777777" w:rsidR="004705E2" w:rsidRPr="00AE0058" w:rsidRDefault="007109CA" w:rsidP="00560469">
      <w:pPr>
        <w:pStyle w:val="Text"/>
        <w:rPr>
          <w:color w:val="000000" w:themeColor="text1"/>
        </w:rPr>
      </w:pPr>
      <w:r>
        <w:rPr>
          <w:rStyle w:val="Marker"/>
          <w:color w:val="000000" w:themeColor="text1"/>
        </w:rPr>
        <w:t xml:space="preserve">aucun</w:t>
      </w:r>
    </w:p>
    <w:p w14:paraId="032665AF" w14:textId="77777777" w:rsidR="004705E2" w:rsidRPr="00AE0058" w:rsidRDefault="004705E2" w:rsidP="00560469">
      <w:pPr>
        <w:pStyle w:val="VorblattTitelHaushaltsausgabenohneErfllungsaufwand"/>
      </w:pPr>
      <w:r>
        <w:t xml:space="preserve">D. Dépenses budgétaires sans charges d’exécution</w:t>
      </w:r>
    </w:p>
    <w:p w14:paraId="1BCA4DC8" w14:textId="3CB1E922" w:rsidR="0088029F" w:rsidRPr="00AE0058" w:rsidRDefault="0088029F" w:rsidP="0088029F">
      <w:pPr>
        <w:rPr>
          <w:color w:val="000000" w:themeColor="text1"/>
        </w:rPr>
      </w:pPr>
      <w:r>
        <w:rPr>
          <w:color w:val="000000" w:themeColor="text1"/>
        </w:rPr>
        <w:t xml:space="preserve">Selon un calcul de coût effectué par l'Office statistique fédéral, la transposition du droit communautaire entraîne des dépenses annuelles supplémentaires de 8 postes (3 x E14, 2 x E11, </w:t>
      </w:r>
      <w:r>
        <w:t xml:space="preserve">3 x E10</w:t>
      </w:r>
      <w:r>
        <w:rPr>
          <w:color w:val="000000" w:themeColor="text1"/>
        </w:rPr>
        <w:t xml:space="preserve">) avec des charges d’exécution annuelles de 646 672 euros</w:t>
      </w:r>
      <w:r>
        <w:t xml:space="preserve">.</w:t>
      </w:r>
      <w:r>
        <w:rPr>
          <w:color w:val="000000" w:themeColor="text1"/>
        </w:rPr>
        <w:t xml:space="preserve"> </w:t>
      </w:r>
      <w:r>
        <w:rPr>
          <w:color w:val="000000" w:themeColor="text1"/>
        </w:rPr>
        <w:t xml:space="preserve">Pour le domaine de l'économie de l'environnement, des coûts matériels annuels supplémentaires de 24 000 euros sont prévus.</w:t>
      </w:r>
      <w:r>
        <w:rPr>
          <w:color w:val="000000" w:themeColor="text1"/>
        </w:rPr>
        <w:t xml:space="preserve"> </w:t>
      </w:r>
      <w:r>
        <w:rPr>
          <w:color w:val="000000" w:themeColor="text1"/>
        </w:rPr>
        <w:t xml:space="preserve">Le changement juridique entraînera des coûts matériels uniques de 329 908 euros.</w:t>
      </w:r>
    </w:p>
    <w:p w14:paraId="01B4DAB9" w14:textId="00ACD49A" w:rsidR="006001AE" w:rsidRPr="00AE0058" w:rsidRDefault="0088029F" w:rsidP="0088029F">
      <w:pPr>
        <w:rPr>
          <w:color w:val="000000" w:themeColor="text1"/>
        </w:rPr>
      </w:pPr>
      <w:r>
        <w:rPr>
          <w:color w:val="000000" w:themeColor="text1"/>
        </w:rPr>
        <w:t xml:space="preserve">Les besoins supplémentaires en ressources matérielles et humaines doivent être compensés financièrement et par poste dans le cadre du plan individuel 06.</w:t>
      </w:r>
    </w:p>
    <w:p w14:paraId="1EC0B248" w14:textId="7D8C0FEA" w:rsidR="004705E2" w:rsidRPr="00AE0058" w:rsidRDefault="00942B1E" w:rsidP="001357B0">
      <w:pPr>
        <w:pStyle w:val="Text"/>
      </w:pPr>
      <w:r>
        <w:t xml:space="preserve">D'</w:t>
      </w:r>
      <w:r>
        <w:rPr>
          <w:color w:val="000000" w:themeColor="text1"/>
        </w:rPr>
        <w:t xml:space="preserve">après un </w:t>
      </w:r>
      <w:r>
        <w:rPr>
          <w:color w:val="000000" w:themeColor="text1"/>
        </w:rPr>
        <w:t xml:space="preserve"> calcul</w:t>
      </w:r>
      <w:r>
        <w:t xml:space="preserve"> préliminaire des</w:t>
      </w:r>
      <w:r>
        <w:rPr>
          <w:color w:val="000000" w:themeColor="text1"/>
        </w:rPr>
        <w:t xml:space="preserve"> coûts effectué par les offices statistiques des Länder, les coûts annuels supplémentaires s'élèvent à 956 900 euros et les coûts de transposition uniques à 2,351 millions d'euros</w:t>
      </w:r>
      <w:r>
        <w:t xml:space="preserve">.</w:t>
      </w:r>
    </w:p>
    <w:p w14:paraId="08878AD1" w14:textId="7A8A7A6F" w:rsidR="00087852" w:rsidRPr="00AE0058" w:rsidRDefault="00087852" w:rsidP="00126C95">
      <w:pPr>
        <w:pStyle w:val="VorblattTitelErfllungsaufwand"/>
      </w:pPr>
      <w:r>
        <w:t xml:space="preserve">E. Charges d’exécution</w:t>
      </w:r>
    </w:p>
    <w:p w14:paraId="28A6045C" w14:textId="77777777" w:rsidR="004705E2" w:rsidRPr="00AE0058" w:rsidRDefault="004705E2" w:rsidP="00560469">
      <w:pPr>
        <w:pStyle w:val="VorblattTitelErfllungsaufwandBrgerinnenundBrger"/>
      </w:pPr>
      <w:r>
        <w:t xml:space="preserve">E.1 Charges d’exécution pour les citoyens</w:t>
      </w:r>
    </w:p>
    <w:p w14:paraId="782181D4" w14:textId="77777777" w:rsidR="006001AE" w:rsidRPr="00AE0058" w:rsidRDefault="006001AE" w:rsidP="001357B0">
      <w:pPr>
        <w:pStyle w:val="Text"/>
        <w:rPr>
          <w:color w:val="000000" w:themeColor="text1"/>
        </w:rPr>
      </w:pPr>
      <w:r>
        <w:t xml:space="preserve">Aucune charge d'exécution n'incombe aux citoyens.</w:t>
      </w:r>
    </w:p>
    <w:p w14:paraId="5A1612A1" w14:textId="77777777" w:rsidR="004705E2" w:rsidRPr="00AE0058" w:rsidRDefault="004705E2" w:rsidP="00560469">
      <w:pPr>
        <w:pStyle w:val="VorblattTitelErfllungsaufwandWirtschaft"/>
      </w:pPr>
      <w:r>
        <w:t xml:space="preserve">E.2 Charges d'exécution pour l'économie</w:t>
      </w:r>
    </w:p>
    <w:p w14:paraId="0DED2C3E" w14:textId="3757E352" w:rsidR="00D241FE" w:rsidRPr="00AE0058" w:rsidRDefault="00D241FE" w:rsidP="001357B0">
      <w:pPr>
        <w:pStyle w:val="Text"/>
        <w:rPr>
          <w:color w:val="000000" w:themeColor="text1"/>
        </w:rPr>
      </w:pPr>
      <w:r>
        <w:rPr>
          <w:color w:val="000000" w:themeColor="text1"/>
        </w:rPr>
        <w:t xml:space="preserve">Il en résulte des charges d’exécution supplémentaires annuelles pour le secteur économique de l'ordre de 858 000 euros environ.</w:t>
      </w:r>
      <w:r>
        <w:rPr>
          <w:color w:val="000000" w:themeColor="text1"/>
        </w:rPr>
        <w:t xml:space="preserve"> </w:t>
      </w:r>
      <w:r>
        <w:rPr>
          <w:color w:val="000000" w:themeColor="text1"/>
        </w:rPr>
        <w:t xml:space="preserve">Ceux-ci sont entièrement imputables aux coûts administratifs découlant des obligations d'information.</w:t>
      </w:r>
    </w:p>
    <w:p w14:paraId="77E6450F" w14:textId="732689DF" w:rsidR="00327D12" w:rsidRPr="00AE0058" w:rsidRDefault="00E6535E" w:rsidP="001357B0">
      <w:pPr>
        <w:pStyle w:val="Text"/>
        <w:rPr>
          <w:color w:val="000000" w:themeColor="text1"/>
        </w:rPr>
      </w:pPr>
      <w:r>
        <w:rPr>
          <w:color w:val="000000" w:themeColor="text1"/>
        </w:rPr>
        <w:t xml:space="preserve">Le projet de loi transpose intégralement et en totalité les dispositions de l'UE dans le droit national.</w:t>
      </w:r>
      <w:r>
        <w:rPr>
          <w:color w:val="000000" w:themeColor="text1"/>
        </w:rPr>
        <w:t xml:space="preserve"> </w:t>
      </w:r>
      <w:r>
        <w:rPr>
          <w:color w:val="000000" w:themeColor="text1"/>
        </w:rPr>
        <w:t xml:space="preserve">Par conséquent, aucune application de la règle «one-in, one-out» pour de nouveaux projets de loi du gouvernement fédéral n’est justifiée (voir décision du cabinet du 25 mars 2015).</w:t>
      </w:r>
      <w:r>
        <w:rPr>
          <w:color w:val="000000" w:themeColor="text1"/>
        </w:rPr>
        <w:t xml:space="preserve"> </w:t>
      </w:r>
    </w:p>
    <w:p w14:paraId="18647654" w14:textId="6A130CFD" w:rsidR="004705E2" w:rsidRPr="00AE0058" w:rsidRDefault="004705E2" w:rsidP="00560469">
      <w:pPr>
        <w:pStyle w:val="VorblattTitelErfllungsaufwandVerwaltung"/>
      </w:pPr>
      <w:r>
        <w:t xml:space="preserve">E.3 Charges d’exécution pour l’administration</w:t>
      </w:r>
    </w:p>
    <w:p w14:paraId="57D306B2" w14:textId="76A56D63" w:rsidR="00FA085B" w:rsidRPr="00AE0058" w:rsidRDefault="00FA085B" w:rsidP="001357B0">
      <w:pPr>
        <w:pStyle w:val="Text"/>
        <w:rPr>
          <w:color w:val="000000" w:themeColor="text1"/>
        </w:rPr>
      </w:pPr>
      <w:r>
        <w:rPr>
          <w:color w:val="000000" w:themeColor="text1"/>
        </w:rPr>
        <w:t xml:space="preserve">Pour l'administration, la charge d'exécution annuelle évolue de 1,6 million d'euros.</w:t>
      </w:r>
      <w:r>
        <w:rPr>
          <w:color w:val="000000" w:themeColor="text1"/>
        </w:rPr>
        <w:t xml:space="preserve"> </w:t>
      </w:r>
      <w:r>
        <w:rPr>
          <w:color w:val="000000" w:themeColor="text1"/>
        </w:rPr>
        <w:t xml:space="preserve">Sur ce montant, environ 650 000 euros sont à la charge du gouvernement fédéral et environ 948 000 euros des Länder (y compris les collectivités locales).</w:t>
      </w:r>
      <w:r>
        <w:rPr>
          <w:color w:val="000000" w:themeColor="text1"/>
        </w:rPr>
        <w:t xml:space="preserve"> </w:t>
      </w:r>
      <w:r>
        <w:rPr>
          <w:color w:val="000000" w:themeColor="text1"/>
        </w:rPr>
        <w:t xml:space="preserve">La charge d'exécution exceptionnelle s'élève à environ 2,2 millions d'euros, dont environ 357 000 euros sont à la charge du gouvernement fédéral et environ 1,9 million d'euros à la charge des Länder.</w:t>
      </w:r>
    </w:p>
    <w:p w14:paraId="3886EFF7" w14:textId="77777777" w:rsidR="004705E2" w:rsidRPr="00AE0058" w:rsidRDefault="004705E2" w:rsidP="00274D4E">
      <w:pPr>
        <w:pStyle w:val="VorblattTitelWeitereKosten"/>
      </w:pPr>
      <w:r>
        <w:t xml:space="preserve">F. Autres coûts</w:t>
      </w:r>
    </w:p>
    <w:p w14:paraId="152E9D72" w14:textId="02F47033" w:rsidR="00744EBB" w:rsidRPr="00AE0058" w:rsidRDefault="00272515" w:rsidP="001357B0">
      <w:pPr>
        <w:pStyle w:val="Text"/>
        <w:rPr>
          <w:rStyle w:val="fontstyle01"/>
        </w:rPr>
      </w:pPr>
      <w:r>
        <w:rPr>
          <w:rStyle w:val="fontstyle01"/>
        </w:rPr>
        <w:t xml:space="preserve">La loi n’entraîne aucun coût supplémentaire.</w:t>
      </w:r>
      <w:r>
        <w:rPr>
          <w:rStyle w:val="fontstyle01"/>
        </w:rPr>
        <w:t xml:space="preserve"> </w:t>
      </w:r>
      <w:r>
        <w:rPr>
          <w:rStyle w:val="fontstyle01"/>
        </w:rPr>
        <w:t xml:space="preserve">Aucune incidence particulière sur les prix unitaires et sur le niveau des prix, en particulier sur les prix à la consommation, n’est à prévoir.</w:t>
      </w:r>
    </w:p>
    <w:p w14:paraId="3276109A" w14:textId="77777777" w:rsidR="004705E2" w:rsidRPr="00AE0058" w:rsidRDefault="004705E2" w:rsidP="004705E2"/>
    <w:p w14:paraId="1F2B65BE" w14:textId="28B492F2" w:rsidR="00AC5546" w:rsidRPr="00AE0058" w:rsidRDefault="00AC5546" w:rsidP="004705E2">
      <w:pPr>
        <w:sectPr w:rsidR="00AC5546" w:rsidRPr="00AE0058" w:rsidSect="001F550D">
          <w:headerReference w:type="default" r:id="rId8"/>
          <w:headerReference w:type="first" r:id="rId9"/>
          <w:pgSz w:w="11907" w:h="16839"/>
          <w:pgMar w:top="1134" w:right="1417" w:bottom="1134" w:left="1701" w:header="709" w:footer="709" w:gutter="0"/>
          <w:pgNumType w:start="1"/>
          <w:cols w:space="708"/>
          <w:titlePg/>
          <w:docGrid w:linePitch="360"/>
        </w:sectPr>
      </w:pPr>
    </w:p>
    <w:p w14:paraId="6585EE63" w14:textId="12F93548" w:rsidR="007366C3" w:rsidRPr="00AE0058" w:rsidRDefault="004705E2" w:rsidP="007366C3">
      <w:pPr>
        <w:pStyle w:val="Dokumentstatus"/>
      </w:pPr>
      <w:r>
        <w:t xml:space="preserve">Projet de loi du ministère fédéral de l’environnement, de la protection de la nature et de la sûreté nucléaire</w:t>
      </w:r>
    </w:p>
    <w:p w14:paraId="5E172FEB" w14:textId="052FE680" w:rsidR="007366C3" w:rsidRPr="00AE0058" w:rsidRDefault="007366C3" w:rsidP="007366C3">
      <w:pPr>
        <w:pStyle w:val="Bezeichnungnderungsdokument"/>
      </w:pPr>
      <w:r>
        <w:t xml:space="preserve">Projet d’une première loi modifiant la loi sur les statistiques environnementales et d’autres lois</w:t>
      </w:r>
      <w:r w:rsidR="000C571F" w:rsidRPr="00AE0058">
        <w:rPr>
          <w:rStyle w:val="FootnoteReference"/>
        </w:rPr>
        <w:footnoteReference w:id="2"/>
      </w:r>
      <w:r w:rsidR="000C571F" w:rsidRPr="00AE0058">
        <w:rPr>
          <w:rStyle w:val="FootnoteReference"/>
        </w:rPr>
        <w:t>)</w:t>
      </w:r>
      <w:r>
        <w:rPr>
          <w:rStyle w:val="FootnoteReference"/>
        </w:rPr>
        <w:t xml:space="preserve">)</w:t>
      </w:r>
      <w:r>
        <w:t xml:space="preserve"> </w:t>
      </w:r>
    </w:p>
    <w:p w14:paraId="2EBE28DB" w14:textId="77777777" w:rsidR="007366C3" w:rsidRPr="00AE0058" w:rsidRDefault="007366C3" w:rsidP="007366C3">
      <w:pPr>
        <w:pStyle w:val="Ausfertigungsdatumnderungsdokument"/>
      </w:pPr>
      <w:r>
        <w:t xml:space="preserve">Du...</w:t>
      </w:r>
    </w:p>
    <w:p w14:paraId="503233FF" w14:textId="437569D3" w:rsidR="007366C3" w:rsidRPr="00AE0058" w:rsidRDefault="007366C3" w:rsidP="007366C3">
      <w:pPr>
        <w:pStyle w:val="EingangsformelStandardnderungsdokument"/>
      </w:pPr>
      <w:r>
        <w:t xml:space="preserve">Le Bundestag a adopté la loi suivante:</w:t>
      </w:r>
    </w:p>
    <w:p w14:paraId="4BFD5216" w14:textId="2C0A08D6" w:rsidR="00BA14E8" w:rsidRPr="00AE0058" w:rsidRDefault="006C07FA" w:rsidP="006C07FA">
      <w:pPr>
        <w:pStyle w:val="ArtikelBezeichner"/>
        <w:numPr>
          <w:ilvl w:val="0"/>
          <w:numId w:val="0"/>
        </w:numPr>
      </w:pPr>
      <w:r>
        <w:t xml:space="preserve">Article premier</w:t>
      </w:r>
    </w:p>
    <w:p w14:paraId="2FB99E6F" w14:textId="2BAAA15E" w:rsidR="004705E2" w:rsidRPr="00AE0058" w:rsidRDefault="007109CA">
      <w:pPr>
        <w:pStyle w:val="Artikelberschrift"/>
      </w:pPr>
      <w:r>
        <w:rPr>
          <w:rStyle w:val="Marker"/>
        </w:rPr>
        <w:t xml:space="preserve">Modification de la loi sur les statistiques environnementales</w:t>
      </w:r>
    </w:p>
    <w:p w14:paraId="7EFFCF21" w14:textId="77777777" w:rsidR="004705E2" w:rsidRPr="00AE0058" w:rsidRDefault="007109CA" w:rsidP="003F5274">
      <w:pPr>
        <w:pStyle w:val="JuristischerAbsatznichtnummeriert"/>
        <w:keepNext/>
        <w:rPr>
          <w:rStyle w:val="Marker"/>
          <w:color w:val="000000" w:themeColor="text1"/>
        </w:rPr>
      </w:pPr>
      <w:r>
        <w:rPr>
          <w:rStyle w:val="Marker"/>
          <w:color w:val="000000" w:themeColor="text1"/>
        </w:rPr>
        <w:t xml:space="preserve">La loi sur les statistiques environnementales du 16 août 2005 (Journal officiel de la République fédérale d'Allemagne</w:t>
      </w:r>
      <w:r>
        <w:rPr>
          <w:rStyle w:val="Marker"/>
          <w:color w:val="000000" w:themeColor="text1"/>
        </w:rPr>
        <w:t xml:space="preserve"> </w:t>
      </w:r>
      <w:r>
        <w:rPr>
          <w:rStyle w:val="Marker"/>
          <w:color w:val="000000" w:themeColor="text1"/>
        </w:rPr>
        <w:t xml:space="preserve">I, p. 2446), modifiée en dernier lieu par l'article 2, paragraphe 5 de la loi du 5 juillet 2017 (Journal officiel de la République fédérale d'Allemagne</w:t>
      </w:r>
      <w:r>
        <w:rPr>
          <w:rStyle w:val="Marker"/>
          <w:color w:val="000000" w:themeColor="text1"/>
        </w:rPr>
        <w:t xml:space="preserve"> </w:t>
      </w:r>
      <w:r>
        <w:rPr>
          <w:rStyle w:val="Marker"/>
          <w:color w:val="000000" w:themeColor="text1"/>
        </w:rPr>
        <w:t xml:space="preserve">I, p. 2234), est modifiée comme suit:</w:t>
      </w:r>
    </w:p>
    <w:p w14:paraId="36BA17C8" w14:textId="324B69AB" w:rsidR="00170381" w:rsidRPr="00AE0058" w:rsidRDefault="00170381" w:rsidP="003F5274">
      <w:pPr>
        <w:pStyle w:val="NummerierungStufe1"/>
        <w:keepNext/>
      </w:pPr>
      <w:r>
        <w:t xml:space="preserve">L’article 2 est modifié comme suit:</w:t>
      </w:r>
    </w:p>
    <w:p w14:paraId="1C2F11A0" w14:textId="77777777" w:rsidR="0025139D" w:rsidRPr="00AE0058" w:rsidRDefault="0025139D" w:rsidP="003F5274">
      <w:pPr>
        <w:pStyle w:val="NummerierungStufe2"/>
        <w:keepNext/>
      </w:pPr>
      <w:r>
        <w:t xml:space="preserve">Le paragraphe 1 est modifié comme suit:</w:t>
      </w:r>
    </w:p>
    <w:p w14:paraId="54C3E2EB" w14:textId="77777777" w:rsidR="00170381" w:rsidRPr="00AE0058" w:rsidRDefault="00170381" w:rsidP="003F5274">
      <w:pPr>
        <w:pStyle w:val="NummerierungStufe3"/>
        <w:keepNext/>
      </w:pPr>
      <w:r>
        <w:t xml:space="preserve">Le point 4 suivant est ajouté derrière le point 3:</w:t>
      </w:r>
    </w:p>
    <w:p w14:paraId="79E52942" w14:textId="7D16FA1F" w:rsidR="00DB4B08" w:rsidRPr="0021276C" w:rsidRDefault="00DB4B08" w:rsidP="00F803E4">
      <w:pPr>
        <w:pStyle w:val="RevisionNummerierungStufe1manuell"/>
        <w:tabs>
          <w:tab w:val="clear" w:pos="425"/>
          <w:tab w:val="left" w:pos="1776"/>
        </w:tabs>
        <w:ind w:left="1776" w:hanging="500"/>
        <w:rPr>
          <w:rStyle w:val="Marker"/>
          <w:color w:val="800000"/>
        </w:rPr>
      </w:pPr>
      <w:r>
        <w:rPr>
          <w:rStyle w:val="Marker"/>
          <w:color w:val="800000"/>
        </w:rPr>
        <w:t xml:space="preserve">«4.</w:t>
        <w:tab/>
        <w:t xml:space="preserve">la mise sur le marché et l'élimination de certains produits (article 5a),».</w:t>
      </w:r>
    </w:p>
    <w:p w14:paraId="676CCBA6" w14:textId="77777777" w:rsidR="00170381" w:rsidRPr="00AE0058" w:rsidRDefault="00170381" w:rsidP="0025139D">
      <w:pPr>
        <w:pStyle w:val="NummerierungStufe3"/>
      </w:pPr>
      <w:r>
        <w:t xml:space="preserve">Les actuels points 4 à 9 deviennent les points 5 à 10.</w:t>
      </w:r>
    </w:p>
    <w:p w14:paraId="53CD971D" w14:textId="0A699806" w:rsidR="001239F6" w:rsidRPr="00AE0058" w:rsidRDefault="00923DB0" w:rsidP="00170381">
      <w:pPr>
        <w:pStyle w:val="NummerierungStufe2"/>
      </w:pPr>
      <w:r>
        <w:t xml:space="preserve">Au paragraphe 2, une virgule est insérée après le mot </w:t>
      </w:r>
      <w:r>
        <w:rPr>
          <w:rStyle w:val="RevisionText"/>
        </w:rPr>
        <w:t xml:space="preserve">«version»</w:t>
      </w:r>
      <w:r>
        <w:t xml:space="preserve"> et les mots </w:t>
      </w:r>
      <w:r>
        <w:rPr>
          <w:rStyle w:val="RevisionText"/>
        </w:rPr>
        <w:t xml:space="preserve">«sauf disposition contraire ci-après»</w:t>
      </w:r>
      <w:r>
        <w:t xml:space="preserve"> sont ajoutés.</w:t>
      </w:r>
    </w:p>
    <w:p w14:paraId="63261442" w14:textId="0764A2DD" w:rsidR="00FA74A3" w:rsidRPr="00AE0058" w:rsidRDefault="00D4293E" w:rsidP="003F5274">
      <w:pPr>
        <w:pStyle w:val="NummerierungStufe1"/>
        <w:keepNext/>
      </w:pPr>
      <w:r>
        <w:t xml:space="preserve">L’article 3, paragraphe 2, est formulé comme suit:</w:t>
      </w:r>
    </w:p>
    <w:p w14:paraId="3A05A75E" w14:textId="2927C622" w:rsidR="00A13F1E" w:rsidRPr="00AE0058" w:rsidRDefault="002B605B" w:rsidP="003F5274">
      <w:pPr>
        <w:pStyle w:val="RevisionJuristischerAbsatzmanuell"/>
        <w:keepNext/>
        <w:tabs>
          <w:tab w:val="clear" w:pos="850"/>
          <w:tab w:val="left" w:pos="1275"/>
        </w:tabs>
        <w:ind w:left="425" w:firstLine="350"/>
      </w:pPr>
      <w:r>
        <w:t xml:space="preserve">«(2) La collecte saisit chaque année auprès des autorités responsables de la gestion des déchets en vertu de la loi sur l'économie circulaire et auprès des tiers dans la mesure où des obligations de valorisation et d'élimination leur ont été transférées ou dans la mesure où ils ont été chargés de remplir ces obligations,</w:t>
      </w:r>
    </w:p>
    <w:p w14:paraId="05F29153" w14:textId="79CE2AA0" w:rsidR="00A13F1E" w:rsidRPr="00AE0058" w:rsidRDefault="00A13F1E" w:rsidP="00F803E4">
      <w:pPr>
        <w:pStyle w:val="RevisionNummerierungStufe1"/>
        <w:numPr>
          <w:ilvl w:val="3"/>
          <w:numId w:val="8"/>
        </w:numPr>
        <w:tabs>
          <w:tab w:val="clear" w:pos="425"/>
          <w:tab w:val="num" w:pos="850"/>
        </w:tabs>
        <w:ind w:left="850"/>
      </w:pPr>
      <w:r>
        <w:t xml:space="preserve">les caractéristiques d'enquête Collecte et localisation des déchets par type, leur quantité et origine; les caractéristiques d'enquête doivent être indiquées dans le découpage régional par cantons et par villes hors canton;</w:t>
      </w:r>
    </w:p>
    <w:p w14:paraId="45BDDE44" w14:textId="14799F25" w:rsidR="00A13F1E" w:rsidRPr="00AE0058" w:rsidRDefault="00A13F1E" w:rsidP="003F5274">
      <w:pPr>
        <w:pStyle w:val="RevisionNummerierungStufe1"/>
        <w:keepNext/>
        <w:tabs>
          <w:tab w:val="clear" w:pos="425"/>
          <w:tab w:val="num" w:pos="850"/>
        </w:tabs>
        <w:ind w:left="850"/>
      </w:pPr>
      <w:r>
        <w:t xml:space="preserve">à partir de l'année de déclaration 2020, également le nombre de lieux de collecte,</w:t>
      </w:r>
    </w:p>
    <w:p w14:paraId="2004AAA0" w14:textId="7CD53C19" w:rsidR="00A13F1E" w:rsidRPr="00AE0058" w:rsidRDefault="00A13F1E" w:rsidP="00F803E4">
      <w:pPr>
        <w:pStyle w:val="RevisionNummerierungStufe2"/>
        <w:tabs>
          <w:tab w:val="clear" w:pos="850"/>
          <w:tab w:val="num" w:pos="1275"/>
        </w:tabs>
        <w:ind w:left="1275"/>
      </w:pPr>
      <w:r>
        <w:t xml:space="preserve">où les déchets organiques sont collectés séparément au moyen d'une poubelle à déchets organiques,</w:t>
      </w:r>
    </w:p>
    <w:p w14:paraId="6E128062" w14:textId="4F09524B" w:rsidR="00A13F1E" w:rsidRPr="00AE0058" w:rsidRDefault="00A13F1E" w:rsidP="00F803E4">
      <w:pPr>
        <w:pStyle w:val="RevisionNummerierungStufe2"/>
        <w:tabs>
          <w:tab w:val="clear" w:pos="850"/>
          <w:tab w:val="num" w:pos="1275"/>
        </w:tabs>
        <w:ind w:left="1275"/>
      </w:pPr>
      <w:r>
        <w:t xml:space="preserve">où les déchets organiques sont collectés séparément au moyen de poubelles pour déchets organiques et, en outre, sont autocompostés,</w:t>
      </w:r>
    </w:p>
    <w:p w14:paraId="56D41BA6" w14:textId="24215A26" w:rsidR="00A13F1E" w:rsidRPr="00AE0058" w:rsidRDefault="00A13F1E" w:rsidP="00F803E4">
      <w:pPr>
        <w:pStyle w:val="RevisionNummerierungStufe2"/>
        <w:tabs>
          <w:tab w:val="clear" w:pos="850"/>
          <w:tab w:val="num" w:pos="1275"/>
        </w:tabs>
        <w:ind w:left="1275"/>
      </w:pPr>
      <w:r>
        <w:t xml:space="preserve">lorsqu'il existe une obligation de connexion et d'utilisation pour la collecte séparée des déchets organiques au moyen d'une poubelle à déchets organiques, mais qui sont exemptés de l'obligation de connexion et d'utilisation parce qu'ils compostent eux-mêmes leurs déchets organiques,</w:t>
      </w:r>
    </w:p>
    <w:p w14:paraId="106DFDDF" w14:textId="02F0BDA6" w:rsidR="00E740A6" w:rsidRPr="00AE0058" w:rsidRDefault="00A13F1E" w:rsidP="00F803E4">
      <w:pPr>
        <w:pStyle w:val="RevisionNummerierungStufe2"/>
        <w:tabs>
          <w:tab w:val="clear" w:pos="850"/>
          <w:tab w:val="num" w:pos="1275"/>
        </w:tabs>
        <w:ind w:left="1275"/>
      </w:pPr>
      <w:r>
        <w:t xml:space="preserve">lorsqu'il n'y a pas d'obligation de se connecter à une poubelle pour déchets organiques et de l'utiliser et lorsqu'il n'y a pas de collecte séparée des déchets organiques au moyen d'une poubelle pour déchets organiques.»</w:t>
      </w:r>
      <w:r>
        <w:t xml:space="preserve"> </w:t>
      </w:r>
    </w:p>
    <w:p w14:paraId="337AD2D6" w14:textId="474AE071" w:rsidR="00D91352" w:rsidRPr="00AE0058" w:rsidRDefault="00647922" w:rsidP="003F5274">
      <w:pPr>
        <w:pStyle w:val="NummerierungStufe1"/>
        <w:keepNext/>
      </w:pPr>
      <w:r>
        <w:t xml:space="preserve">L’article 5, paragraphe 2, est formulé comme suit:</w:t>
      </w:r>
    </w:p>
    <w:p w14:paraId="33B03C09" w14:textId="621ADD36" w:rsidR="005379A9" w:rsidRPr="00AE0058" w:rsidRDefault="006A587D" w:rsidP="00F803E4">
      <w:pPr>
        <w:pStyle w:val="RevisionJuristischerAbsatzmanuell"/>
        <w:tabs>
          <w:tab w:val="clear" w:pos="850"/>
          <w:tab w:val="left" w:pos="1275"/>
        </w:tabs>
        <w:ind w:left="425" w:firstLine="350"/>
      </w:pPr>
      <w:r>
        <w:t xml:space="preserve">«L'enquête enregistre chaque année, à partir de l'année de déclaration 2022, les caractéristiques d'enquête Type, Quantité et Localisation auprès des entreprises qui collectent ou éliminent ces déchets d'emballages au sens de l'article 15, paragraphe 1, phrase 1 de la loi sur les emballages dans sa version en vigueur et des déchets d'emballages de boissons à usage unique soumis à consigne conformément à l'article 31, paragraphe 1, phrase 1 de la loi sur les emballages.»</w:t>
      </w:r>
      <w:r>
        <w:t xml:space="preserve"> </w:t>
      </w:r>
    </w:p>
    <w:p w14:paraId="2A7F3BD4" w14:textId="77777777" w:rsidR="005A1E4A" w:rsidRPr="00AE0058" w:rsidRDefault="005A1E4A" w:rsidP="003F5274">
      <w:pPr>
        <w:pStyle w:val="NummerierungStufe1"/>
        <w:keepNext/>
      </w:pPr>
      <w:r>
        <w:t xml:space="preserve">L’article 5a suivant est inséré après l’article 5:</w:t>
      </w:r>
    </w:p>
    <w:p w14:paraId="01885A43" w14:textId="77777777" w:rsidR="00A7300E" w:rsidRPr="00AE0058" w:rsidRDefault="00A7300E" w:rsidP="00F803E4">
      <w:pPr>
        <w:pStyle w:val="RevisionParagraphBezeichnermanuell"/>
        <w:ind w:left="425" w:hanging="75"/>
      </w:pPr>
      <w:r>
        <w:t xml:space="preserve">«Article 5a</w:t>
      </w:r>
    </w:p>
    <w:p w14:paraId="2775EBD7" w14:textId="77777777" w:rsidR="0011240F" w:rsidRPr="00AE0058" w:rsidRDefault="0011240F" w:rsidP="00F803E4">
      <w:pPr>
        <w:pStyle w:val="RevisionParagraphberschrift"/>
        <w:ind w:left="425"/>
      </w:pPr>
      <w:r>
        <w:rPr>
          <w:rStyle w:val="Marker"/>
          <w:color w:val="800000"/>
        </w:rPr>
        <w:t xml:space="preserve">Enquête sur la mise sur le marché et l'élimination de certains produits</w:t>
      </w:r>
    </w:p>
    <w:p w14:paraId="71E56434" w14:textId="4A52927C" w:rsidR="0011240F" w:rsidRPr="00AE0058" w:rsidRDefault="0011240F" w:rsidP="003F5274">
      <w:pPr>
        <w:pStyle w:val="RevisionJuristischerAbsatz"/>
        <w:keepNext/>
        <w:numPr>
          <w:ilvl w:val="2"/>
          <w:numId w:val="1"/>
        </w:numPr>
        <w:tabs>
          <w:tab w:val="clear" w:pos="850"/>
          <w:tab w:val="num" w:pos="1275"/>
        </w:tabs>
        <w:ind w:left="425"/>
        <w:outlineLvl w:val="9"/>
        <w:rPr>
          <w:rStyle w:val="Marker"/>
          <w:color w:val="800000"/>
        </w:rPr>
      </w:pPr>
      <w:r>
        <w:rPr>
          <w:rStyle w:val="Marker"/>
          <w:color w:val="800000"/>
        </w:rPr>
        <w:t xml:space="preserve">L'enquête collecte chaque année, à partir de l'année de déclaration 2022, les caractéristiques suivantes au bureau central conformément à l'article 3, paragraphe 18 de la loi sur les emballages:</w:t>
      </w:r>
    </w:p>
    <w:p w14:paraId="08421B93" w14:textId="77777777" w:rsidR="0011240F" w:rsidRPr="00AE0058" w:rsidRDefault="0011240F" w:rsidP="00F803E4">
      <w:pPr>
        <w:pStyle w:val="RevisionNummerierungStufe1"/>
        <w:tabs>
          <w:tab w:val="clear" w:pos="425"/>
          <w:tab w:val="num" w:pos="850"/>
          <w:tab w:val="num" w:pos="1133"/>
        </w:tabs>
        <w:ind w:left="850"/>
        <w:rPr>
          <w:rStyle w:val="Marker"/>
          <w:color w:val="800000"/>
        </w:rPr>
      </w:pPr>
      <w:r>
        <w:rPr>
          <w:rStyle w:val="Marker"/>
          <w:color w:val="800000"/>
        </w:rPr>
        <w:t xml:space="preserve">type de matériau et quantité d'emballages mis sur le marché pour la première fois qui sont soumis à la participation au système en vertu de l'article 3, paragraphe 8 de la loi sur les emballages,</w:t>
      </w:r>
    </w:p>
    <w:p w14:paraId="6B289377" w14:textId="1359AEE5" w:rsidR="0011240F" w:rsidRPr="00AE0058" w:rsidRDefault="0011240F" w:rsidP="00F803E4">
      <w:pPr>
        <w:pStyle w:val="RevisionNummerierungStufe1"/>
        <w:tabs>
          <w:tab w:val="clear" w:pos="425"/>
          <w:tab w:val="num" w:pos="850"/>
          <w:tab w:val="num" w:pos="1133"/>
        </w:tabs>
        <w:ind w:left="850"/>
        <w:rPr>
          <w:rStyle w:val="Marker"/>
          <w:color w:val="800000"/>
        </w:rPr>
      </w:pPr>
      <w:r>
        <w:rPr>
          <w:rStyle w:val="Marker"/>
          <w:color w:val="800000"/>
        </w:rPr>
        <w:t xml:space="preserve">type de matériau et quantité de déchets d'emballages collectés auprès des consommateurs finals privés en vertu de l'article 3, paragraphe 11 de la loi sur les emballages par les systèmes en vertu de l'article 14, paragraphe 1, phrase 1 de la loi sur les emballages ou repris par les solutions sectorielles en vertu de l'article 8, paragraphe 1, phrase 1 de la loi sur les emballages, ainsi que localisation et élimination de ces déchets d'emballages, ventilés par Länder.</w:t>
      </w:r>
    </w:p>
    <w:p w14:paraId="784AAECF" w14:textId="36832E5A" w:rsidR="00E069C2" w:rsidRPr="00AE0058" w:rsidRDefault="00906ED6" w:rsidP="00F803E4">
      <w:pPr>
        <w:pStyle w:val="RevisionJuristischerAbsatzFolgeabsatz"/>
        <w:ind w:left="425"/>
        <w:rPr>
          <w:rStyle w:val="Marker"/>
          <w:color w:val="800000"/>
        </w:rPr>
      </w:pPr>
      <w:r>
        <w:rPr>
          <w:rStyle w:val="Marker"/>
          <w:color w:val="800000"/>
        </w:rPr>
        <w:t xml:space="preserve">L'enquête est menée par l'Office fédéral de la statistique.</w:t>
      </w:r>
    </w:p>
    <w:p w14:paraId="18C7BC9B" w14:textId="04055A54" w:rsidR="0011240F" w:rsidRPr="00AE0058" w:rsidRDefault="0011240F" w:rsidP="003F5274">
      <w:pPr>
        <w:pStyle w:val="RevisionJuristischerAbsatz"/>
        <w:keepNext/>
        <w:numPr>
          <w:ilvl w:val="2"/>
          <w:numId w:val="1"/>
        </w:numPr>
        <w:tabs>
          <w:tab w:val="clear" w:pos="850"/>
          <w:tab w:val="num" w:pos="1275"/>
        </w:tabs>
        <w:ind w:left="425"/>
        <w:outlineLvl w:val="9"/>
        <w:rPr>
          <w:rStyle w:val="Marker"/>
          <w:color w:val="800000"/>
        </w:rPr>
      </w:pPr>
      <w:r>
        <w:rPr>
          <w:rStyle w:val="Marker"/>
          <w:color w:val="800000"/>
        </w:rPr>
        <w:t xml:space="preserve">L'enquête collecte chaque année, à partir de l'année de déclaration 2022, les caractéristiques suivantes auprès de ceux qui permettent l'utilisation collective par plusieurs entreprises d'emballages réutilisables conformément à l'article 3, paragraphe 3 de la loi sur les emballages:</w:t>
      </w:r>
      <w:r>
        <w:rPr>
          <w:rStyle w:val="Marker"/>
          <w:color w:val="800000"/>
        </w:rPr>
        <w:t xml:space="preserve"> </w:t>
      </w:r>
    </w:p>
    <w:p w14:paraId="419B4313" w14:textId="444807CE" w:rsidR="0011240F" w:rsidRPr="00AE0058" w:rsidRDefault="0011240F" w:rsidP="00F803E4">
      <w:pPr>
        <w:pStyle w:val="RevisionNummerierungStufe1"/>
        <w:tabs>
          <w:tab w:val="clear" w:pos="425"/>
          <w:tab w:val="num" w:pos="850"/>
          <w:tab w:val="num" w:pos="1133"/>
        </w:tabs>
        <w:ind w:left="850"/>
      </w:pPr>
      <w:r>
        <w:t xml:space="preserve">type et quantité d'emballages réutilisables fournis pour la première fois aux entreprises participantes,</w:t>
      </w:r>
    </w:p>
    <w:p w14:paraId="7C6915A7" w14:textId="77777777" w:rsidR="0011240F" w:rsidRPr="00AE0058" w:rsidRDefault="0011240F" w:rsidP="00F803E4">
      <w:pPr>
        <w:pStyle w:val="RevisionNummerierungStufe1"/>
        <w:tabs>
          <w:tab w:val="clear" w:pos="425"/>
          <w:tab w:val="num" w:pos="850"/>
          <w:tab w:val="num" w:pos="1133"/>
        </w:tabs>
        <w:ind w:left="850"/>
      </w:pPr>
      <w:r>
        <w:t xml:space="preserve">type et quantité d'emballages réutilisables sur le marché,</w:t>
      </w:r>
    </w:p>
    <w:p w14:paraId="66709B21" w14:textId="477C2B8D" w:rsidR="0011240F" w:rsidRPr="00AE0058" w:rsidRDefault="0011240F" w:rsidP="00F803E4">
      <w:pPr>
        <w:pStyle w:val="RevisionNummerierungStufe1"/>
        <w:tabs>
          <w:tab w:val="clear" w:pos="425"/>
          <w:tab w:val="num" w:pos="850"/>
          <w:tab w:val="num" w:pos="1133"/>
        </w:tabs>
        <w:ind w:left="850"/>
      </w:pPr>
      <w:r>
        <w:t xml:space="preserve">nombre de cycles d'emballages réutilisables et</w:t>
      </w:r>
      <w:r>
        <w:t xml:space="preserve"> </w:t>
      </w:r>
    </w:p>
    <w:p w14:paraId="08FC3DBF" w14:textId="019F9EC9" w:rsidR="0011240F" w:rsidRPr="0021276C" w:rsidRDefault="0011240F" w:rsidP="00F803E4">
      <w:pPr>
        <w:pStyle w:val="RevisionNummerierungStufe1"/>
        <w:tabs>
          <w:tab w:val="clear" w:pos="425"/>
          <w:tab w:val="num" w:pos="850"/>
          <w:tab w:val="num" w:pos="1133"/>
        </w:tabs>
        <w:ind w:left="850"/>
        <w:rPr>
          <w:rStyle w:val="Marker"/>
          <w:color w:val="800000"/>
        </w:rPr>
      </w:pPr>
      <w:r>
        <w:rPr>
          <w:rStyle w:val="Marker"/>
          <w:color w:val="800000"/>
        </w:rPr>
        <w:t xml:space="preserve">type et quantité d'emballages réutilisables jetés comme déchets, ainsi que leur localisation et leur élimination,</w:t>
      </w:r>
      <w:r>
        <w:rPr>
          <w:rStyle w:val="Marker"/>
          <w:color w:val="800000"/>
        </w:rPr>
        <w:t xml:space="preserve"> </w:t>
      </w:r>
    </w:p>
    <w:p w14:paraId="4FD98C6C" w14:textId="639B4156" w:rsidR="0011240F" w:rsidRPr="0021276C" w:rsidRDefault="0011240F" w:rsidP="00F803E4">
      <w:pPr>
        <w:pStyle w:val="RevisionJuristischerAbsatzFolgeabsatz"/>
        <w:ind w:left="425"/>
        <w:rPr>
          <w:rStyle w:val="Marker"/>
          <w:color w:val="800000"/>
        </w:rPr>
      </w:pPr>
      <w:r>
        <w:rPr>
          <w:rStyle w:val="Marker"/>
          <w:color w:val="800000"/>
        </w:rPr>
        <w:t xml:space="preserve">dans chaque cas, ventilés par emballage de vente au sens de l'article 3, paragraphe 1, point 1 de la loi sur les emballages et par autres emballages réutilisables, lorsqu'ils disposent de ces données.</w:t>
      </w:r>
      <w:r>
        <w:rPr>
          <w:rStyle w:val="Marker"/>
          <w:color w:val="800000"/>
        </w:rPr>
        <w:t xml:space="preserve"> </w:t>
      </w:r>
    </w:p>
    <w:p w14:paraId="2651DC40" w14:textId="100DFDD6" w:rsidR="0011240F" w:rsidRPr="00AE0058" w:rsidRDefault="00156BA8" w:rsidP="003F5274">
      <w:pPr>
        <w:pStyle w:val="RevisionJuristischerAbsatz"/>
        <w:keepNext/>
        <w:tabs>
          <w:tab w:val="clear" w:pos="850"/>
          <w:tab w:val="num" w:pos="1275"/>
        </w:tabs>
        <w:ind w:left="425"/>
      </w:pPr>
      <w:r>
        <w:t xml:space="preserve">L'enquête couvre les fabricants en vertu de l'article 3, paragraphe 14 de la loi sur les emballages.</w:t>
      </w:r>
      <w:r>
        <w:t xml:space="preserve"> </w:t>
      </w:r>
      <w:r>
        <w:t xml:space="preserve">L'enquête sera menée en totalité tous les dix ans à partir de l'année de déclaration 2022.</w:t>
      </w:r>
      <w:r>
        <w:t xml:space="preserve"> </w:t>
      </w:r>
      <w:r>
        <w:t xml:space="preserve">Dans l'intervalle, l'enquête est menée chaque année sous la forme d'une enquête par échantillonnage aléatoire stratifié, sur la base des résultats du recensement précédent en termes de taille et de structure du périmètre de déclaration.</w:t>
      </w:r>
      <w:r>
        <w:t xml:space="preserve"> </w:t>
      </w:r>
      <w:r>
        <w:t xml:space="preserve">L'enquête couvre les caractéristiques suivantes:</w:t>
      </w:r>
      <w:r>
        <w:t xml:space="preserve"> </w:t>
      </w:r>
    </w:p>
    <w:p w14:paraId="2D7B5C91" w14:textId="77777777" w:rsidR="0011240F" w:rsidRPr="00AE0058" w:rsidRDefault="0011240F" w:rsidP="00F803E4">
      <w:pPr>
        <w:pStyle w:val="RevisionNummerierungStufe1"/>
        <w:tabs>
          <w:tab w:val="clear" w:pos="425"/>
          <w:tab w:val="num" w:pos="850"/>
          <w:tab w:val="num" w:pos="1133"/>
        </w:tabs>
        <w:ind w:left="850"/>
      </w:pPr>
      <w:r>
        <w:t xml:space="preserve">type et quantité d'emballages mis en circulation pour la première fois conformément à l'article 15, paragraphe 1, phrase 1 de la loi sur les emballages, à l'exception des emballages réutilisables conformément à l'article 3, paragraphe 3 de la loi sur les emballages,</w:t>
      </w:r>
      <w:r>
        <w:t xml:space="preserve"> </w:t>
      </w:r>
    </w:p>
    <w:p w14:paraId="709AEDEE" w14:textId="019E4744" w:rsidR="0011240F" w:rsidRPr="00AE0058" w:rsidRDefault="0011240F" w:rsidP="00F803E4">
      <w:pPr>
        <w:pStyle w:val="RevisionNummerierungStufe1"/>
        <w:tabs>
          <w:tab w:val="clear" w:pos="425"/>
          <w:tab w:val="num" w:pos="850"/>
          <w:tab w:val="num" w:pos="1133"/>
        </w:tabs>
        <w:ind w:left="850"/>
      </w:pPr>
      <w:r>
        <w:t xml:space="preserve">type et quantité d'emballages repris au sens de l'article 15, paragraphe 1, phrase 1 de la loi sur les emballages, à l'exception des emballages réutilisables selon l'article 3, paragraphe 3 de la loi sur les emballages, ainsi que leur localisation et élimination,</w:t>
      </w:r>
    </w:p>
    <w:p w14:paraId="02A6B9B4" w14:textId="093FD850" w:rsidR="0011240F" w:rsidRPr="00AE0058" w:rsidRDefault="0011240F" w:rsidP="00F803E4">
      <w:pPr>
        <w:pStyle w:val="RevisionNummerierungStufe1"/>
        <w:tabs>
          <w:tab w:val="clear" w:pos="425"/>
          <w:tab w:val="num" w:pos="850"/>
          <w:tab w:val="num" w:pos="1133"/>
        </w:tabs>
        <w:ind w:left="850"/>
      </w:pPr>
      <w:r>
        <w:t xml:space="preserve">type et quantité d'emballages réutilisables mis en circulation pour la première fois conformément à l'article 3 paragraphe 3 de la loi sur les emballages, le type et la quantité de l'ensemble des emballages réutilisables en circulation et le nombre de cycles de réutilisation, ventilés dans chaque cas par emballages de vente au sens de l'article 3, paragraphe 1, point 1 de la loi sur les emballages et autres emballages réutilisables dans la mesure où ils ne sont pas saisis conformément au paragraphe 2,</w:t>
      </w:r>
    </w:p>
    <w:p w14:paraId="512ED3C7" w14:textId="77777777" w:rsidR="0011240F" w:rsidRPr="00AE0058" w:rsidRDefault="0011240F" w:rsidP="00F803E4">
      <w:pPr>
        <w:pStyle w:val="RevisionNummerierungStufe1"/>
        <w:tabs>
          <w:tab w:val="clear" w:pos="425"/>
          <w:tab w:val="num" w:pos="850"/>
          <w:tab w:val="num" w:pos="1133"/>
        </w:tabs>
        <w:ind w:left="850"/>
      </w:pPr>
      <w:r>
        <w:t xml:space="preserve">type et quantité d'emballages réutilisables jetés comme déchets ainsi que leur localisation et leur élimination, ventilés par emballage de vente et autres emballages réutilisables dans la mesure où ils ne sont pas saisis conformément au paragraphe 2,</w:t>
      </w:r>
    </w:p>
    <w:p w14:paraId="0C7F6BA4" w14:textId="77777777" w:rsidR="0011240F" w:rsidRPr="00AE0058" w:rsidRDefault="0011240F" w:rsidP="00F803E4">
      <w:pPr>
        <w:pStyle w:val="RevisionNummerierungStufe1"/>
        <w:tabs>
          <w:tab w:val="clear" w:pos="425"/>
          <w:tab w:val="num" w:pos="850"/>
          <w:tab w:val="num" w:pos="1133"/>
        </w:tabs>
        <w:ind w:left="850"/>
      </w:pPr>
      <w:r>
        <w:t xml:space="preserve">type et quantité d'emballages de boissons à usage unique mis sur le marché pour la première fois et soumis à l'obligation de consigne et de reprise conformément à l'article 31 de la loi sur les emballages et, dans le cas des bouteilles de boissons en plastique à usage unique, leur contenu recyclé,</w:t>
      </w:r>
    </w:p>
    <w:p w14:paraId="0F511DBD" w14:textId="0EA35B21" w:rsidR="0011240F" w:rsidRPr="00AE0058" w:rsidRDefault="0011240F" w:rsidP="00F803E4">
      <w:pPr>
        <w:pStyle w:val="RevisionNummerierungStufe1"/>
        <w:tabs>
          <w:tab w:val="clear" w:pos="425"/>
          <w:tab w:val="num" w:pos="850"/>
          <w:tab w:val="num" w:pos="1133"/>
        </w:tabs>
        <w:ind w:left="850"/>
      </w:pPr>
      <w:r>
        <w:t xml:space="preserve">type et quantité d'emballages de boissons à usage unique repris et soumis à l'obligation de consigne et de reprise conformément à l'article 31 de la loi sur les emballages, ainsi que leur localisation et leur élimination.</w:t>
      </w:r>
      <w:r>
        <w:t xml:space="preserve"> </w:t>
      </w:r>
    </w:p>
    <w:p w14:paraId="43F976EE" w14:textId="525EAE11" w:rsidR="00DC225C" w:rsidRPr="00AE0058" w:rsidRDefault="00DC225C" w:rsidP="00F803E4">
      <w:pPr>
        <w:pStyle w:val="RevisionJuristischerAbsatz"/>
        <w:tabs>
          <w:tab w:val="clear" w:pos="850"/>
          <w:tab w:val="num" w:pos="1275"/>
        </w:tabs>
        <w:ind w:left="425"/>
      </w:pPr>
      <w:r>
        <w:t xml:space="preserve">L'enquête saisit sur une base annuelle, à partir de l'année de déclaration 2022, la caractéristique quantité des sacs en plastique très légers mis sur le marché pour la première fois par les entreprises commercialisant des sacs en plastique très légers tels que définis à l'article 3, point 1d de la directive 94/62/CE du Parlement européen et du Conseil du 20 décembre 1994 relative aux emballages et aux déchets d'emballages (JO L 365 du 31.12.1994, p. 10), modifiée en dernier lieu par la directive (UE) 2018/852 (JO L 150 du 14.6.2018, p. 141, L 306 du 30.11.2018, p. 72) dans sa version en vigueur.</w:t>
      </w:r>
    </w:p>
    <w:p w14:paraId="440F57B2" w14:textId="25D7A914" w:rsidR="00B11980" w:rsidRPr="00AE0058" w:rsidRDefault="00D45480" w:rsidP="00F803E4">
      <w:pPr>
        <w:pStyle w:val="RevisionJuristischerAbsatz"/>
        <w:numPr>
          <w:ilvl w:val="2"/>
          <w:numId w:val="1"/>
        </w:numPr>
        <w:tabs>
          <w:tab w:val="clear" w:pos="850"/>
          <w:tab w:val="num" w:pos="1275"/>
        </w:tabs>
        <w:ind w:left="425"/>
        <w:outlineLvl w:val="9"/>
        <w:rPr>
          <w:rStyle w:val="Marker"/>
          <w:color w:val="800000"/>
        </w:rPr>
      </w:pPr>
      <w:r>
        <w:rPr>
          <w:rStyle w:val="Marker"/>
          <w:color w:val="800000"/>
        </w:rPr>
        <w:t xml:space="preserve">L'enquête saisit sur une base annuelle, à partir de l'année de déclaration 2022, les caractéristiques type et quantité des produits mis sur le marché pour la première fois par les entreprises qui mettent sur le marché pour la première fois les produits désignés tels que définis à l'article 13, paragraphe 1 de la directive (UE) 2019/904 du Parlement européen et du Conseil du 5 juin 2019 relative à la réduction de l'impact de certains produits en matière plastique sur l'environnement (JO L 155 du 12.6.2019, p. 1) dans sa version en vigueur s'ils ne sont pas concernés par les paragraphes 1 à 4.</w:t>
      </w:r>
    </w:p>
    <w:p w14:paraId="752DE454" w14:textId="75F4A1FB" w:rsidR="00475621" w:rsidRPr="00AE0058" w:rsidRDefault="00475621" w:rsidP="00F803E4">
      <w:pPr>
        <w:pStyle w:val="RevisionJuristischerAbsatz"/>
        <w:numPr>
          <w:ilvl w:val="2"/>
          <w:numId w:val="1"/>
        </w:numPr>
        <w:tabs>
          <w:tab w:val="clear" w:pos="850"/>
          <w:tab w:val="num" w:pos="1275"/>
        </w:tabs>
        <w:ind w:left="425"/>
        <w:outlineLvl w:val="9"/>
        <w:rPr>
          <w:rStyle w:val="Marker"/>
          <w:color w:val="800000"/>
        </w:rPr>
      </w:pPr>
      <w:r>
        <w:rPr>
          <w:rStyle w:val="Marker"/>
          <w:color w:val="800000"/>
        </w:rPr>
        <w:t xml:space="preserve">L'enquête saisit sur une base annuelle, à partir de l'année de déclaration 2022, pour un maximum de 400 communes, auprès des autorités ou des entreprises, entités et organismes qui collectent et éliminent des produits visés à l'article 13, paragraphe 1 de la directive (UE) 2019/904, les caractéristiques type, quantité, localisation et élimination des déchets provenant de ces produits collectés dans les communes, dans la mesure où les données ne sont pas collectées conformément aux paragraphes 1 à 5.</w:t>
      </w:r>
      <w:r>
        <w:rPr>
          <w:rStyle w:val="Marker"/>
          <w:color w:val="800000"/>
        </w:rPr>
        <w:t xml:space="preserve"> </w:t>
      </w:r>
      <w:r>
        <w:rPr>
          <w:rStyle w:val="Marker"/>
          <w:color w:val="800000"/>
        </w:rPr>
        <w:t xml:space="preserve">Les données sont collectées auprès des autorités publiques dans la mesure où ils disposent des données visées dans la phrase 1.</w:t>
      </w:r>
      <w:r>
        <w:rPr>
          <w:rStyle w:val="Marker"/>
          <w:color w:val="800000"/>
        </w:rPr>
        <w:t xml:space="preserve"> </w:t>
      </w:r>
    </w:p>
    <w:p w14:paraId="739DD8A3" w14:textId="1C1D5166" w:rsidR="00475621" w:rsidRPr="00AE0058" w:rsidRDefault="00475621" w:rsidP="00F803E4">
      <w:pPr>
        <w:pStyle w:val="RevisionJuristischerAbsatz"/>
        <w:numPr>
          <w:ilvl w:val="2"/>
          <w:numId w:val="1"/>
        </w:numPr>
        <w:tabs>
          <w:tab w:val="clear" w:pos="850"/>
          <w:tab w:val="num" w:pos="1275"/>
        </w:tabs>
        <w:ind w:left="425"/>
        <w:outlineLvl w:val="9"/>
        <w:rPr>
          <w:rStyle w:val="Marker"/>
          <w:color w:val="800000"/>
        </w:rPr>
      </w:pPr>
      <w:r>
        <w:rPr>
          <w:rStyle w:val="Marker"/>
          <w:color w:val="800000"/>
        </w:rPr>
        <w:t xml:space="preserve">L'enquête saisit tous les deux ans, à compter de l'année de déclaration 2022, la caractéristique quantité des déchets collectés et éliminés auprès des entreprises, entités et organismes responsables de la collecte et de l'élimination des déchets de la pêche passive visés à l'article 8, paragraphe 7, en liaison avec l'article 2, point 4 de la directive (UE) 2019/883 du Parlement européen et du Conseil du 17 avril 2019 sur les installations de réception portuaires pour le déchargement des déchets des navires, modifiant la directive 2010/65/UE et abrogeant la directive 2000/59/CE (JO L 151 du 7.6.2019, p. 116) dans leur version en vigueur.»</w:t>
      </w:r>
    </w:p>
    <w:p w14:paraId="40194B5B" w14:textId="5C7E6826" w:rsidR="00865262" w:rsidRPr="00AE0058" w:rsidRDefault="00865262" w:rsidP="0022007B">
      <w:pPr>
        <w:pStyle w:val="NummerierungStufe1"/>
      </w:pPr>
      <w:r>
        <w:t xml:space="preserve">À l’article 6, paragraphes 1 et 2, la mention </w:t>
      </w:r>
      <w:r>
        <w:rPr>
          <w:rStyle w:val="RevisionText"/>
        </w:rPr>
        <w:t xml:space="preserve">«5»</w:t>
      </w:r>
      <w:r>
        <w:t xml:space="preserve"> est remplacée par </w:t>
      </w:r>
      <w:r>
        <w:rPr>
          <w:rStyle w:val="RevisionText"/>
        </w:rPr>
        <w:t xml:space="preserve">«5a»</w:t>
      </w:r>
      <w:r>
        <w:t xml:space="preserve">.</w:t>
      </w:r>
    </w:p>
    <w:p w14:paraId="132AC1A7" w14:textId="3447C33A" w:rsidR="0022007B" w:rsidRPr="00AE0058" w:rsidRDefault="00AA0650" w:rsidP="003F5274">
      <w:pPr>
        <w:pStyle w:val="NummerierungStufe1"/>
        <w:keepNext/>
      </w:pPr>
      <w:r>
        <w:t xml:space="preserve">Les articles 7 et 8 sont formulés comme suit:</w:t>
      </w:r>
    </w:p>
    <w:p w14:paraId="6A53F20A" w14:textId="77777777" w:rsidR="00B508B6" w:rsidRPr="00AE0058" w:rsidRDefault="00B508B6" w:rsidP="00F803E4">
      <w:pPr>
        <w:pStyle w:val="RevisionParagraphBezeichnermanuell"/>
        <w:ind w:left="425" w:hanging="75"/>
      </w:pPr>
      <w:r>
        <w:t xml:space="preserve">«Article 7</w:t>
      </w:r>
    </w:p>
    <w:p w14:paraId="317969B0" w14:textId="77777777" w:rsidR="00B508B6" w:rsidRPr="00AE0058" w:rsidRDefault="00B508B6" w:rsidP="00F803E4">
      <w:pPr>
        <w:pStyle w:val="RevisionParagraphberschrift"/>
        <w:ind w:left="425"/>
      </w:pPr>
      <w:r>
        <w:rPr>
          <w:rStyle w:val="Marker"/>
          <w:color w:val="800000"/>
        </w:rPr>
        <w:t xml:space="preserve">Enquête sur les services publics d'approvisionnement en eau et d'assainissement</w:t>
      </w:r>
    </w:p>
    <w:p w14:paraId="19D848AD" w14:textId="43E6E82C" w:rsidR="00C20AC0" w:rsidRPr="0021276C" w:rsidRDefault="00B639EE" w:rsidP="003F5274">
      <w:pPr>
        <w:pStyle w:val="RevisionJuristischerAbsatz"/>
        <w:keepNext/>
        <w:numPr>
          <w:ilvl w:val="2"/>
          <w:numId w:val="2"/>
        </w:numPr>
        <w:tabs>
          <w:tab w:val="clear" w:pos="850"/>
          <w:tab w:val="num" w:pos="1275"/>
        </w:tabs>
        <w:ind w:left="425"/>
      </w:pPr>
      <w:r>
        <w:t xml:space="preserve">Tous les trois ans, à compter de l'année de déclaration 2022, l'enquête collecte les caractéristiques suivantes auprès des institutions, entités, entreprises et autres organismes qui exploitent des installations d'approvisionnement public en eau:</w:t>
      </w:r>
    </w:p>
    <w:p w14:paraId="1968D01E" w14:textId="5BF2F73D" w:rsidR="00C20AC0" w:rsidRPr="0021276C" w:rsidRDefault="00C20AC0" w:rsidP="00F803E4">
      <w:pPr>
        <w:pStyle w:val="RevisionNummerierungStufe1"/>
        <w:tabs>
          <w:tab w:val="clear" w:pos="425"/>
          <w:tab w:val="num" w:pos="850"/>
          <w:tab w:val="num" w:pos="1558"/>
        </w:tabs>
        <w:ind w:left="850"/>
      </w:pPr>
      <w:r>
        <w:t xml:space="preserve">extraction de l'eau par type, quantité et emplacement de l'installation d'extraction avec géolocalisation et durée de vie utile de l'installation au cours de l'année de déclaration,</w:t>
      </w:r>
    </w:p>
    <w:p w14:paraId="6504DC5F" w14:textId="77777777" w:rsidR="00C20AC0" w:rsidRPr="00AE0058" w:rsidRDefault="00C20AC0" w:rsidP="00F803E4">
      <w:pPr>
        <w:pStyle w:val="RevisionNummerierungStufe1"/>
        <w:tabs>
          <w:tab w:val="clear" w:pos="425"/>
          <w:tab w:val="num" w:pos="850"/>
          <w:tab w:val="num" w:pos="1558"/>
        </w:tabs>
        <w:ind w:left="850"/>
        <w:rPr>
          <w:rStyle w:val="Marker"/>
          <w:color w:val="800000"/>
        </w:rPr>
      </w:pPr>
      <w:r>
        <w:rPr>
          <w:rStyle w:val="Marker"/>
          <w:color w:val="800000"/>
        </w:rPr>
        <w:t xml:space="preserve">achat et livraison d'eau par quantité, groupe de livraison et groupes d'acheteurs,</w:t>
      </w:r>
    </w:p>
    <w:p w14:paraId="74556E13" w14:textId="3F15DA8F" w:rsidR="00552FB2" w:rsidRPr="00AE0058" w:rsidRDefault="00552FB2" w:rsidP="00F803E4">
      <w:pPr>
        <w:pStyle w:val="RevisionNummerierungStufe1"/>
        <w:tabs>
          <w:tab w:val="clear" w:pos="425"/>
          <w:tab w:val="num" w:pos="850"/>
          <w:tab w:val="num" w:pos="1558"/>
        </w:tabs>
        <w:ind w:left="850"/>
        <w:rPr>
          <w:rStyle w:val="Marker"/>
          <w:color w:val="800000"/>
        </w:rPr>
      </w:pPr>
      <w:r>
        <w:rPr>
          <w:rStyle w:val="Marker"/>
          <w:color w:val="800000"/>
        </w:rPr>
        <w:t xml:space="preserve">distribution d'eau aux clients finals en quantité, ventilée par commune, et en nombre d'habitants desservis au 31 décembre de l'année civile précédant l'année considérée, ventilée par commune,</w:t>
      </w:r>
      <w:r>
        <w:rPr>
          <w:rStyle w:val="Marker"/>
          <w:color w:val="800000"/>
        </w:rPr>
        <w:t xml:space="preserve"> </w:t>
      </w:r>
    </w:p>
    <w:p w14:paraId="0C6CCCA3" w14:textId="28CCBB9C" w:rsidR="00552FB2" w:rsidRPr="00AE0058" w:rsidRDefault="00552FB2" w:rsidP="00F803E4">
      <w:pPr>
        <w:pStyle w:val="RevisionNummerierungStufe1"/>
        <w:tabs>
          <w:tab w:val="clear" w:pos="425"/>
          <w:tab w:val="num" w:pos="850"/>
          <w:tab w:val="num" w:pos="1558"/>
        </w:tabs>
        <w:ind w:left="850"/>
        <w:rPr>
          <w:rStyle w:val="Marker"/>
          <w:color w:val="800000"/>
        </w:rPr>
      </w:pPr>
      <w:r>
        <w:rPr>
          <w:rStyle w:val="Marker"/>
          <w:color w:val="800000"/>
        </w:rPr>
        <w:t xml:space="preserve">quantité du besoin propre en eau et quantité des pertes en eau.</w:t>
      </w:r>
    </w:p>
    <w:p w14:paraId="31A0E2CE" w14:textId="6C22B2D5" w:rsidR="00552FB2" w:rsidRPr="00AE0058" w:rsidRDefault="00552FB2" w:rsidP="003F5274">
      <w:pPr>
        <w:pStyle w:val="RevisionJuristischerAbsatz"/>
        <w:keepNext/>
        <w:numPr>
          <w:ilvl w:val="2"/>
          <w:numId w:val="2"/>
        </w:numPr>
        <w:tabs>
          <w:tab w:val="clear" w:pos="850"/>
          <w:tab w:val="num" w:pos="1275"/>
        </w:tabs>
        <w:ind w:left="425"/>
        <w:rPr>
          <w:rStyle w:val="Marker"/>
          <w:color w:val="800000"/>
        </w:rPr>
      </w:pPr>
      <w:r>
        <w:rPr>
          <w:rStyle w:val="Marker"/>
          <w:color w:val="800000"/>
        </w:rPr>
        <w:t xml:space="preserve">L'enquête collecte auprès des institutions, entités, entreprises et autres organismes qui exploitent des installations d'assainissement public des eaux et auprès des installations de traitement des eaux usées dont la capacité autorisée est supérieure à 50 équivalents habitants,</w:t>
      </w:r>
      <w:r>
        <w:rPr>
          <w:rStyle w:val="Marker"/>
          <w:color w:val="800000"/>
        </w:rPr>
        <w:t xml:space="preserve"> </w:t>
      </w:r>
    </w:p>
    <w:p w14:paraId="613777C4" w14:textId="531D7F66" w:rsidR="00A353F5" w:rsidRPr="00AE0058" w:rsidRDefault="00A353F5" w:rsidP="003F5274">
      <w:pPr>
        <w:pStyle w:val="RevisionNummerierungStufe1"/>
        <w:keepNext/>
        <w:numPr>
          <w:ilvl w:val="3"/>
          <w:numId w:val="1"/>
        </w:numPr>
        <w:tabs>
          <w:tab w:val="clear" w:pos="425"/>
          <w:tab w:val="num" w:pos="850"/>
          <w:tab w:val="left" w:pos="1275"/>
        </w:tabs>
        <w:ind w:left="850"/>
      </w:pPr>
      <w:r>
        <w:t xml:space="preserve">tous les trois ans, à partir de l'année de déclaration 2022, les caractéristiques suivantes:</w:t>
      </w:r>
    </w:p>
    <w:p w14:paraId="27FA85F4" w14:textId="77777777" w:rsidR="00A353F5" w:rsidRPr="00AE0058" w:rsidRDefault="00A353F5" w:rsidP="00F803E4">
      <w:pPr>
        <w:pStyle w:val="RevisionNummerierungStufe2"/>
        <w:tabs>
          <w:tab w:val="clear" w:pos="850"/>
          <w:tab w:val="num" w:pos="1275"/>
        </w:tabs>
        <w:ind w:left="1275"/>
      </w:pPr>
      <w:r>
        <w:t xml:space="preserve">réseau d'égouts par type, longueur et année de construction, ainsi que nombre et volume de stockage des installations de traitement des eaux pluviales et des réseaux d'égouts unitaires, dans chaque cas ventilé par commune et au 31 décembre de l'année considérée,</w:t>
      </w:r>
    </w:p>
    <w:p w14:paraId="50F19CC2" w14:textId="77777777" w:rsidR="00A353F5" w:rsidRPr="00AE0058" w:rsidRDefault="00A353F5" w:rsidP="00F803E4">
      <w:pPr>
        <w:pStyle w:val="RevisionNummerierungStufe2"/>
        <w:tabs>
          <w:tab w:val="clear" w:pos="850"/>
          <w:tab w:val="num" w:pos="1275"/>
        </w:tabs>
        <w:ind w:left="1275"/>
      </w:pPr>
      <w:r>
        <w:t xml:space="preserve">quantité et localisation des eaux usées, des eaux étrangères et des eaux pluviales collectées, ainsi que l'emplacement du point de rejet avec géolocalisation,</w:t>
      </w:r>
    </w:p>
    <w:p w14:paraId="6017A461" w14:textId="77777777" w:rsidR="00A353F5" w:rsidRPr="00AE0058" w:rsidRDefault="00A353F5" w:rsidP="00F803E4">
      <w:pPr>
        <w:pStyle w:val="RevisionNummerierungStufe2"/>
        <w:tabs>
          <w:tab w:val="clear" w:pos="850"/>
          <w:tab w:val="num" w:pos="1275"/>
        </w:tabs>
        <w:ind w:left="1275"/>
      </w:pPr>
      <w:r>
        <w:t xml:space="preserve">type de traitement des eaux usées, des eaux étrangères et des eaux pluviales,</w:t>
      </w:r>
    </w:p>
    <w:p w14:paraId="0609F848" w14:textId="07EEA765" w:rsidR="00A353F5" w:rsidRPr="00AE0058" w:rsidRDefault="00A353F5" w:rsidP="00F803E4">
      <w:pPr>
        <w:pStyle w:val="RevisionNummerierungStufe2"/>
        <w:tabs>
          <w:tab w:val="clear" w:pos="850"/>
          <w:tab w:val="num" w:pos="1275"/>
        </w:tabs>
        <w:ind w:left="1275"/>
      </w:pPr>
      <w:r>
        <w:t xml:space="preserve">nombre d'habitants raccordés à des stations d'épuration des eaux usées au 31 décembre de l'année civile précédant l'année considérée, les équivalents habitants raccordés et le nom des communes raccordées,</w:t>
      </w:r>
    </w:p>
    <w:p w14:paraId="478689DE" w14:textId="34203505" w:rsidR="00A353F5" w:rsidRPr="00AE0058" w:rsidRDefault="00A353F5" w:rsidP="00F803E4">
      <w:pPr>
        <w:pStyle w:val="RevisionNummerierungStufe2"/>
        <w:tabs>
          <w:tab w:val="clear" w:pos="850"/>
          <w:tab w:val="num" w:pos="1275"/>
        </w:tabs>
        <w:ind w:left="1275"/>
      </w:pPr>
      <w:r>
        <w:t xml:space="preserve">quantité d'eaux usées rejetées dans les stations d'épuration après traitement ou rejetées sans traitement ainsi que les concentrations et charges respectives des polluants et groupes de polluants en particulier selon l'annexe 1 de l'ordonnance sur les eaux usées dans la version publiée le 17 juin 2004 (JO fédéral</w:t>
      </w:r>
      <w:r>
        <w:t xml:space="preserve"> </w:t>
      </w:r>
      <w:r>
        <w:t xml:space="preserve">I, p. 1108, 2625), modifié en dernier lieu par l’article 1er du règlement du 16 juin 2020 (Journal officiel de la République fédérale d’Allemagne</w:t>
      </w:r>
      <w:r>
        <w:t xml:space="preserve"> </w:t>
      </w:r>
      <w:r>
        <w:t xml:space="preserve">I , p. 1287), dans sa version en vigueur,</w:t>
      </w:r>
    </w:p>
    <w:p w14:paraId="0F63EDD5" w14:textId="6B313DF6" w:rsidR="00A353F5" w:rsidRPr="00AE0058" w:rsidRDefault="00A353F5" w:rsidP="00F803E4">
      <w:pPr>
        <w:pStyle w:val="RevisionNummerierungStufe2"/>
        <w:tabs>
          <w:tab w:val="clear" w:pos="850"/>
          <w:tab w:val="num" w:pos="1275"/>
        </w:tabs>
        <w:ind w:left="1275"/>
      </w:pPr>
      <w:r>
        <w:t xml:space="preserve">capacité des installations et leur durée de vie utile au cours de l'année considérée, et</w:t>
      </w:r>
    </w:p>
    <w:p w14:paraId="5F9E40A8" w14:textId="446FB738" w:rsidR="00A353F5" w:rsidRPr="00AE0058" w:rsidRDefault="00A353F5" w:rsidP="00F803E4">
      <w:pPr>
        <w:pStyle w:val="RevisionNummerierungStufe1"/>
        <w:numPr>
          <w:ilvl w:val="3"/>
          <w:numId w:val="1"/>
        </w:numPr>
        <w:tabs>
          <w:tab w:val="clear" w:pos="425"/>
          <w:tab w:val="num" w:pos="850"/>
          <w:tab w:val="num" w:pos="1133"/>
          <w:tab w:val="left" w:pos="1275"/>
        </w:tabs>
        <w:ind w:left="850"/>
      </w:pPr>
      <w:r>
        <w:t xml:space="preserve">chaque année, à partir de l'année de déclaration 2021, les caractéristiques boues d'épuration par quantité produite, reçue et livrée, traitement, nature, localisation et valorisation, ainsi que la surface des zones sur lesquelles les boues d'épuration ont été épandues ou incorporées, par taille et, du plus, à partir de l'année de déclaration 2022, la surface par lieu avec géolocalisation.</w:t>
      </w:r>
      <w:r>
        <w:t xml:space="preserve"> </w:t>
      </w:r>
    </w:p>
    <w:p w14:paraId="46F2814E" w14:textId="0A74AA74" w:rsidR="00A353F5" w:rsidRPr="00AE0058" w:rsidRDefault="00A353F5" w:rsidP="003F5274">
      <w:pPr>
        <w:pStyle w:val="RevisionJuristischerAbsatz"/>
        <w:keepNext/>
        <w:numPr>
          <w:ilvl w:val="2"/>
          <w:numId w:val="2"/>
        </w:numPr>
        <w:tabs>
          <w:tab w:val="clear" w:pos="850"/>
          <w:tab w:val="num" w:pos="1275"/>
        </w:tabs>
        <w:ind w:left="425"/>
        <w:rPr>
          <w:rStyle w:val="Marker"/>
          <w:color w:val="800000"/>
        </w:rPr>
      </w:pPr>
      <w:r>
        <w:rPr>
          <w:rStyle w:val="Marker"/>
          <w:color w:val="800000"/>
        </w:rPr>
        <w:t xml:space="preserve">L'enquête saisit les caractéristiques suivantes tous les trois ans, à partir de l'année de déclaration 2022, pour les communes responsables de l'approvisionnement public en eau et pour les communes ou les tiers responsables de l'assainissement public des eaux usées, dans la mesure où ces tâches leur ont été transférées ou confiées:</w:t>
      </w:r>
    </w:p>
    <w:p w14:paraId="60576FCA" w14:textId="77777777" w:rsidR="00A353F5" w:rsidRPr="00AE0058" w:rsidRDefault="00A353F5" w:rsidP="00F803E4">
      <w:pPr>
        <w:pStyle w:val="RevisionNummerierungStufe1"/>
        <w:numPr>
          <w:ilvl w:val="3"/>
          <w:numId w:val="1"/>
        </w:numPr>
        <w:tabs>
          <w:tab w:val="clear" w:pos="425"/>
          <w:tab w:val="num" w:pos="850"/>
          <w:tab w:val="left" w:pos="1275"/>
        </w:tabs>
        <w:ind w:left="850"/>
      </w:pPr>
      <w:r>
        <w:t xml:space="preserve">nombre d'habitants non raccordés au réseau public d'assainissement au 31 décembre de l'année civile précédant l'année considérée,</w:t>
      </w:r>
    </w:p>
    <w:p w14:paraId="15688C26" w14:textId="59190901" w:rsidR="00A353F5" w:rsidRPr="00AE0058" w:rsidRDefault="00A353F5" w:rsidP="00F803E4">
      <w:pPr>
        <w:pStyle w:val="RevisionNummerierungStufe1"/>
        <w:numPr>
          <w:ilvl w:val="3"/>
          <w:numId w:val="1"/>
        </w:numPr>
        <w:tabs>
          <w:tab w:val="clear" w:pos="425"/>
          <w:tab w:val="num" w:pos="850"/>
          <w:tab w:val="left" w:pos="1275"/>
        </w:tabs>
        <w:ind w:left="850"/>
      </w:pPr>
      <w:r>
        <w:t xml:space="preserve">nombre d'habitants non raccordés aux réseaux d'égouts publics au 31 décembre de l'année civile précédant l'année considérée,</w:t>
      </w:r>
    </w:p>
    <w:p w14:paraId="66D559A1" w14:textId="79252831" w:rsidR="00A353F5" w:rsidRPr="00AE0058" w:rsidRDefault="00A353F5" w:rsidP="00F803E4">
      <w:pPr>
        <w:pStyle w:val="RevisionNummerierungStufe1"/>
        <w:numPr>
          <w:ilvl w:val="3"/>
          <w:numId w:val="1"/>
        </w:numPr>
        <w:tabs>
          <w:tab w:val="clear" w:pos="425"/>
          <w:tab w:val="num" w:pos="850"/>
          <w:tab w:val="left" w:pos="1275"/>
        </w:tabs>
        <w:ind w:left="850"/>
      </w:pPr>
      <w:r>
        <w:t xml:space="preserve">type de traitement des eaux usées et localisation des eaux usées des résidents non connectés au système public d'assainissement.</w:t>
      </w:r>
    </w:p>
    <w:p w14:paraId="54D0F647" w14:textId="5ED38A1F" w:rsidR="00A353F5" w:rsidRPr="00AE0058" w:rsidRDefault="00A353F5" w:rsidP="00F803E4">
      <w:pPr>
        <w:pStyle w:val="RevisionJuristischerAbsatz"/>
        <w:numPr>
          <w:ilvl w:val="2"/>
          <w:numId w:val="2"/>
        </w:numPr>
        <w:tabs>
          <w:tab w:val="clear" w:pos="850"/>
          <w:tab w:val="num" w:pos="1275"/>
        </w:tabs>
        <w:ind w:left="425"/>
        <w:rPr>
          <w:rStyle w:val="Marker"/>
          <w:color w:val="800000"/>
        </w:rPr>
      </w:pPr>
      <w:r>
        <w:rPr>
          <w:rStyle w:val="Marker"/>
          <w:color w:val="800000"/>
        </w:rPr>
        <w:t xml:space="preserve">Si les services d'approvisionnement en eau et d'assainissement s'étendent sur plusieurs Länder, les caractéristiques visées aux paragraphes 1 à 3 sont collectées séparément pour chaque Land.</w:t>
      </w:r>
    </w:p>
    <w:p w14:paraId="62F2DFEA" w14:textId="77777777" w:rsidR="00660365" w:rsidRPr="0021276C" w:rsidRDefault="00660365" w:rsidP="00F803E4">
      <w:pPr>
        <w:pStyle w:val="RevisionParagraphBezeichnermanuell"/>
        <w:ind w:left="425"/>
        <w:rPr>
          <w:rStyle w:val="Marker"/>
          <w:color w:val="800000"/>
        </w:rPr>
      </w:pPr>
      <w:r>
        <w:rPr>
          <w:rStyle w:val="Marker"/>
          <w:color w:val="800000"/>
        </w:rPr>
        <w:t xml:space="preserve">Article 8</w:t>
      </w:r>
    </w:p>
    <w:p w14:paraId="1A84EC5A" w14:textId="77777777" w:rsidR="00660365" w:rsidRPr="00AE0058" w:rsidRDefault="00660365" w:rsidP="00F803E4">
      <w:pPr>
        <w:pStyle w:val="RevisionParagraphberschrift"/>
        <w:ind w:left="425"/>
      </w:pPr>
      <w:r>
        <w:rPr>
          <w:rStyle w:val="Marker"/>
          <w:color w:val="800000"/>
        </w:rPr>
        <w:t xml:space="preserve">Enquête sur l'approvisionnement en eau non public et l'assainissement des eaux usées non public</w:t>
      </w:r>
    </w:p>
    <w:p w14:paraId="786BF216" w14:textId="43DDC404" w:rsidR="00A22057" w:rsidRPr="00AE0058" w:rsidRDefault="00A605FA" w:rsidP="003F5274">
      <w:pPr>
        <w:pStyle w:val="RevisionJuristischerAbsatzmanuell"/>
        <w:keepNext/>
        <w:tabs>
          <w:tab w:val="clear" w:pos="850"/>
          <w:tab w:val="left" w:pos="1275"/>
        </w:tabs>
        <w:ind w:left="425"/>
        <w:rPr>
          <w:rStyle w:val="Marker"/>
          <w:color w:val="800000"/>
        </w:rPr>
      </w:pPr>
      <w:r>
        <w:t xml:space="preserve">L'enquête concerne les établissements non publics produisant au moins 2 000 mètres cubes d'eau par an ou prélevant au moins 10 000 mètres cubes d'eau par an dans d'autres établissements ou rejetant au moins 2 000 mètres cubes d'eau ou d'eaux usées par an dans les eaux.</w:t>
      </w:r>
      <w:r>
        <w:t xml:space="preserve"> </w:t>
      </w:r>
      <w:r>
        <w:t xml:space="preserve">L'enquête collecte</w:t>
      </w:r>
    </w:p>
    <w:p w14:paraId="6AC69C26" w14:textId="2F676439" w:rsidR="00A605FA" w:rsidRPr="00AE0058" w:rsidRDefault="00A605FA" w:rsidP="003F5274">
      <w:pPr>
        <w:pStyle w:val="RevisionNummerierungStufe1"/>
        <w:keepNext/>
        <w:numPr>
          <w:ilvl w:val="3"/>
          <w:numId w:val="1"/>
        </w:numPr>
        <w:tabs>
          <w:tab w:val="clear" w:pos="425"/>
          <w:tab w:val="num" w:pos="850"/>
          <w:tab w:val="num" w:pos="1133"/>
          <w:tab w:val="left" w:pos="1275"/>
        </w:tabs>
        <w:ind w:left="850"/>
      </w:pPr>
      <w:r>
        <w:t xml:space="preserve">tous les trois ans, à partir de l'année de déclaration 2022, les caractéristiques suivantes:</w:t>
      </w:r>
    </w:p>
    <w:p w14:paraId="60614D12" w14:textId="2C7C9D0D" w:rsidR="00A605FA" w:rsidRPr="00AE0058" w:rsidRDefault="00A605FA" w:rsidP="00F803E4">
      <w:pPr>
        <w:pStyle w:val="RevisionNummerierungStufe2"/>
        <w:tabs>
          <w:tab w:val="clear" w:pos="850"/>
          <w:tab w:val="num" w:pos="1275"/>
        </w:tabs>
        <w:ind w:left="1275"/>
      </w:pPr>
      <w:r>
        <w:t xml:space="preserve">extraction de l'eau par type d'eau, achat et livraison d'eau, dans chaque cas par quantité,</w:t>
      </w:r>
    </w:p>
    <w:p w14:paraId="0FD6A1B4" w14:textId="0C36AB0B" w:rsidR="00A605FA" w:rsidRPr="00AE0058" w:rsidRDefault="00A605FA" w:rsidP="00F803E4">
      <w:pPr>
        <w:pStyle w:val="RevisionNummerierungStufe2"/>
        <w:tabs>
          <w:tab w:val="clear" w:pos="850"/>
          <w:tab w:val="num" w:pos="1275"/>
        </w:tabs>
        <w:ind w:left="1275"/>
      </w:pPr>
      <w:r>
        <w:t xml:space="preserve">utilisation de l'eau, classée par utilisation, par quantité et par usage unique, multiple et circulaire,</w:t>
      </w:r>
    </w:p>
    <w:p w14:paraId="62133DB4" w14:textId="53AF84AB" w:rsidR="00A605FA" w:rsidRPr="00AE0058" w:rsidRDefault="00A605FA" w:rsidP="00F803E4">
      <w:pPr>
        <w:pStyle w:val="RevisionNummerierungStufe2"/>
        <w:tabs>
          <w:tab w:val="clear" w:pos="850"/>
          <w:tab w:val="num" w:pos="1275"/>
        </w:tabs>
        <w:ind w:left="1275"/>
      </w:pPr>
      <w:r>
        <w:t xml:space="preserve">origine et localisation de l'eau non utilisée et des eaux usées par quantité et emplacement du point de rejet avec géolocalisation,</w:t>
      </w:r>
    </w:p>
    <w:p w14:paraId="17330B25" w14:textId="77777777" w:rsidR="00A605FA" w:rsidRPr="00AE0058" w:rsidRDefault="00A605FA" w:rsidP="00F803E4">
      <w:pPr>
        <w:pStyle w:val="RevisionNummerierungStufe2"/>
        <w:tabs>
          <w:tab w:val="clear" w:pos="850"/>
          <w:tab w:val="num" w:pos="1275"/>
        </w:tabs>
        <w:ind w:left="1275"/>
      </w:pPr>
      <w:r>
        <w:t xml:space="preserve">type de traitement des eaux usées,</w:t>
      </w:r>
    </w:p>
    <w:p w14:paraId="1C3F3B5F" w14:textId="41F61F9A" w:rsidR="00A605FA" w:rsidRPr="00AE0058" w:rsidRDefault="00A605FA" w:rsidP="00F803E4">
      <w:pPr>
        <w:pStyle w:val="RevisionNummerierungStufe2"/>
        <w:tabs>
          <w:tab w:val="clear" w:pos="850"/>
          <w:tab w:val="num" w:pos="1275"/>
        </w:tabs>
        <w:ind w:left="1275"/>
      </w:pPr>
      <w:r>
        <w:t xml:space="preserve">quantité d'eaux usées rejetées dans les stations d'épuration après traitement ou rejetées sans traitement ainsi que les concentrations et charges respectives de polluants et de groupes de polluants, en particulier selon l'ordonnance sur les eaux usées, par localisation du point de rejet avec géolocalisation,</w:t>
      </w:r>
    </w:p>
    <w:p w14:paraId="582D991A" w14:textId="100AB15B" w:rsidR="00A605FA" w:rsidRPr="00AE0058" w:rsidRDefault="00A605FA" w:rsidP="00F803E4">
      <w:pPr>
        <w:pStyle w:val="RevisionNummerierungStufe2"/>
        <w:tabs>
          <w:tab w:val="clear" w:pos="850"/>
          <w:tab w:val="num" w:pos="1275"/>
        </w:tabs>
        <w:ind w:left="1275"/>
      </w:pPr>
      <w:r>
        <w:t xml:space="preserve">boues d'épuration par quantité, traitement et localisation au 31 décembre de l'année de déclaration, et</w:t>
      </w:r>
    </w:p>
    <w:p w14:paraId="01D795A1" w14:textId="77777777" w:rsidR="00255DB5" w:rsidRPr="00AE0058" w:rsidRDefault="00A605FA" w:rsidP="00F803E4">
      <w:pPr>
        <w:pStyle w:val="RevisionNummerierungStufe1"/>
        <w:numPr>
          <w:ilvl w:val="3"/>
          <w:numId w:val="1"/>
        </w:numPr>
        <w:tabs>
          <w:tab w:val="clear" w:pos="425"/>
          <w:tab w:val="num" w:pos="850"/>
          <w:tab w:val="num" w:pos="1133"/>
          <w:tab w:val="left" w:pos="1275"/>
        </w:tabs>
        <w:ind w:left="850"/>
      </w:pPr>
      <w:r>
        <w:t xml:space="preserve">chaque année, à partir de l'année de déclaration 2022, pour les établissements qui épandent les boues d'épuration sur les terres agricoles, également les caractéristiques qualité ainsi que la surface sur laquelle les boues d'épuration ont été épandues ou incorporées, par taille, lieu et géolocalisation.</w:t>
      </w:r>
    </w:p>
    <w:p w14:paraId="116A4A2B" w14:textId="63EC787F" w:rsidR="00660365" w:rsidRPr="00AE0058" w:rsidRDefault="00D139D3" w:rsidP="00F803E4">
      <w:pPr>
        <w:pStyle w:val="RevisionNummerierungFolgeabsatzStufe1"/>
        <w:ind w:left="850"/>
      </w:pPr>
      <w:r>
        <w:t xml:space="preserve">Par dérogation à l'article 2, paragraphe 2, le secteur d'activité visé à l'article A - «Agriculture, sylviculture et pêche» de l'annexe I du règlement (CE) n° 1893/2006 est exclu de l'enquête selon la phrase 2, point 1, lettre c à f et point 2.»</w:t>
      </w:r>
    </w:p>
    <w:p w14:paraId="35AC1E53" w14:textId="77777777" w:rsidR="00320144" w:rsidRPr="00AE0058" w:rsidRDefault="009B22B7" w:rsidP="003F5274">
      <w:pPr>
        <w:pStyle w:val="NummerierungStufe1"/>
        <w:keepNext/>
      </w:pPr>
      <w:r>
        <w:t xml:space="preserve">L'article 9 est modifié comme suit:</w:t>
      </w:r>
    </w:p>
    <w:p w14:paraId="271433AA" w14:textId="77777777" w:rsidR="009B22B7" w:rsidRPr="00AE0058" w:rsidRDefault="009B22B7" w:rsidP="003F5274">
      <w:pPr>
        <w:pStyle w:val="NummerierungStufe2"/>
        <w:keepNext/>
      </w:pPr>
      <w:r>
        <w:t xml:space="preserve">Le paragraphe 1 est modifié comme suit:</w:t>
      </w:r>
    </w:p>
    <w:p w14:paraId="16FFE357" w14:textId="45F4D3CF" w:rsidR="00C603E0" w:rsidRPr="00AE0058" w:rsidRDefault="00C603E0" w:rsidP="009B22B7">
      <w:pPr>
        <w:pStyle w:val="NummerierungStufe3"/>
      </w:pPr>
      <w:r>
        <w:t xml:space="preserve">Dans la partie de phrase précédant le point 1, la mention </w:t>
      </w:r>
      <w:r>
        <w:rPr>
          <w:rStyle w:val="RevisionText"/>
        </w:rPr>
        <w:t xml:space="preserve">«2006»</w:t>
      </w:r>
      <w:r>
        <w:t xml:space="preserve"> est remplacée par </w:t>
      </w:r>
      <w:r>
        <w:rPr>
          <w:rStyle w:val="RevisionText"/>
        </w:rPr>
        <w:t xml:space="preserve">«2022»</w:t>
      </w:r>
      <w:r>
        <w:t xml:space="preserve">.</w:t>
      </w:r>
    </w:p>
    <w:p w14:paraId="4D0ECE9C" w14:textId="5564DF90" w:rsidR="009B22B7" w:rsidRPr="00AE0058" w:rsidRDefault="003137FB" w:rsidP="009B22B7">
      <w:pPr>
        <w:pStyle w:val="NummerierungStufe3"/>
      </w:pPr>
      <w:r>
        <w:t xml:space="preserve">Au point 1, une virgule est insérée après le mot </w:t>
      </w:r>
      <w:r>
        <w:rPr>
          <w:rStyle w:val="RevisionText"/>
        </w:rPr>
        <w:t xml:space="preserve">«détermination»</w:t>
      </w:r>
      <w:r>
        <w:t xml:space="preserve"> et les mots </w:t>
      </w:r>
      <w:r>
        <w:rPr>
          <w:rStyle w:val="RevisionText"/>
        </w:rPr>
        <w:t xml:space="preserve">«et la zone affectée spécifiée pour l'évaluation de l'accident»</w:t>
      </w:r>
      <w:r>
        <w:t xml:space="preserve"> sont ajoutés.</w:t>
      </w:r>
    </w:p>
    <w:p w14:paraId="4C1905F2" w14:textId="66F6F691" w:rsidR="00D95BD6" w:rsidRPr="00AE0058" w:rsidRDefault="00D95BD6" w:rsidP="00140C96">
      <w:pPr>
        <w:pStyle w:val="NummerierungStufe3"/>
      </w:pPr>
      <w:r>
        <w:t xml:space="preserve">Au point 2, après les mots «</w:t>
      </w:r>
      <w:r>
        <w:rPr>
          <w:rStyle w:val="RevisionText"/>
        </w:rPr>
        <w:t xml:space="preserve">utilisation prévue»</w:t>
      </w:r>
      <w:r>
        <w:t xml:space="preserve">, les mots </w:t>
      </w:r>
      <w:r>
        <w:rPr>
          <w:rStyle w:val="RevisionText"/>
        </w:rPr>
        <w:t xml:space="preserve">«et les conditions du site spécifiées pour l'évaluation de l'accident»</w:t>
      </w:r>
      <w:r>
        <w:t xml:space="preserve"> sont supprimés.</w:t>
      </w:r>
    </w:p>
    <w:p w14:paraId="7705F57E" w14:textId="77777777" w:rsidR="00D95BD6" w:rsidRPr="00AE0058" w:rsidRDefault="00D95BD6" w:rsidP="009B22B7">
      <w:pPr>
        <w:pStyle w:val="NummerierungStufe3"/>
      </w:pPr>
      <w:r>
        <w:t xml:space="preserve">Au point 4, le terme </w:t>
      </w:r>
      <w:r>
        <w:rPr>
          <w:rStyle w:val="RevisionText"/>
        </w:rPr>
        <w:t xml:space="preserve">«s'échappant»</w:t>
      </w:r>
      <w:r>
        <w:t xml:space="preserve"> est remplacé par </w:t>
      </w:r>
      <w:r>
        <w:rPr>
          <w:rStyle w:val="RevisionText"/>
        </w:rPr>
        <w:t xml:space="preserve">«libéré»</w:t>
      </w:r>
      <w:r>
        <w:t xml:space="preserve">.</w:t>
      </w:r>
    </w:p>
    <w:p w14:paraId="3AA7E825" w14:textId="77777777" w:rsidR="00D95BD6" w:rsidRPr="00AE0058" w:rsidRDefault="00D95BD6" w:rsidP="003F5274">
      <w:pPr>
        <w:pStyle w:val="NummerierungStufe2"/>
        <w:keepNext/>
      </w:pPr>
      <w:r>
        <w:t xml:space="preserve">Le paragraphe 2 est modifié comme suit:</w:t>
      </w:r>
    </w:p>
    <w:p w14:paraId="50D2EFCD" w14:textId="1FA8BC4F" w:rsidR="00C603E0" w:rsidRPr="00AE0058" w:rsidRDefault="00774308" w:rsidP="0000316B">
      <w:pPr>
        <w:pStyle w:val="NummerierungStufe3"/>
      </w:pPr>
      <w:r>
        <w:t xml:space="preserve">Dans la partie de la phrase précédant le n° 1, après le mot </w:t>
      </w:r>
      <w:r>
        <w:rPr>
          <w:rStyle w:val="RevisionText"/>
        </w:rPr>
        <w:t xml:space="preserve">«autorités»</w:t>
      </w:r>
      <w:r>
        <w:t xml:space="preserve"> , les mots </w:t>
      </w:r>
      <w:r>
        <w:rPr>
          <w:rStyle w:val="RevisionText"/>
        </w:rPr>
        <w:t xml:space="preserve">«ou à des tiers dans la mesure où ils ont été chargés de recevoir les notifications d'accidents pendant le transport de substances dangereuses pour l'eau et dans la mesure où ils sont responsables de l'élimination des conséquences des accidents» </w:t>
      </w:r>
      <w:r>
        <w:t xml:space="preserve">sont insérés et </w:t>
      </w:r>
      <w:r>
        <w:rPr>
          <w:rStyle w:val="RevisionText"/>
        </w:rPr>
        <w:t xml:space="preserve">«2006»</w:t>
      </w:r>
      <w:r>
        <w:t xml:space="preserve"> est remplacé par </w:t>
      </w:r>
      <w:r>
        <w:rPr>
          <w:rStyle w:val="RevisionText"/>
        </w:rPr>
        <w:t xml:space="preserve">«2022»</w:t>
      </w:r>
      <w:r>
        <w:t xml:space="preserve">.</w:t>
      </w:r>
    </w:p>
    <w:p w14:paraId="5681B991" w14:textId="6C2B25C8" w:rsidR="00D95BD6" w:rsidRPr="00AE0058" w:rsidRDefault="005D7F81" w:rsidP="008A59DC">
      <w:pPr>
        <w:pStyle w:val="NummerierungStufe3"/>
      </w:pPr>
      <w:r>
        <w:t xml:space="preserve">Au point 2, une virgule est insérée après le mot </w:t>
      </w:r>
      <w:r>
        <w:rPr>
          <w:rStyle w:val="RevisionText"/>
        </w:rPr>
        <w:t xml:space="preserve">«détermination»</w:t>
      </w:r>
      <w:r>
        <w:t xml:space="preserve"> et les mots </w:t>
      </w:r>
      <w:r>
        <w:rPr>
          <w:rStyle w:val="RevisionText"/>
        </w:rPr>
        <w:t xml:space="preserve">«et la zone affectée spécifiée pour l'évaluation de l'accident»</w:t>
      </w:r>
      <w:r>
        <w:t xml:space="preserve"> sont ajoutés.</w:t>
      </w:r>
    </w:p>
    <w:p w14:paraId="49B8DF9E" w14:textId="77777777" w:rsidR="008A59DC" w:rsidRPr="00AE0058" w:rsidRDefault="008A59DC" w:rsidP="008A59DC">
      <w:pPr>
        <w:pStyle w:val="NummerierungStufe3"/>
      </w:pPr>
      <w:r>
        <w:t xml:space="preserve">Au point 4, le terme </w:t>
      </w:r>
      <w:r>
        <w:rPr>
          <w:rStyle w:val="RevisionText"/>
        </w:rPr>
        <w:t xml:space="preserve">«s'échappant»</w:t>
      </w:r>
      <w:r>
        <w:t xml:space="preserve"> est remplacé par </w:t>
      </w:r>
      <w:r>
        <w:rPr>
          <w:rStyle w:val="RevisionText"/>
        </w:rPr>
        <w:t xml:space="preserve">«libéré»</w:t>
      </w:r>
      <w:r>
        <w:t xml:space="preserve">.</w:t>
      </w:r>
    </w:p>
    <w:p w14:paraId="54679879" w14:textId="77777777" w:rsidR="006D53E6" w:rsidRPr="00AE0058" w:rsidRDefault="000E379E" w:rsidP="003F5274">
      <w:pPr>
        <w:pStyle w:val="NummerierungStufe1"/>
        <w:keepNext/>
      </w:pPr>
      <w:r>
        <w:t xml:space="preserve">L'article 10 est modifié comme suit:</w:t>
      </w:r>
    </w:p>
    <w:p w14:paraId="25513F43" w14:textId="3BDBE0F6" w:rsidR="000E379E" w:rsidRPr="00AE0058" w:rsidRDefault="00F009DD" w:rsidP="003F5274">
      <w:pPr>
        <w:pStyle w:val="NummerierungStufe2"/>
        <w:keepNext/>
      </w:pPr>
      <w:r>
        <w:t xml:space="preserve">Au paragraphe 1, la partie de phrase précédant le point 1 est formulée comme suit:</w:t>
      </w:r>
    </w:p>
    <w:p w14:paraId="1F1D1D52" w14:textId="79F34E1A" w:rsidR="003E6EC6" w:rsidRPr="00AE0058" w:rsidRDefault="003E6EC6" w:rsidP="00F803E4">
      <w:pPr>
        <w:pStyle w:val="RevisionNummerierungFolgeabsatzStufe1"/>
        <w:ind w:left="850"/>
      </w:pPr>
      <w:r>
        <w:t xml:space="preserve">«L'enquête saisit pour les entreprises qui … des dérivés halogénés des hydrocarbures aliphatiques contenant jusqu'à dix atomes de carbone et des dérivés fluorés des hydrocarbures cycliques contenant jusqu'à dix atomes de carbone»</w:t>
      </w:r>
    </w:p>
    <w:p w14:paraId="391763B4" w14:textId="688E8ECF" w:rsidR="000E379E" w:rsidRPr="00AE0058" w:rsidRDefault="004E4D4B" w:rsidP="003F5274">
      <w:pPr>
        <w:pStyle w:val="NummerierungStufe2"/>
        <w:keepNext/>
      </w:pPr>
      <w:r>
        <w:t xml:space="preserve">Le paragraphe 1a est modifié comme suit:</w:t>
      </w:r>
    </w:p>
    <w:p w14:paraId="40097856" w14:textId="6515C950" w:rsidR="002A46EC" w:rsidRPr="00AE0058" w:rsidRDefault="002A46EC" w:rsidP="002A46EC">
      <w:pPr>
        <w:pStyle w:val="NummerierungStufe3"/>
      </w:pPr>
      <w:r>
        <w:t xml:space="preserve">Au point 1, le terme </w:t>
      </w:r>
      <w:r>
        <w:rPr>
          <w:rStyle w:val="RevisionText"/>
        </w:rPr>
        <w:t xml:space="preserve">«et»</w:t>
      </w:r>
      <w:r>
        <w:t xml:space="preserve"> est remplacé par une virgule.</w:t>
      </w:r>
    </w:p>
    <w:p w14:paraId="5158B58C" w14:textId="5CA0AE26" w:rsidR="004E4D4B" w:rsidRPr="00AE0058" w:rsidRDefault="004E4D4B" w:rsidP="004E4D4B">
      <w:pPr>
        <w:pStyle w:val="NummerierungStufe3"/>
      </w:pPr>
      <w:r>
        <w:t xml:space="preserve">Au point 2, le point final est remplacé par </w:t>
      </w:r>
      <w:r>
        <w:rPr>
          <w:rStyle w:val="RevisionText"/>
        </w:rPr>
        <w:t xml:space="preserve">«et»</w:t>
      </w:r>
      <w:r>
        <w:t xml:space="preserve">.</w:t>
      </w:r>
    </w:p>
    <w:p w14:paraId="5339AECC" w14:textId="77777777" w:rsidR="004E4D4B" w:rsidRPr="00AE0058" w:rsidRDefault="004E4D4B" w:rsidP="003F5274">
      <w:pPr>
        <w:pStyle w:val="NummerierungStufe3"/>
        <w:keepNext/>
      </w:pPr>
      <w:r>
        <w:t xml:space="preserve">Le point 3 suivant est ajouté:</w:t>
      </w:r>
    </w:p>
    <w:p w14:paraId="66F3BA5F" w14:textId="18621621" w:rsidR="004E4D4B" w:rsidRPr="00AE0058" w:rsidRDefault="004E4D4B" w:rsidP="00F803E4">
      <w:pPr>
        <w:pStyle w:val="RevisionNummerierungStufe1"/>
        <w:tabs>
          <w:tab w:val="clear" w:pos="425"/>
          <w:tab w:val="num" w:pos="1791"/>
        </w:tabs>
        <w:ind w:left="1791"/>
      </w:pPr>
      <w:r>
        <w:t xml:space="preserve">«à partir de l'année de déclaration 2022, également pour les dérivés halogénés ayant jusqu'à dix atomes de carbone.»</w:t>
      </w:r>
    </w:p>
    <w:p w14:paraId="2F41CECA" w14:textId="379960CB" w:rsidR="006D3212" w:rsidRPr="00AE0058" w:rsidRDefault="003A06B1" w:rsidP="003F5274">
      <w:pPr>
        <w:pStyle w:val="NummerierungStufe1"/>
        <w:keepNext/>
      </w:pPr>
      <w:r>
        <w:t xml:space="preserve">L’article 11, paragraphe 1, est formulé comme suit:</w:t>
      </w:r>
    </w:p>
    <w:p w14:paraId="24168D61" w14:textId="08BFF2F9" w:rsidR="003A06B1" w:rsidRPr="00AE0058" w:rsidRDefault="00F03D61" w:rsidP="003F5274">
      <w:pPr>
        <w:pStyle w:val="RevisionJuristischerAbsatz"/>
        <w:keepNext/>
        <w:numPr>
          <w:ilvl w:val="2"/>
          <w:numId w:val="5"/>
        </w:numPr>
        <w:tabs>
          <w:tab w:val="clear" w:pos="850"/>
          <w:tab w:val="num" w:pos="1275"/>
        </w:tabs>
        <w:ind w:left="425"/>
        <w:rPr>
          <w:rStyle w:val="Marker"/>
          <w:color w:val="800000"/>
        </w:rPr>
      </w:pPr>
      <w:r w:rsidRPr="0021276C">
        <w:rPr>
          <w:rStyle w:val="Marker"/>
          <w:color w:val="800000"/>
        </w:rPr>
        <w:fldChar w:fldCharType="begin"/>
      </w:r>
      <w:r w:rsidRPr="0021276C">
        <w:rPr>
          <w:rStyle w:val="Marker"/>
          <w:color w:val="800000"/>
        </w:rPr>
        <w:instrText xml:space="preserve"> ADVANCE  \l 26  </w:instrText>
      </w:r>
      <w:r w:rsidRPr="0021276C">
        <w:rPr>
          <w:rStyle w:val="Marker"/>
          <w:color w:val="800000"/>
        </w:rPr>
        <w:fldChar w:fldCharType="end"/>
      </w:r>
      <w:r>
        <w:rPr>
          <w:rStyle w:val="Marker"/>
          <w:color w:val="800000"/>
        </w:rPr>
        <w:t xml:space="preserve">«L'enquête collecte auprès des entreprises et établissements de l'industrie manufacturière, à l'exception de l'industrie de la construction, dans la mesure où ils font partie du périmètre de déclaration par les articles 2, 3 lettre A, chiffre II, 6 lettre B, ainsi que 6a lettre B de la loi sur les statistiques de l'industrie manufacturière dans la version publiée le 21 mars 2002 (JO fédéral</w:t>
      </w:r>
      <w:r>
        <w:rPr>
          <w:rStyle w:val="Marker"/>
          <w:color w:val="800000"/>
        </w:rPr>
        <w:t xml:space="preserve"> </w:t>
      </w:r>
      <w:r>
        <w:rPr>
          <w:rStyle w:val="Marker"/>
          <w:color w:val="800000"/>
        </w:rPr>
        <w:t xml:space="preserve">I, p. 1181), modifiée en dernier lieu par l’article 8 de la loi du 22 novembre 2019 (Journal officiel de la République fédérale d’Allemagne</w:t>
      </w:r>
      <w:r>
        <w:rPr>
          <w:rStyle w:val="Marker"/>
          <w:color w:val="800000"/>
        </w:rPr>
        <w:t xml:space="preserve"> </w:t>
      </w:r>
      <w:r>
        <w:rPr>
          <w:rStyle w:val="Marker"/>
          <w:color w:val="800000"/>
        </w:rPr>
        <w:t xml:space="preserve">I, p. 1746), dans sa version en vigueur,</w:t>
      </w:r>
    </w:p>
    <w:p w14:paraId="103A8A79" w14:textId="06B44698" w:rsidR="003A06B1" w:rsidRPr="00AE0058" w:rsidRDefault="003A06B1" w:rsidP="003F5274">
      <w:pPr>
        <w:pStyle w:val="RevisionNummerierungStufe1"/>
        <w:keepNext/>
        <w:numPr>
          <w:ilvl w:val="3"/>
          <w:numId w:val="3"/>
        </w:numPr>
        <w:tabs>
          <w:tab w:val="clear" w:pos="425"/>
          <w:tab w:val="num" w:pos="850"/>
        </w:tabs>
        <w:ind w:left="850"/>
        <w:rPr>
          <w:rStyle w:val="Marker"/>
          <w:color w:val="800000"/>
        </w:rPr>
      </w:pPr>
      <w:r>
        <w:rPr>
          <w:rStyle w:val="Marker"/>
          <w:color w:val="800000"/>
        </w:rPr>
        <w:t xml:space="preserve">chaque année, à partir de l'année de déclaration 2021, les caractéristiques d'enquête suivantes:</w:t>
      </w:r>
    </w:p>
    <w:p w14:paraId="30DEFB55" w14:textId="77777777" w:rsidR="003A06B1" w:rsidRPr="00AE0058" w:rsidRDefault="003A06B1" w:rsidP="00F803E4">
      <w:pPr>
        <w:pStyle w:val="RevisionNummerierungStufe2"/>
        <w:tabs>
          <w:tab w:val="clear" w:pos="850"/>
          <w:tab w:val="num" w:pos="1275"/>
        </w:tabs>
        <w:ind w:left="1275"/>
        <w:rPr>
          <w:rStyle w:val="Marker"/>
          <w:color w:val="800000"/>
        </w:rPr>
      </w:pPr>
      <w:r>
        <w:rPr>
          <w:rStyle w:val="Marker"/>
          <w:color w:val="800000"/>
        </w:rPr>
        <w:t xml:space="preserve">investissements en immobilisations corporelles,</w:t>
      </w:r>
    </w:p>
    <w:p w14:paraId="497EC53F" w14:textId="218CAA65" w:rsidR="006D06A6" w:rsidRPr="00AE0058" w:rsidRDefault="006D06A6" w:rsidP="00F803E4">
      <w:pPr>
        <w:pStyle w:val="RevisionNummerierungStufe2"/>
        <w:tabs>
          <w:tab w:val="clear" w:pos="850"/>
          <w:tab w:val="num" w:pos="1275"/>
        </w:tabs>
        <w:ind w:left="1275"/>
        <w:rPr>
          <w:rStyle w:val="Marker"/>
          <w:color w:val="800000"/>
        </w:rPr>
      </w:pPr>
      <w:r>
        <w:rPr>
          <w:rStyle w:val="Marker"/>
          <w:color w:val="800000"/>
        </w:rPr>
        <w:t xml:space="preserve">valeur des nouvelles immobilisations corporelles louées et prises en location pour la première fois,</w:t>
      </w:r>
    </w:p>
    <w:p w14:paraId="7EB04856" w14:textId="407F95A9" w:rsidR="00CF5E43" w:rsidRPr="00AE0058" w:rsidRDefault="002E570B" w:rsidP="00F803E4">
      <w:pPr>
        <w:pStyle w:val="RevisionNummerierungStufe2"/>
        <w:tabs>
          <w:tab w:val="clear" w:pos="850"/>
          <w:tab w:val="num" w:pos="1275"/>
        </w:tabs>
        <w:ind w:left="1275"/>
        <w:rPr>
          <w:rStyle w:val="Marker"/>
          <w:color w:val="800000"/>
        </w:rPr>
      </w:pPr>
      <w:r>
        <w:rPr>
          <w:rStyle w:val="Marker"/>
          <w:color w:val="800000"/>
        </w:rPr>
        <w:t xml:space="preserve">investissements en actifs incorporels,</w:t>
      </w:r>
    </w:p>
    <w:p w14:paraId="799D3940" w14:textId="3ED25A2D" w:rsidR="004D7B48" w:rsidRPr="00AE0058" w:rsidRDefault="006D06A6" w:rsidP="00F803E4">
      <w:pPr>
        <w:pStyle w:val="RevisionNummerierungFolgeabsatzStufe1"/>
        <w:ind w:left="850"/>
        <w:rPr>
          <w:rStyle w:val="Marker"/>
          <w:color w:val="800000"/>
        </w:rPr>
      </w:pPr>
      <w:r>
        <w:rPr>
          <w:rStyle w:val="Marker"/>
          <w:color w:val="800000"/>
        </w:rPr>
        <w:t xml:space="preserve">qui servent exclusivement ou principalement à protéger l'environnement, dans chaque cas ventilé par type d'investissement et d'immobilisation corporelle et par mesures additives et intégrées de protection de l'environnement,</w:t>
      </w:r>
    </w:p>
    <w:p w14:paraId="21F89874" w14:textId="7C863353" w:rsidR="003A06B1" w:rsidRPr="00AE0058" w:rsidRDefault="004C4040" w:rsidP="00F803E4">
      <w:pPr>
        <w:pStyle w:val="RevisionNummerierungStufe1"/>
        <w:tabs>
          <w:tab w:val="clear" w:pos="425"/>
          <w:tab w:val="num" w:pos="850"/>
          <w:tab w:val="num" w:pos="1558"/>
        </w:tabs>
        <w:ind w:left="850"/>
        <w:rPr>
          <w:rStyle w:val="Marker"/>
          <w:color w:val="800000"/>
        </w:rPr>
      </w:pPr>
      <w:r>
        <w:rPr>
          <w:rStyle w:val="Marker"/>
          <w:color w:val="800000"/>
        </w:rPr>
        <w:t xml:space="preserve">tous les trois ans, à partir de l'année de déclaration 2022, pour 10 000 unités d'enquête, la caractéristique dépenses courantes pour les mesures exclusivement ou principalement destinées à la protection de l'environnement, par type de dépenses.</w:t>
      </w:r>
    </w:p>
    <w:p w14:paraId="26BC51A5" w14:textId="69343254" w:rsidR="00910BD2" w:rsidRPr="00AE0058" w:rsidRDefault="00290C43" w:rsidP="00F803E4">
      <w:pPr>
        <w:pStyle w:val="RevisionJuristischerAbsatzFolgeabsatz"/>
        <w:ind w:left="425"/>
      </w:pPr>
      <w:r>
        <w:t xml:space="preserve">L'enquête auprès des établissements visée à l'article 2 de la loi sur les statistiques de l'industrie manufacturière peut être remplacée par l'enquête auprès des entreprises correspondantes dans la ventilation des caractéristiques d'enquête par Länder.</w:t>
      </w:r>
      <w:r>
        <w:t xml:space="preserve"> </w:t>
      </w:r>
      <w:r>
        <w:t xml:space="preserve">Les caractéristiques d'enquête sont ventilées par mesures environnementales ainsi que par domaines environnementaux tels que définis à l'annexe IV du règlement (UE) n° 691/2011 du Parlement européen et du Conseil du 6 juillet 2011 relatif aux comptes économiques européens de l'environnement (JO</w:t>
      </w:r>
      <w:r>
        <w:t xml:space="preserve"> </w:t>
      </w:r>
      <w:r>
        <w:t xml:space="preserve">L 192 du 22.7.2011, p. 1), modifié en dernier lieu par le règlement (UE) n° 538/2014 (JO L 158 du 27.5.2014, p. 113), dans leur version en vigueur.</w:t>
      </w:r>
      <w:r>
        <w:t xml:space="preserve"> </w:t>
      </w:r>
      <w:r>
        <w:t xml:space="preserve">Dans le domaine de la protection du climat, ces caractéristiques d'enquête sont également saisies séparément par mesures dans les domaines des émissions de gaz à effet de serre, des énergies renouvelables et de l'efficacité énergétique.</w:t>
      </w:r>
      <w:r>
        <w:t xml:space="preserve"> </w:t>
      </w:r>
      <w:r>
        <w:t xml:space="preserve">L'enquête visée à la phrase 1, n° 2 est réalisée par l'Office fédéral de la statistique.</w:t>
      </w:r>
      <w:r>
        <w:t xml:space="preserve"> </w:t>
      </w:r>
      <w:r>
        <w:t xml:space="preserve">Les mesures environnementales sont toutes les mesures et activités qui ont pour objectif premier la prévention, la réduction et l'élimination de la pollution et de toute autre forme de nuisance à l'environnement ou qui permettent une utilisation plus économe des ressources.»</w:t>
      </w:r>
    </w:p>
    <w:p w14:paraId="72320215" w14:textId="5D5526BF" w:rsidR="006D3212" w:rsidRPr="00AE0058" w:rsidRDefault="006159C7" w:rsidP="003F5274">
      <w:pPr>
        <w:pStyle w:val="NummerierungStufe1"/>
        <w:keepNext/>
      </w:pPr>
      <w:r>
        <w:t xml:space="preserve">L'article 12 est modifié comme suit:</w:t>
      </w:r>
    </w:p>
    <w:p w14:paraId="0386D100" w14:textId="0F437CF2" w:rsidR="006159C7" w:rsidRPr="00AE0058" w:rsidRDefault="006159C7" w:rsidP="003F5274">
      <w:pPr>
        <w:pStyle w:val="NummerierungStufe2"/>
        <w:keepNext/>
      </w:pPr>
      <w:r>
        <w:t xml:space="preserve">Le paragraphe 1 est modifié comme suit:</w:t>
      </w:r>
    </w:p>
    <w:p w14:paraId="23212777" w14:textId="77777777" w:rsidR="00AB2F4C" w:rsidRPr="00AE0058" w:rsidRDefault="00AB2F4C" w:rsidP="003F5274">
      <w:pPr>
        <w:pStyle w:val="NummerierungStufe3"/>
        <w:keepNext/>
      </w:pPr>
      <w:r>
        <w:t xml:space="preserve">La première phrase est modifiée comme suit:</w:t>
      </w:r>
    </w:p>
    <w:p w14:paraId="6F7090C3" w14:textId="4DE1F363" w:rsidR="00FF52C2" w:rsidRPr="00AE0058" w:rsidRDefault="00FF52C2" w:rsidP="00AB2F4C">
      <w:pPr>
        <w:pStyle w:val="NummerierungStufe4"/>
      </w:pPr>
      <w:r>
        <w:t xml:space="preserve">Dans la partie de phrase précédant le point 1, la mention </w:t>
      </w:r>
      <w:r>
        <w:rPr>
          <w:rStyle w:val="RevisionText"/>
        </w:rPr>
        <w:t xml:space="preserve">«2016»</w:t>
      </w:r>
      <w:r>
        <w:t xml:space="preserve"> est remplacée par </w:t>
      </w:r>
      <w:r>
        <w:rPr>
          <w:rStyle w:val="RevisionText"/>
        </w:rPr>
        <w:t xml:space="preserve">«2021»</w:t>
      </w:r>
      <w:r>
        <w:t xml:space="preserve">.</w:t>
      </w:r>
    </w:p>
    <w:p w14:paraId="1FE6C673" w14:textId="71E1403C" w:rsidR="001C24B6" w:rsidRPr="00AE0058" w:rsidRDefault="001C24B6" w:rsidP="00AB2F4C">
      <w:pPr>
        <w:pStyle w:val="NummerierungStufe4"/>
      </w:pPr>
      <w:r>
        <w:t xml:space="preserve">Au point 1, le mot </w:t>
      </w:r>
      <w:r>
        <w:rPr>
          <w:rStyle w:val="RevisionText"/>
        </w:rPr>
        <w:t xml:space="preserve">«national»</w:t>
      </w:r>
      <w:r>
        <w:t xml:space="preserve"> est remplacé par </w:t>
      </w:r>
      <w:r>
        <w:rPr>
          <w:rStyle w:val="RevisionText"/>
        </w:rPr>
        <w:t xml:space="preserve">«domaines environnementaux et par»</w:t>
      </w:r>
      <w:r>
        <w:t xml:space="preserve">.</w:t>
      </w:r>
    </w:p>
    <w:p w14:paraId="13F49782" w14:textId="14E3428D" w:rsidR="001C24B6" w:rsidRPr="00AE0058" w:rsidRDefault="001C24B6" w:rsidP="001C24B6">
      <w:pPr>
        <w:pStyle w:val="NummerierungStufe3"/>
      </w:pPr>
      <w:r>
        <w:t xml:space="preserve">La phrase 2 est formulée comme suit:</w:t>
      </w:r>
    </w:p>
    <w:p w14:paraId="6D7CC93A" w14:textId="20DC23DD" w:rsidR="00A17FAB" w:rsidRPr="00AE0058" w:rsidRDefault="006D06A6" w:rsidP="00A17FAB">
      <w:pPr>
        <w:pStyle w:val="NummerierungFolgeabsatzStufe2"/>
        <w:rPr>
          <w:rStyle w:val="RevisionText"/>
        </w:rPr>
      </w:pPr>
      <w:r>
        <w:rPr>
          <w:rStyle w:val="RevisionText"/>
        </w:rPr>
        <w:t xml:space="preserve">«Les caractéristiques d'enquête visées à la phrase 1, point 1, sont collectées par mesures environnementales ainsi que par domaines environnementaux conformément à l'annexe V du règlement (UE) n° 691/2011.»</w:t>
      </w:r>
    </w:p>
    <w:p w14:paraId="0C7285A3" w14:textId="77777777" w:rsidR="00D342FF" w:rsidRPr="00AE0058" w:rsidRDefault="00D342FF" w:rsidP="003F5274">
      <w:pPr>
        <w:pStyle w:val="NummerierungStufe2"/>
        <w:keepNext/>
      </w:pPr>
      <w:r>
        <w:t xml:space="preserve">Au paragraphe 2, le point 4 est formulé comme suit:</w:t>
      </w:r>
    </w:p>
    <w:p w14:paraId="207D6481" w14:textId="4CD65B64" w:rsidR="006159C7" w:rsidRPr="00AE0058" w:rsidRDefault="00255DB5" w:rsidP="00F803E4">
      <w:pPr>
        <w:pStyle w:val="RevisionNummerierungStufe1"/>
        <w:numPr>
          <w:ilvl w:val="3"/>
          <w:numId w:val="11"/>
        </w:numPr>
        <w:tabs>
          <w:tab w:val="clear" w:pos="425"/>
          <w:tab w:val="num" w:pos="1365"/>
        </w:tabs>
        <w:ind w:left="1365"/>
      </w:pPr>
      <w:r>
        <w:t xml:space="preserve">«qui sont classés dans le secteur des services et si le chiffre d'affaires de l'entreprise à laquelle appartient chacun de ces établissements et organismes est inférieur à 1 million d'euros par an.»</w:t>
      </w:r>
    </w:p>
    <w:p w14:paraId="05857BBD" w14:textId="77777777" w:rsidR="0088607F" w:rsidRPr="00AE0058" w:rsidRDefault="0088607F" w:rsidP="003F5274">
      <w:pPr>
        <w:pStyle w:val="NummerierungStufe1"/>
        <w:keepNext/>
      </w:pPr>
      <w:r>
        <w:t xml:space="preserve">L'article 13 est modifié comme suit:</w:t>
      </w:r>
    </w:p>
    <w:p w14:paraId="6CE8B116" w14:textId="5C9E133F" w:rsidR="0088607F" w:rsidRPr="00AE0058" w:rsidRDefault="0088607F" w:rsidP="003F5274">
      <w:pPr>
        <w:pStyle w:val="NummerierungStufe2"/>
        <w:keepNext/>
      </w:pPr>
      <w:r>
        <w:t xml:space="preserve">Le paragraphe 1 est modifié comme suit:</w:t>
      </w:r>
    </w:p>
    <w:p w14:paraId="37553014" w14:textId="472D3AC8" w:rsidR="00CE00A8" w:rsidRPr="00AE0058" w:rsidRDefault="00CE00A8" w:rsidP="00CE00A8">
      <w:pPr>
        <w:pStyle w:val="NummerierungStufe3"/>
      </w:pPr>
      <w:r>
        <w:t xml:space="preserve">Au point 2, les mots</w:t>
      </w:r>
      <w:r>
        <w:rPr>
          <w:color w:val="800000"/>
        </w:rPr>
        <w:t xml:space="preserve"> </w:t>
      </w:r>
      <w:r>
        <w:rPr>
          <w:rStyle w:val="RevisionText"/>
        </w:rPr>
        <w:t xml:space="preserve">«numéros de téléphone ou adresses de courrier électronique»</w:t>
      </w:r>
      <w:r>
        <w:t xml:space="preserve"> sont remplacés par </w:t>
      </w:r>
      <w:r>
        <w:rPr>
          <w:rStyle w:val="RevisionText"/>
        </w:rPr>
        <w:t xml:space="preserve">«coordonnées»</w:t>
      </w:r>
      <w:r>
        <w:t xml:space="preserve">.</w:t>
      </w:r>
    </w:p>
    <w:p w14:paraId="35DE985F" w14:textId="48847132" w:rsidR="0088607F" w:rsidRPr="00AE0058" w:rsidRDefault="007F08AC" w:rsidP="0088607F">
      <w:pPr>
        <w:pStyle w:val="NummerierungStufe3"/>
      </w:pPr>
      <w:r>
        <w:t xml:space="preserve">Au point 4, le mot </w:t>
      </w:r>
      <w:r>
        <w:rPr>
          <w:rStyle w:val="RevisionText"/>
        </w:rPr>
        <w:t xml:space="preserve">«approvisionnement externe»</w:t>
      </w:r>
      <w:r>
        <w:t xml:space="preserve"> est remplacé par </w:t>
      </w:r>
      <w:r>
        <w:rPr>
          <w:rStyle w:val="RevisionText"/>
        </w:rPr>
        <w:t xml:space="preserve">«approvisionnement»</w:t>
      </w:r>
      <w:r>
        <w:t xml:space="preserve"> et après </w:t>
      </w:r>
      <w:r>
        <w:rPr>
          <w:rStyle w:val="RevisionText"/>
        </w:rPr>
        <w:t xml:space="preserve">«transfert»</w:t>
      </w:r>
      <w:r>
        <w:t xml:space="preserve">, les mots </w:t>
      </w:r>
      <w:r>
        <w:rPr>
          <w:rStyle w:val="RevisionText"/>
        </w:rPr>
        <w:t xml:space="preserve">«dans un Land»</w:t>
      </w:r>
      <w:r>
        <w:t xml:space="preserve"> sont remplacés par </w:t>
      </w:r>
      <w:r>
        <w:rPr>
          <w:rStyle w:val="RevisionText"/>
        </w:rPr>
        <w:t xml:space="preserve">«d'eau»</w:t>
      </w:r>
      <w:r>
        <w:t xml:space="preserve">.</w:t>
      </w:r>
    </w:p>
    <w:p w14:paraId="7AE4DBCC" w14:textId="77777777" w:rsidR="00F009DD" w:rsidRPr="00AE0058" w:rsidRDefault="00F009DD" w:rsidP="00F009DD">
      <w:pPr>
        <w:pStyle w:val="NummerierungStufe3"/>
      </w:pPr>
      <w:r>
        <w:t xml:space="preserve">Au point 6, le point final est remplacé par une virgule.</w:t>
      </w:r>
      <w:r>
        <w:t xml:space="preserve"> </w:t>
      </w:r>
    </w:p>
    <w:p w14:paraId="01B8F7D2" w14:textId="77777777" w:rsidR="00D56FDD" w:rsidRPr="00AE0058" w:rsidRDefault="00D56FDD" w:rsidP="003F5274">
      <w:pPr>
        <w:pStyle w:val="NummerierungStufe3"/>
        <w:keepNext/>
      </w:pPr>
      <w:r>
        <w:t xml:space="preserve">Le point suivant est ajouté:</w:t>
      </w:r>
    </w:p>
    <w:p w14:paraId="39EDFA54" w14:textId="007A3FA5" w:rsidR="00D56FDD" w:rsidRPr="00AE0058" w:rsidRDefault="00034D4D" w:rsidP="00F803E4">
      <w:pPr>
        <w:pStyle w:val="RevisionNummerierungStufe1manuell"/>
        <w:tabs>
          <w:tab w:val="clear" w:pos="425"/>
          <w:tab w:val="left" w:pos="1776"/>
        </w:tabs>
        <w:ind w:left="1776" w:hanging="500"/>
      </w:pPr>
      <w:r>
        <w:t xml:space="preserve">«7.</w:t>
        <w:tab/>
        <w:t xml:space="preserve">pour les enquêtes visées à l'article 5a, paragraphe 2 en plus, le nom et l'adresse des fabricants d'emballages réutilisables participants».</w:t>
      </w:r>
    </w:p>
    <w:p w14:paraId="51093D76" w14:textId="6E1E0128" w:rsidR="00DE41FA" w:rsidRPr="00AE0058" w:rsidRDefault="00DE41FA" w:rsidP="003F5274">
      <w:pPr>
        <w:pStyle w:val="NummerierungStufe2"/>
        <w:keepNext/>
      </w:pPr>
      <w:r>
        <w:t xml:space="preserve">Le paragraphe 3 suivant est ajouté:</w:t>
      </w:r>
    </w:p>
    <w:p w14:paraId="6A87B753" w14:textId="5FA4D9E7" w:rsidR="00DE41FA" w:rsidRPr="00AE0058" w:rsidRDefault="00CD6A93" w:rsidP="00F803E4">
      <w:pPr>
        <w:pStyle w:val="RevisionJuristischerAbsatz"/>
        <w:tabs>
          <w:tab w:val="clear" w:pos="850"/>
          <w:tab w:val="num" w:pos="1700"/>
        </w:tabs>
        <w:ind w:left="850"/>
      </w:pPr>
      <w:r w:rsidRPr="00AE0058">
        <w:fldChar w:fldCharType="begin"/>
      </w:r>
      <w:r w:rsidRPr="00AE0058">
        <w:instrText xml:space="preserve"> ADVANCE  \l 26  </w:instrText>
      </w:r>
      <w:r w:rsidRPr="00AE0058">
        <w:fldChar w:fldCharType="end"/>
      </w:r>
      <w:r>
        <w:t xml:space="preserve">«Les caractéristiques auxiliaires visées au paragraphe 1, point 4, peuvent être utilisées pour combiner les caractéristiques visées aux articles 7 et 8.»</w:t>
      </w:r>
      <w:r>
        <w:t xml:space="preserve"> </w:t>
      </w:r>
    </w:p>
    <w:p w14:paraId="7390D4B9" w14:textId="77777777" w:rsidR="0059024C" w:rsidRPr="00AE0058" w:rsidRDefault="0059024C" w:rsidP="003F5274">
      <w:pPr>
        <w:pStyle w:val="NummerierungStufe1"/>
        <w:keepNext/>
      </w:pPr>
      <w:r>
        <w:t xml:space="preserve">L'article 14 est modifié comme suit:</w:t>
      </w:r>
    </w:p>
    <w:p w14:paraId="163DBACA" w14:textId="77777777" w:rsidR="0059024C" w:rsidRPr="00AE0058" w:rsidRDefault="0059024C" w:rsidP="003F5274">
      <w:pPr>
        <w:pStyle w:val="NummerierungStufe2"/>
        <w:keepNext/>
      </w:pPr>
      <w:r>
        <w:t xml:space="preserve">Le paragraphe 2 est modifié comme suit:</w:t>
      </w:r>
    </w:p>
    <w:p w14:paraId="46FD94EF" w14:textId="7D9615EB" w:rsidR="00423C1D" w:rsidRPr="00AE0058" w:rsidRDefault="00D43CAA" w:rsidP="00D43CAA">
      <w:pPr>
        <w:pStyle w:val="NummerierungStufe3"/>
      </w:pPr>
      <w:r>
        <w:t xml:space="preserve">Au point 3, lettre a, les mots </w:t>
      </w:r>
      <w:r>
        <w:rPr>
          <w:rStyle w:val="RevisionText"/>
        </w:rPr>
        <w:t xml:space="preserve">«ou les utilisateurs»</w:t>
      </w:r>
      <w:r>
        <w:t xml:space="preserve"> sont insérés après </w:t>
      </w:r>
      <w:r>
        <w:rPr>
          <w:rStyle w:val="RevisionText"/>
        </w:rPr>
        <w:t xml:space="preserve">«gérants»</w:t>
      </w:r>
      <w:r>
        <w:t xml:space="preserve">.</w:t>
      </w:r>
    </w:p>
    <w:p w14:paraId="1777FF8F" w14:textId="77777777" w:rsidR="0059024C" w:rsidRPr="00AE0058" w:rsidRDefault="0059024C" w:rsidP="003F5274">
      <w:pPr>
        <w:pStyle w:val="NummerierungStufe3"/>
        <w:keepNext/>
      </w:pPr>
      <w:r>
        <w:t xml:space="preserve">Le point 4 suivant est inséré après le point 3:</w:t>
      </w:r>
    </w:p>
    <w:p w14:paraId="7193BE81" w14:textId="7EC565A8" w:rsidR="00173ACC" w:rsidRPr="00AE0058" w:rsidRDefault="00173ACC" w:rsidP="003F5274">
      <w:pPr>
        <w:pStyle w:val="RevisionNummerierungStufe1manuell"/>
        <w:keepNext/>
        <w:tabs>
          <w:tab w:val="clear" w:pos="425"/>
          <w:tab w:val="left" w:pos="1776"/>
        </w:tabs>
        <w:ind w:left="1776" w:hanging="500"/>
      </w:pPr>
      <w:r>
        <w:t xml:space="preserve">«4.</w:t>
      </w:r>
      <w:r>
        <w:tab/>
      </w:r>
      <w:r>
        <w:t xml:space="preserve">Article 5a</w:t>
      </w:r>
    </w:p>
    <w:p w14:paraId="4C00457C" w14:textId="388BC020" w:rsidR="00173ACC" w:rsidRPr="00AE0058" w:rsidRDefault="00173ACC" w:rsidP="003F5274">
      <w:pPr>
        <w:pStyle w:val="RevisionNummerierungStufe2"/>
        <w:keepNext/>
        <w:tabs>
          <w:tab w:val="clear" w:pos="850"/>
          <w:tab w:val="num" w:pos="2201"/>
        </w:tabs>
        <w:ind w:left="2201"/>
      </w:pPr>
      <w:r>
        <w:t xml:space="preserve">dans le cas visé au paragraphe 1</w:t>
      </w:r>
    </w:p>
    <w:p w14:paraId="4176922B" w14:textId="570EE8B6" w:rsidR="00173ACC" w:rsidRPr="00AE0058" w:rsidRDefault="0010567E" w:rsidP="00F803E4">
      <w:pPr>
        <w:pStyle w:val="RevisionNummerierungFolgeabsatzStufe2"/>
        <w:ind w:left="2201"/>
      </w:pPr>
      <w:r>
        <w:t xml:space="preserve">l'Office central au sens de l'article 3, paragraphe 18 de la loi sur les emballages,</w:t>
      </w:r>
    </w:p>
    <w:p w14:paraId="7CD25994" w14:textId="7A5F1EDB" w:rsidR="0010567E" w:rsidRPr="00AE0058" w:rsidRDefault="0010567E" w:rsidP="003F5274">
      <w:pPr>
        <w:pStyle w:val="RevisionNummerierungStufe2"/>
        <w:keepNext/>
        <w:tabs>
          <w:tab w:val="clear" w:pos="850"/>
          <w:tab w:val="num" w:pos="2201"/>
        </w:tabs>
        <w:ind w:left="2201"/>
      </w:pPr>
      <w:r>
        <w:t xml:space="preserve">dans le cas des paragraphes 2 à 5</w:t>
      </w:r>
      <w:r>
        <w:t xml:space="preserve"> </w:t>
      </w:r>
    </w:p>
    <w:p w14:paraId="6E456C7F" w14:textId="77777777" w:rsidR="006B0FF0" w:rsidRPr="00AE0058" w:rsidRDefault="0010567E" w:rsidP="00F803E4">
      <w:pPr>
        <w:pStyle w:val="RevisionNummerierungFolgeabsatzStufe2"/>
        <w:ind w:left="2201"/>
      </w:pPr>
      <w:r>
        <w:t xml:space="preserve">les propriétaires ou gérants desdits établissements et entreprises,</w:t>
      </w:r>
    </w:p>
    <w:p w14:paraId="623C8495" w14:textId="78604875" w:rsidR="0010567E" w:rsidRPr="00AE0058" w:rsidRDefault="006B0FF0" w:rsidP="003F5274">
      <w:pPr>
        <w:pStyle w:val="RevisionNummerierungStufe2"/>
        <w:keepNext/>
        <w:tabs>
          <w:tab w:val="clear" w:pos="850"/>
          <w:tab w:val="num" w:pos="2201"/>
        </w:tabs>
        <w:ind w:left="2201"/>
      </w:pPr>
      <w:r>
        <w:t xml:space="preserve">dans le cas des paragraphes 6 et 7</w:t>
      </w:r>
    </w:p>
    <w:p w14:paraId="23E9CEAC" w14:textId="2B3045E8" w:rsidR="009F2F72" w:rsidRPr="00AE0058" w:rsidRDefault="005D5506" w:rsidP="00F803E4">
      <w:pPr>
        <w:pStyle w:val="RevisionNummerierungFolgeabsatzStufe2"/>
        <w:ind w:left="2201"/>
      </w:pPr>
      <w:r>
        <w:t xml:space="preserve">les propriétaires ou gérants desdits entreprises, entités et organismes, ou desdites autorités,»</w:t>
      </w:r>
    </w:p>
    <w:p w14:paraId="7D033D37" w14:textId="4F1641DE" w:rsidR="00962C62" w:rsidRPr="00AE0058" w:rsidRDefault="007F08AC" w:rsidP="003F5274">
      <w:pPr>
        <w:pStyle w:val="NummerierungStufe3"/>
        <w:keepNext/>
      </w:pPr>
      <w:r>
        <w:t xml:space="preserve">L'actuel point 4 devient le point 5 et est formulé comme suit:</w:t>
      </w:r>
    </w:p>
    <w:p w14:paraId="2956CDDA" w14:textId="14741EE2" w:rsidR="00FE7CE7" w:rsidRPr="00AE0058" w:rsidRDefault="00FE7CE7" w:rsidP="003F5274">
      <w:pPr>
        <w:pStyle w:val="RevisionNummerierungStufe1"/>
        <w:keepNext/>
        <w:numPr>
          <w:ilvl w:val="3"/>
          <w:numId w:val="4"/>
        </w:numPr>
        <w:tabs>
          <w:tab w:val="clear" w:pos="425"/>
          <w:tab w:val="num" w:pos="1791"/>
        </w:tabs>
        <w:ind w:left="1791"/>
      </w:pPr>
      <w:r w:rsidRPr="00AE0058">
        <w:fldChar w:fldCharType="begin"/>
      </w:r>
      <w:r w:rsidRPr="00AE0058">
        <w:instrText xml:space="preserve"> ADVANCE  \l 26  </w:instrText>
      </w:r>
      <w:r w:rsidRPr="00AE0058">
        <w:fldChar w:fldCharType="end"/>
      </w:r>
      <w:r>
        <w:t xml:space="preserve">«</w:t>
        <w:tab/>
        <w:t xml:space="preserve">Article 7</w:t>
      </w:r>
      <w:r>
        <w:t xml:space="preserve"> </w:t>
      </w:r>
    </w:p>
    <w:p w14:paraId="6552689A" w14:textId="45D189DC" w:rsidR="007F08AC" w:rsidRPr="00AE0058" w:rsidRDefault="007F08AC" w:rsidP="003F5274">
      <w:pPr>
        <w:pStyle w:val="RevisionNummerierungStufe2"/>
        <w:keepNext/>
        <w:tabs>
          <w:tab w:val="clear" w:pos="850"/>
          <w:tab w:val="num" w:pos="2216"/>
        </w:tabs>
        <w:ind w:left="2216"/>
      </w:pPr>
      <w:r>
        <w:t xml:space="preserve">dans le cas des paragraphes 1 et 2</w:t>
      </w:r>
      <w:r>
        <w:t xml:space="preserve"> </w:t>
      </w:r>
    </w:p>
    <w:p w14:paraId="2583CBE4" w14:textId="77777777" w:rsidR="007F08AC" w:rsidRPr="00AE0058" w:rsidRDefault="007F08AC" w:rsidP="00F803E4">
      <w:pPr>
        <w:pStyle w:val="RevisionNummerierungFolgeabsatzStufe1"/>
        <w:ind w:left="1791"/>
      </w:pPr>
      <w:r>
        <w:t xml:space="preserve">les propriétaires ou gérants desdites installations,</w:t>
      </w:r>
    </w:p>
    <w:p w14:paraId="4C31AB8A" w14:textId="5D021F46" w:rsidR="007F08AC" w:rsidRPr="00AE0058" w:rsidRDefault="00904282" w:rsidP="003F5274">
      <w:pPr>
        <w:pStyle w:val="RevisionNummerierungStufe2"/>
        <w:keepNext/>
        <w:tabs>
          <w:tab w:val="clear" w:pos="850"/>
          <w:tab w:val="num" w:pos="2216"/>
        </w:tabs>
        <w:ind w:left="2216"/>
      </w:pPr>
      <w:r>
        <w:t xml:space="preserve">dans le cas visé au paragraphe 3</w:t>
      </w:r>
    </w:p>
    <w:p w14:paraId="288EB270" w14:textId="4819C72A" w:rsidR="007F08AC" w:rsidRPr="00AE0058" w:rsidRDefault="007F08AC" w:rsidP="00F803E4">
      <w:pPr>
        <w:pStyle w:val="RevisionNummerierungFolgeabsatzStufe1"/>
        <w:ind w:left="1791"/>
      </w:pPr>
      <w:r>
        <w:t xml:space="preserve">les communes responsables de l'approvisionnement public en eau et de l'assainissement public des eaux usées ou des tiers, dans la mesure où les tâches d'approvisionnement public en eau et d'assainissement public des eaux usées leur ont été assignées ou dans la mesure où ces tâches leur ont été transférées ou confiée,»</w:t>
      </w:r>
    </w:p>
    <w:p w14:paraId="05603C59" w14:textId="5540C090" w:rsidR="007F08AC" w:rsidRPr="00AE0058" w:rsidRDefault="007F08AC" w:rsidP="007F08AC">
      <w:pPr>
        <w:pStyle w:val="NummerierungStufe3"/>
      </w:pPr>
      <w:r>
        <w:t xml:space="preserve">L'actuel point 5 devient le point 6.</w:t>
      </w:r>
    </w:p>
    <w:p w14:paraId="57F7C4A6" w14:textId="30283532" w:rsidR="007F08AC" w:rsidRPr="00AE0058" w:rsidRDefault="007F08AC" w:rsidP="003F5274">
      <w:pPr>
        <w:pStyle w:val="NummerierungStufe3"/>
        <w:keepNext/>
      </w:pPr>
      <w:r>
        <w:t xml:space="preserve">L’actuel point 6 devient le point 7 et est formulé comme suit:</w:t>
      </w:r>
    </w:p>
    <w:p w14:paraId="573FF57C" w14:textId="3E0D0AAE" w:rsidR="007F08AC" w:rsidRPr="00AE0058" w:rsidRDefault="007F08AC" w:rsidP="003F5274">
      <w:pPr>
        <w:pStyle w:val="RevisionNummerierungStufe2manuell"/>
        <w:keepNext/>
        <w:tabs>
          <w:tab w:val="clear" w:pos="850"/>
          <w:tab w:val="left" w:pos="1776"/>
        </w:tabs>
        <w:ind w:left="1776" w:hanging="500"/>
        <w:rPr>
          <w:rStyle w:val="Marker"/>
        </w:rPr>
      </w:pPr>
      <w:r>
        <w:t xml:space="preserve">«b)</w:t>
        <w:tab/>
        <w:t xml:space="preserve">dans le cas visé au paragraphe 2</w:t>
      </w:r>
    </w:p>
    <w:p w14:paraId="4BB98670" w14:textId="07B4DB8C" w:rsidR="007F08AC" w:rsidRPr="00AE0058" w:rsidRDefault="007F08AC" w:rsidP="00F803E4">
      <w:pPr>
        <w:pStyle w:val="RevisionNummerierungFolgeabsatzStufe2"/>
        <w:ind w:left="1776"/>
      </w:pPr>
      <w:r>
        <w:t xml:space="preserve">les autorités qui, en vertu du droit du Land, sont chargées de recevoir les notifications d'accidents impliquant le transport de substances dangereuses pour l'eau et d'éliminer les conséquences des accidents, ou les tiers, dans la mesure où ils ont été chargés de recevoir les notifications d'accidents impliquant le transport de substances dangereuses pour l'eau et dans la mesure où ils sont chargés d'éliminer les conséquences des accidents</w:t>
      </w:r>
      <w:r>
        <w:rPr>
          <w:color w:val="auto"/>
        </w:rPr>
        <w:t xml:space="preserve">,</w:t>
      </w:r>
      <w:r>
        <w:t xml:space="preserve">»</w:t>
      </w:r>
    </w:p>
    <w:p w14:paraId="27676236" w14:textId="0B22C260" w:rsidR="007F08AC" w:rsidRPr="00AE0058" w:rsidRDefault="007F08AC" w:rsidP="007F08AC">
      <w:pPr>
        <w:pStyle w:val="NummerierungStufe3"/>
      </w:pPr>
      <w:r>
        <w:t xml:space="preserve">L'actuel point 7 devient le point 8.</w:t>
      </w:r>
      <w:r>
        <w:t xml:space="preserve"> </w:t>
      </w:r>
    </w:p>
    <w:p w14:paraId="442F7E32" w14:textId="52BCDD3C" w:rsidR="007F08AC" w:rsidRPr="00AE0058" w:rsidRDefault="007F08AC" w:rsidP="007F08AC">
      <w:pPr>
        <w:pStyle w:val="NummerierungStufe3"/>
      </w:pPr>
      <w:r>
        <w:t xml:space="preserve">L’actuel point 8 devient le point 9 et sous la lettre b, le mot </w:t>
      </w:r>
      <w:r>
        <w:rPr>
          <w:rStyle w:val="RevisionText"/>
        </w:rPr>
        <w:t xml:space="preserve">«et»</w:t>
      </w:r>
      <w:r>
        <w:t xml:space="preserve"> est remplacé par le mot </w:t>
      </w:r>
      <w:r>
        <w:rPr>
          <w:rStyle w:val="RevisionText"/>
        </w:rPr>
        <w:t xml:space="preserve">«ou»</w:t>
      </w:r>
      <w:r>
        <w:t xml:space="preserve">.</w:t>
      </w:r>
    </w:p>
    <w:p w14:paraId="48F939A3" w14:textId="32801CF7" w:rsidR="00F80BF4" w:rsidRPr="00AE0058" w:rsidRDefault="007F08AC" w:rsidP="007F08AC">
      <w:pPr>
        <w:pStyle w:val="NummerierungStufe3"/>
      </w:pPr>
      <w:r>
        <w:t xml:space="preserve">Le point 9 devient le point 10 et le mot </w:t>
      </w:r>
      <w:r>
        <w:rPr>
          <w:rStyle w:val="RevisionText"/>
        </w:rPr>
        <w:t xml:space="preserve">«offices»</w:t>
      </w:r>
      <w:r>
        <w:t xml:space="preserve"> est remplacé par </w:t>
      </w:r>
      <w:r>
        <w:rPr>
          <w:rStyle w:val="RevisionText"/>
        </w:rPr>
        <w:t xml:space="preserve">«organismes»</w:t>
      </w:r>
      <w:r>
        <w:t xml:space="preserve">.</w:t>
      </w:r>
    </w:p>
    <w:p w14:paraId="26C937C0" w14:textId="37969CB6" w:rsidR="008332C6" w:rsidRPr="00AE0058" w:rsidRDefault="008332C6" w:rsidP="00E21F09">
      <w:pPr>
        <w:pStyle w:val="NummerierungStufe2"/>
      </w:pPr>
      <w:r>
        <w:t xml:space="preserve">Au paragraphe 4, les termes </w:t>
      </w:r>
      <w:r>
        <w:rPr>
          <w:rStyle w:val="RevisionText"/>
        </w:rPr>
        <w:t xml:space="preserve">«établissements et organismes»</w:t>
      </w:r>
      <w:r>
        <w:t xml:space="preserve"> sont insérés après </w:t>
      </w:r>
      <w:r>
        <w:rPr>
          <w:rStyle w:val="RevisionText"/>
        </w:rPr>
        <w:t xml:space="preserve">«entreprises»</w:t>
      </w:r>
      <w:r>
        <w:t xml:space="preserve">.</w:t>
      </w:r>
    </w:p>
    <w:p w14:paraId="106C7607" w14:textId="77777777" w:rsidR="008332C6" w:rsidRPr="00AE0058" w:rsidRDefault="008332C6" w:rsidP="003F5274">
      <w:pPr>
        <w:pStyle w:val="NummerierungStufe1"/>
        <w:keepNext/>
        <w:ind w:hanging="432"/>
      </w:pPr>
      <w:r>
        <w:t xml:space="preserve">L'article 15 est modifié comme suit:</w:t>
      </w:r>
    </w:p>
    <w:p w14:paraId="2BF8A3A4" w14:textId="77E40538" w:rsidR="00466F95" w:rsidRPr="00AE0058" w:rsidRDefault="00466F95" w:rsidP="003F5274">
      <w:pPr>
        <w:pStyle w:val="NummerierungStufe2"/>
        <w:keepNext/>
        <w:ind w:hanging="432"/>
      </w:pPr>
      <w:r>
        <w:t xml:space="preserve">Le paragraphe 2 est formulé comme suit:</w:t>
      </w:r>
    </w:p>
    <w:p w14:paraId="58FD5472" w14:textId="37A4DD72" w:rsidR="00140C96" w:rsidRPr="00AE0058" w:rsidRDefault="00C63345" w:rsidP="00F803E4">
      <w:pPr>
        <w:pStyle w:val="RevisionJuristischerAbsatzmanuell"/>
        <w:tabs>
          <w:tab w:val="clear" w:pos="850"/>
          <w:tab w:val="left" w:pos="1700"/>
        </w:tabs>
        <w:ind w:left="850" w:firstLine="350"/>
      </w:pPr>
      <w:r>
        <w:rPr>
          <w:rStyle w:val="RevisionText"/>
        </w:rPr>
        <w:t xml:space="preserve">«(2) L'Office central conformément à l'article 3, paragraphe 18 de la loi sur les emballages, la personne morale chargée du traitement des demandes de remboursement de la consigne conformément à l'article 31, paragraphe 1, phrase 4 de la loi sur les emballages et les autorités compétentes en vertu du droit des Länder communiquent sur demande aux offices statistiques des Länder les noms et adresses des fabricants conformément aux articles 3 et 14 de la loi sur les emballages et des entreprises concernées par les enquêtes conformément à l'article 5a, paragraphes 2 à 6, dans la mesure où ils en disposent.»</w:t>
      </w:r>
    </w:p>
    <w:p w14:paraId="360E559A" w14:textId="77777777" w:rsidR="00466F95" w:rsidRPr="00AE0058" w:rsidRDefault="001102BD" w:rsidP="00466F95">
      <w:pPr>
        <w:pStyle w:val="NummerierungStufe2"/>
      </w:pPr>
      <w:r>
        <w:t xml:space="preserve">Au paragraphe 3, les mots </w:t>
      </w:r>
      <w:r>
        <w:rPr>
          <w:rStyle w:val="RevisionText"/>
        </w:rPr>
        <w:t xml:space="preserve">«Les autorités chargées d'autoriser le captage d'eau et le rejet d'eaux usées dans les eaux»</w:t>
      </w:r>
      <w:r>
        <w:t xml:space="preserve"> sont remplacés par </w:t>
      </w:r>
      <w:r>
        <w:rPr>
          <w:rStyle w:val="RevisionText"/>
        </w:rPr>
        <w:t xml:space="preserve">«Les organes des Länder chargés de mettre en œuvre la législation sur la protection de l'environnement»</w:t>
      </w:r>
      <w:r>
        <w:t xml:space="preserve">.</w:t>
      </w:r>
    </w:p>
    <w:p w14:paraId="1B2BD252" w14:textId="0EFDC3C0" w:rsidR="00884BDD" w:rsidRPr="00AE0058" w:rsidRDefault="00884BDD" w:rsidP="003F5274">
      <w:pPr>
        <w:pStyle w:val="NummerierungStufe1"/>
        <w:keepNext/>
        <w:ind w:hanging="432"/>
      </w:pPr>
      <w:r>
        <w:t xml:space="preserve">L'article 16 est modifié comme suit:</w:t>
      </w:r>
    </w:p>
    <w:p w14:paraId="7B30580C" w14:textId="27D0B2AC" w:rsidR="00884BDD" w:rsidRPr="00AE0058" w:rsidRDefault="00884BDD" w:rsidP="00884BDD">
      <w:pPr>
        <w:pStyle w:val="NummerierungStufe2"/>
      </w:pPr>
      <w:r>
        <w:t xml:space="preserve">Au paragraphe 2, les termes </w:t>
      </w:r>
      <w:r>
        <w:rPr>
          <w:rStyle w:val="RevisionText"/>
        </w:rPr>
        <w:t xml:space="preserve">«de l'État fédéral»</w:t>
      </w:r>
      <w:r>
        <w:t xml:space="preserve"> sont ajoutés après </w:t>
      </w:r>
      <w:r>
        <w:rPr>
          <w:rStyle w:val="RevisionText"/>
        </w:rPr>
        <w:t xml:space="preserve">«administrations»</w:t>
      </w:r>
      <w:r>
        <w:t xml:space="preserve">.</w:t>
      </w:r>
      <w:r>
        <w:t xml:space="preserve"> </w:t>
      </w:r>
    </w:p>
    <w:p w14:paraId="08AEB069" w14:textId="21CCBB49" w:rsidR="00884BDD" w:rsidRPr="00AE0058" w:rsidRDefault="00884BDD" w:rsidP="00884BDD">
      <w:pPr>
        <w:pStyle w:val="NummerierungStufe2"/>
      </w:pPr>
      <w:r>
        <w:t xml:space="preserve">Au paragraphe 3, les mots </w:t>
      </w:r>
      <w:r>
        <w:rPr>
          <w:rStyle w:val="RevisionText"/>
        </w:rPr>
        <w:t xml:space="preserve">«paragraphe 1, phrase 1, point 1»</w:t>
      </w:r>
      <w:r>
        <w:t xml:space="preserve"> sont insérés après </w:t>
      </w:r>
      <w:r>
        <w:rPr>
          <w:rStyle w:val="RevisionText"/>
        </w:rPr>
        <w:t xml:space="preserve">«11»</w:t>
      </w:r>
      <w:r>
        <w:t xml:space="preserve">.</w:t>
      </w:r>
    </w:p>
    <w:p w14:paraId="30B25CED" w14:textId="7425BD5E" w:rsidR="00EC16E9" w:rsidRPr="00AE0058" w:rsidRDefault="007201CE" w:rsidP="00884BDD">
      <w:pPr>
        <w:pStyle w:val="NummerierungStufe2"/>
      </w:pPr>
      <w:r>
        <w:t xml:space="preserve">Au paragraphe 5, la virgule après </w:t>
      </w:r>
      <w:r>
        <w:rPr>
          <w:rStyle w:val="RevisionText"/>
        </w:rPr>
        <w:t xml:space="preserve">«collectées»</w:t>
      </w:r>
      <w:r>
        <w:t xml:space="preserve"> et le mot </w:t>
      </w:r>
      <w:r>
        <w:rPr>
          <w:rStyle w:val="RevisionText"/>
        </w:rPr>
        <w:t xml:space="preserve">«anonymisées«</w:t>
      </w:r>
      <w:r>
        <w:t xml:space="preserve"> sont supprimés.</w:t>
      </w:r>
    </w:p>
    <w:p w14:paraId="41850669" w14:textId="527F5865" w:rsidR="00DA1981" w:rsidRPr="00AE0058" w:rsidRDefault="00EC16E9" w:rsidP="003F5274">
      <w:pPr>
        <w:pStyle w:val="NummerierungStufe2"/>
        <w:keepNext/>
        <w:ind w:hanging="432"/>
      </w:pPr>
      <w:r>
        <w:t xml:space="preserve">Le paragraphe 6 est formulé comme suit:</w:t>
      </w:r>
    </w:p>
    <w:p w14:paraId="33341FA7" w14:textId="502BAB1E" w:rsidR="00EC16E9" w:rsidRPr="00AE0058" w:rsidRDefault="00DA1981" w:rsidP="00F803E4">
      <w:pPr>
        <w:pStyle w:val="RevisionJuristischerAbsatz"/>
        <w:numPr>
          <w:ilvl w:val="2"/>
          <w:numId w:val="10"/>
        </w:numPr>
        <w:tabs>
          <w:tab w:val="clear" w:pos="850"/>
          <w:tab w:val="num" w:pos="1700"/>
        </w:tabs>
        <w:ind w:left="850"/>
      </w:pPr>
      <w:r>
        <w:t xml:space="preserve">«L'Office fédéral de la statistique et les offices statistiques des Länder transmettent gratuitement à l'Agence fédérale de l'environnement des tableaux contenant des résultats statistiques pour leur propre évaluation statistique, en particulier pour le respect des obligations de la République fédérale d'Allemagne en vertu du droit européen et international, mais pas pour le règlement de cas individuels, même si les champs du tableau ne présentent qu'un seul cas.</w:t>
      </w:r>
      <w:r>
        <w:t xml:space="preserve"> </w:t>
      </w:r>
      <w:r>
        <w:t xml:space="preserve">Les tableaux ne peuvent être conservés et utilisés que par les unités organisationnelles de l'Agence fédérale de l'environnement chargées de cette tâche et ne peuvent être transmis à d'autres organismes.</w:t>
      </w:r>
      <w:r>
        <w:t xml:space="preserve"> </w:t>
      </w:r>
      <w:r>
        <w:t xml:space="preserve">Les unités organisationnelles visées à la phrase 2 doivent être séparées physiquement, organisationnellement et en termes de personnel des unités organisationnelles de l'Agence fédérale de l'environnement chargées des tâches d'exécution.»</w:t>
      </w:r>
    </w:p>
    <w:p w14:paraId="71AF0A67" w14:textId="7CE7D87D" w:rsidR="00B9584A" w:rsidRPr="00AE0058" w:rsidRDefault="00B9584A" w:rsidP="00B9584A">
      <w:pPr>
        <w:pStyle w:val="NummerierungStufe1"/>
      </w:pPr>
      <w:r>
        <w:t xml:space="preserve">Au point 17, lettre c, le mot </w:t>
      </w:r>
      <w:r>
        <w:rPr>
          <w:color w:val="800000"/>
        </w:rPr>
        <w:t xml:space="preserve">«Communauté»</w:t>
      </w:r>
      <w:r>
        <w:t xml:space="preserve"> est remplacé par le mot </w:t>
      </w:r>
      <w:r>
        <w:rPr>
          <w:color w:val="800000"/>
        </w:rPr>
        <w:t xml:space="preserve">«Union»</w:t>
      </w:r>
      <w:r>
        <w:t xml:space="preserve">.</w:t>
      </w:r>
    </w:p>
    <w:p w14:paraId="5E03492E" w14:textId="0AD13F51" w:rsidR="004B7234" w:rsidRPr="00AE0058" w:rsidRDefault="006C07FA" w:rsidP="006C07FA">
      <w:pPr>
        <w:pStyle w:val="ArtikelBezeichner"/>
        <w:numPr>
          <w:ilvl w:val="0"/>
          <w:numId w:val="0"/>
        </w:numPr>
      </w:pPr>
      <w:r>
        <w:t xml:space="preserve">Article 2</w:t>
      </w:r>
    </w:p>
    <w:p w14:paraId="43AE634C" w14:textId="16379FCF" w:rsidR="004B7234" w:rsidRPr="00AE0058" w:rsidRDefault="004B7234" w:rsidP="004B7234">
      <w:pPr>
        <w:pStyle w:val="Artikelberschrift"/>
      </w:pPr>
      <w:r>
        <w:rPr>
          <w:rStyle w:val="Marker"/>
        </w:rPr>
        <w:t xml:space="preserve">Modification de la loi sur les emballages</w:t>
      </w:r>
    </w:p>
    <w:p w14:paraId="3F8AA2E5" w14:textId="6B4A792F" w:rsidR="00F76632" w:rsidRPr="00AE0058" w:rsidRDefault="00F76632" w:rsidP="00F76632">
      <w:pPr>
        <w:pStyle w:val="JuristischerAbsatznichtnummeriert"/>
        <w:rPr>
          <w:rStyle w:val="Marker"/>
          <w:color w:val="000000" w:themeColor="text1"/>
        </w:rPr>
      </w:pPr>
      <w:r>
        <w:rPr>
          <w:rStyle w:val="Marker"/>
          <w:color w:val="000000" w:themeColor="text1"/>
        </w:rPr>
        <w:t xml:space="preserve">Article 26, paragraphe 1, phrase 2 de la loi sur les emballages du 5 juillet 2017 (JO fédéral</w:t>
      </w:r>
      <w:r>
        <w:rPr>
          <w:rStyle w:val="Marker"/>
          <w:color w:val="000000" w:themeColor="text1"/>
        </w:rPr>
        <w:t xml:space="preserve"> </w:t>
      </w:r>
      <w:r>
        <w:rPr>
          <w:rStyle w:val="Marker"/>
          <w:color w:val="000000" w:themeColor="text1"/>
        </w:rPr>
        <w:t xml:space="preserve">I, p. 2234), modifiée en dernier lieu par l’article 3 de la loi du 23 octobre 2020 (Journal officiel de la République fédérale d’Allemagne</w:t>
      </w:r>
      <w:r>
        <w:rPr>
          <w:rStyle w:val="Marker"/>
          <w:color w:val="000000" w:themeColor="text1"/>
        </w:rPr>
        <w:t xml:space="preserve"> </w:t>
      </w:r>
      <w:r>
        <w:rPr>
          <w:rStyle w:val="Marker"/>
          <w:color w:val="000000" w:themeColor="text1"/>
        </w:rPr>
        <w:t xml:space="preserve">I, p. 2232), est modifiée comme suit:</w:t>
      </w:r>
    </w:p>
    <w:p w14:paraId="1DE6A97D" w14:textId="6A8DA9F7" w:rsidR="004B7234" w:rsidRPr="00AE0058" w:rsidRDefault="004B7234" w:rsidP="003F5274">
      <w:pPr>
        <w:pStyle w:val="NummerierungStufe1"/>
        <w:keepNext/>
        <w:ind w:hanging="432"/>
      </w:pPr>
      <w:r>
        <w:t xml:space="preserve">Le point 29 est formulé comme suit:</w:t>
      </w:r>
    </w:p>
    <w:p w14:paraId="7D6109FB" w14:textId="797FE411" w:rsidR="00695556" w:rsidRPr="00AE0058" w:rsidRDefault="00695556" w:rsidP="00F803E4">
      <w:pPr>
        <w:pStyle w:val="RevisionNummerierungStufe1"/>
        <w:numPr>
          <w:ilvl w:val="3"/>
          <w:numId w:val="9"/>
        </w:numPr>
        <w:tabs>
          <w:tab w:val="clear" w:pos="425"/>
          <w:tab w:val="num" w:pos="940"/>
        </w:tabs>
        <w:ind w:left="940"/>
      </w:pPr>
      <w:r>
        <w:t xml:space="preserve">«transmis conformément à l'article 15, paragraphe 2 de la loi sur les statistiques environnementales du 16 août 2005 (JO fédéral</w:t>
      </w:r>
      <w:r>
        <w:t xml:space="preserve"> </w:t>
      </w:r>
      <w:r>
        <w:t xml:space="preserve">I, p. 2446), modifiée en dernier lieu par l'article 1 de la loi du [insérer:</w:t>
      </w:r>
      <w:r>
        <w:t xml:space="preserve"> </w:t>
      </w:r>
      <w:r>
        <w:t xml:space="preserve">date de publication et référence de la présente loi], les offices statistiques des Länder et l'Office fédéral de la statistique, sur demande, les noms, adresses et adresses électroniques des organismes participant à ces enquêtes, comme l'exige l'article 5a, paragraphes 2 à 6 de la loi sur les statistiques environnementales,»</w:t>
      </w:r>
    </w:p>
    <w:p w14:paraId="5E3F4781" w14:textId="1AF351F4" w:rsidR="004B7234" w:rsidRPr="00AE0058" w:rsidRDefault="004B7234" w:rsidP="003F5274">
      <w:pPr>
        <w:pStyle w:val="NummerierungStufe1"/>
        <w:keepNext/>
        <w:ind w:hanging="432"/>
      </w:pPr>
      <w:r>
        <w:t xml:space="preserve">Le point 29a suivant est inséré après le point 29:</w:t>
      </w:r>
    </w:p>
    <w:p w14:paraId="039BBAC9" w14:textId="0B676380" w:rsidR="00695556" w:rsidRPr="00AE0058" w:rsidRDefault="00695556" w:rsidP="003F5274">
      <w:pPr>
        <w:pStyle w:val="RevisionNummerierungStufe1manuell"/>
        <w:tabs>
          <w:tab w:val="clear" w:pos="425"/>
        </w:tabs>
        <w:ind w:left="990" w:hanging="565"/>
        <w:rPr>
          <w:rStyle w:val="Marker"/>
        </w:rPr>
      </w:pPr>
      <w:r>
        <w:t xml:space="preserve">«29a.</w:t>
        <w:tab/>
        <w:t xml:space="preserve">transmet, conformément à l'article 14, paragraphe 2, point 4, lettre a de la loi sur les statistiques environnementales, aux offices statistiques des Länder et à l'Office fédéral de la statistique, sur demande, les données requises pour l'enquête en vertu de l'article 5a de la loi sur les statistiques environnementales, dans la mesure où ces données sont à la disposition de l'organisme central en vertu des obligations qui lui incombent en vertu de la présente loi, et»</w:t>
      </w:r>
      <w:r>
        <w:rPr>
          <w:color w:val="auto"/>
        </w:rPr>
        <w:t xml:space="preserve">.</w:t>
      </w:r>
    </w:p>
    <w:p w14:paraId="0AA62F1D" w14:textId="6885F123" w:rsidR="004705E2" w:rsidRPr="00AE0058" w:rsidRDefault="006C07FA" w:rsidP="006C07FA">
      <w:pPr>
        <w:pStyle w:val="ArtikelBezeichner"/>
        <w:numPr>
          <w:ilvl w:val="0"/>
          <w:numId w:val="0"/>
        </w:numPr>
      </w:pPr>
      <w:r>
        <w:t xml:space="preserve">Article 3</w:t>
      </w:r>
    </w:p>
    <w:p w14:paraId="246A0EFA" w14:textId="49E915CB" w:rsidR="004705E2" w:rsidRPr="00AE0058" w:rsidRDefault="004705E2">
      <w:pPr>
        <w:pStyle w:val="Artikelberschrift"/>
      </w:pPr>
      <w:r>
        <w:rPr>
          <w:rStyle w:val="Marker"/>
        </w:rPr>
        <w:t xml:space="preserve">Entrée en vigueur</w:t>
      </w:r>
    </w:p>
    <w:p w14:paraId="13CD6371" w14:textId="36D092A7" w:rsidR="004705E2" w:rsidRPr="00AE0058" w:rsidRDefault="009A5500">
      <w:pPr>
        <w:pStyle w:val="JuristischerAbsatznichtnummeriert"/>
      </w:pPr>
      <w:r>
        <w:t xml:space="preserve">L'article 1, point 2 entre en vigueur le jour suivant celui de sa promulgation.</w:t>
      </w:r>
      <w:r>
        <w:t xml:space="preserve"> </w:t>
      </w:r>
      <w:r>
        <w:t xml:space="preserve">Pour le reste, la présente loi entre en vigueur le 1er janvier 2022.</w:t>
      </w:r>
    </w:p>
    <w:p w14:paraId="66282344" w14:textId="77777777" w:rsidR="004705E2" w:rsidRPr="00AE0058" w:rsidRDefault="004705E2" w:rsidP="004705E2">
      <w:pPr>
        <w:sectPr w:rsidR="004705E2" w:rsidRPr="00AE0058" w:rsidSect="001F550D">
          <w:pgSz w:w="11907" w:h="16839"/>
          <w:pgMar w:top="1134" w:right="1417" w:bottom="1134" w:left="1701" w:header="709" w:footer="709" w:gutter="0"/>
          <w:cols w:space="708"/>
          <w:docGrid w:linePitch="360"/>
        </w:sectPr>
      </w:pPr>
    </w:p>
    <w:p w14:paraId="2CDDCC2F" w14:textId="77777777" w:rsidR="004705E2" w:rsidRPr="00AE0058" w:rsidRDefault="004705E2">
      <w:pPr>
        <w:pStyle w:val="BegrndungTitel"/>
      </w:pPr>
      <w:r>
        <w:t xml:space="preserve">Exposé des motifs</w:t>
      </w:r>
    </w:p>
    <w:p w14:paraId="53EEF0CE" w14:textId="77777777" w:rsidR="004705E2" w:rsidRPr="00AE0058" w:rsidRDefault="004705E2">
      <w:pPr>
        <w:pStyle w:val="BegrndungAllgemeinerTeil"/>
      </w:pPr>
      <w:r>
        <w:t xml:space="preserve">A. Partie générale</w:t>
      </w:r>
    </w:p>
    <w:p w14:paraId="539C181B" w14:textId="77777777" w:rsidR="004705E2" w:rsidRPr="00AE0058" w:rsidRDefault="004705E2">
      <w:pPr>
        <w:pStyle w:val="berschriftrmischBegrndung"/>
      </w:pPr>
      <w:r>
        <w:t xml:space="preserve">Objectif et nécessité de la réglementation</w:t>
      </w:r>
    </w:p>
    <w:p w14:paraId="337ACC80" w14:textId="0E0CDEDE" w:rsidR="00125DF7" w:rsidRPr="00AE0058" w:rsidRDefault="009E7FC8" w:rsidP="00125DF7">
      <w:pPr>
        <w:pStyle w:val="Text"/>
      </w:pPr>
      <w:r>
        <w:t xml:space="preserve">La version actuelle de la loi sur les statistiques environnementales (UStatG) date de 2017.</w:t>
      </w:r>
      <w:r>
        <w:t xml:space="preserve"> </w:t>
      </w:r>
      <w:r>
        <w:t xml:space="preserve">De nombreux développements dans l'économie et la société nécessitent une adaptation des règles de déclaration statistique existantes.</w:t>
      </w:r>
      <w:r>
        <w:t xml:space="preserve"> </w:t>
      </w:r>
    </w:p>
    <w:p w14:paraId="40FD5367" w14:textId="0CD81AB2" w:rsidR="004705E2" w:rsidRPr="00AE0058" w:rsidRDefault="00125DF7" w:rsidP="00125DF7">
      <w:pPr>
        <w:pStyle w:val="Text"/>
      </w:pPr>
      <w:r>
        <w:t xml:space="preserve">En outre, des bases juridiques nouvelles ou modifiées - notamment dans le domaine des statistiques sur les déchets - sont entrées en vigueur du fait de l'UE, ce qui demande une la modification des données fournies, parfois avec de nouvelles caractéristiques.</w:t>
      </w:r>
      <w:r>
        <w:t xml:space="preserve"> </w:t>
      </w:r>
      <w:r>
        <w:t xml:space="preserve">Afin de pouvoir satisfaire aux nouvelles obligations de déclaration, les enquêtes correspondantes doivent être commandées dans le cadre de la loi sur les statistiques environnementales sous une forme modifiée.</w:t>
      </w:r>
    </w:p>
    <w:p w14:paraId="01B5E8E8" w14:textId="2C8323C4" w:rsidR="00125DF7" w:rsidRPr="00AE0058" w:rsidRDefault="00125DF7" w:rsidP="009B400F">
      <w:pPr>
        <w:pStyle w:val="Text"/>
        <w:keepNext/>
        <w:rPr>
          <w:b/>
        </w:rPr>
      </w:pPr>
      <w:r>
        <w:rPr>
          <w:b/>
        </w:rPr>
        <w:t xml:space="preserve">Statistiques sur les déchets</w:t>
      </w:r>
    </w:p>
    <w:p w14:paraId="06C71ACA" w14:textId="5393442C" w:rsidR="002673BA" w:rsidRPr="00AE0058" w:rsidRDefault="00EC1BFA" w:rsidP="009B400F">
      <w:pPr>
        <w:pStyle w:val="Text"/>
        <w:keepNext/>
      </w:pPr>
      <w:r>
        <w:t xml:space="preserve">Afin de promouvoir la prévention des déchets, la réutilisation et l'économie circulaire, l'UE a adopté un paquet de différentes directives sur les déchets.</w:t>
      </w:r>
      <w:r>
        <w:t xml:space="preserve"> </w:t>
      </w:r>
      <w:r>
        <w:t xml:space="preserve">Ce paquet de l'UE sur les déchets comprend</w:t>
      </w:r>
    </w:p>
    <w:p w14:paraId="33775393" w14:textId="119284E3" w:rsidR="002673BA" w:rsidRPr="00AE0058" w:rsidRDefault="002673BA" w:rsidP="002673BA">
      <w:pPr>
        <w:pStyle w:val="Text"/>
      </w:pPr>
      <w:r>
        <w:t xml:space="preserve">- la directive-cadre relative aux déchets (AbfRRL), (directive 2008/98/CE du Parlement européen et du Conseil du 19 novembre 2008 relative aux déchets et abrogeant certaines directives (JO L 312 du 22.11.2008, p. 3), modifiée en dernier lieu par la directive (UE) 2018/851 (JO L 150 du 14.6.2018, p. 109)),</w:t>
      </w:r>
    </w:p>
    <w:p w14:paraId="03CDEEEB" w14:textId="7715B0BA" w:rsidR="002673BA" w:rsidRPr="00AE0058" w:rsidRDefault="002673BA" w:rsidP="002673BA">
      <w:pPr>
        <w:pStyle w:val="Text"/>
      </w:pPr>
      <w:r>
        <w:t xml:space="preserve">- la directive sur les emballages (directive 94/62/CE du Parlement européen et du Conseil du 20 décembre 1994 relative aux emballages et aux déchets d'emballages (JO L 365 du 31.12.1994, p. 10), modifiée en dernier lieu par la directive (UE) 2018/852 (JO L 150 du 14.6.2018, p. 141) et</w:t>
      </w:r>
    </w:p>
    <w:p w14:paraId="2CAAF9A6" w14:textId="5EB777F7" w:rsidR="002673BA" w:rsidRPr="00AE0058" w:rsidRDefault="002673BA" w:rsidP="002673BA">
      <w:pPr>
        <w:pStyle w:val="Text"/>
      </w:pPr>
      <w:r>
        <w:t xml:space="preserve">- la directive sur la mise en décharge des déchets (directive 1999/31/CE du Conseil du 26 avril 1999 concernant la mise en décharge des déchets (JO L 182 du 16.7.1999, p. 1), modifiée en dernier lieu par la directive (UE) 2018/850 (JO L 150 du 14.6.2018, p. 100).</w:t>
      </w:r>
    </w:p>
    <w:p w14:paraId="5E02C81F" w14:textId="5E6CDC1C" w:rsidR="00125DF7" w:rsidRPr="00AE0058" w:rsidRDefault="00125DF7" w:rsidP="00125DF7">
      <w:pPr>
        <w:pStyle w:val="Text"/>
      </w:pPr>
      <w:r>
        <w:t xml:space="preserve">La modification de la directive-cadre relative aux déchets par la directive (UE) 2018/851 contient de nombreux changements et nouveautés.</w:t>
      </w:r>
      <w:r>
        <w:t xml:space="preserve"> </w:t>
      </w:r>
      <w:r>
        <w:t xml:space="preserve">Un nouvel article 11a régissant les dispositions relatives au calcul de la réalisation des objectifs de l'article 11 de la directive-cadre relative aux déchets a été ajouté.</w:t>
      </w:r>
      <w:r>
        <w:t xml:space="preserve"> </w:t>
      </w:r>
      <w:r>
        <w:t xml:space="preserve">La Commission européenne a publié ou est en train d'adopter des directives d'exécution à ce sujet.</w:t>
      </w:r>
      <w:r>
        <w:t xml:space="preserve"> </w:t>
      </w:r>
      <w:r>
        <w:t xml:space="preserve">Il s'agit notamment de la décision d'application (UE) 2019/1004 de la Commission du 7 juin 2019 établissant les règles pour le calcul, la vérification et la transmission des données relatives aux déchets conformément à la directive 2008/98/CE du Parlement européen et du Conseil et abrogeant la décision d'application C(2012)2384 de la Commission (JO L 163 du 20.6.2019, p. 66).</w:t>
      </w:r>
      <w:r>
        <w:t xml:space="preserve"> </w:t>
      </w:r>
      <w:r>
        <w:t xml:space="preserve">Ainsi, à l'avenir, les déchets municipaux biologiques séparés et recyclés au point de production (ménage, propriété, autre objet) pourront également être inclus dans le calcul du quota de recyclage; il s'agit ici de l'auto-compostage.</w:t>
      </w:r>
      <w:r>
        <w:t xml:space="preserve"> </w:t>
      </w:r>
      <w:r>
        <w:t xml:space="preserve">Ce domaine manque encore de données exploitables.</w:t>
      </w:r>
      <w:r>
        <w:t xml:space="preserve"> </w:t>
      </w:r>
      <w:r>
        <w:t xml:space="preserve">C'est pourquoi le présent projet de loi exige une enquête sur le nombre de points de collecte où la collecte séparée des déchets organiques est effectuée au moyen de poubelles pour déchets organiques, le nombre de points de collecte qui, outre les poubelles pour déchets organiques, effectuent également leur propre compostage, le nombre de points de collecte qui sont exemptés de l'utilisation de poubelles pour déchets organiques et le nombre de points de collecte qui ne sont pas tenus de se connecter à des poubelles pour déchets organiques.</w:t>
      </w:r>
      <w:r>
        <w:t xml:space="preserve"> </w:t>
      </w:r>
      <w:r>
        <w:t xml:space="preserve">L'objectif est de calculer des quotients d'estimation pour les éventuelles quantités auto-compostées par point de production de déchets et de transférer ces quantités au nombre de points de production de déchets qui pratiquent l'auto-compostage.</w:t>
      </w:r>
    </w:p>
    <w:p w14:paraId="2BC42EF8" w14:textId="4B937E68" w:rsidR="00125DF7" w:rsidRPr="00AE0058" w:rsidRDefault="00125DF7" w:rsidP="00125DF7">
      <w:pPr>
        <w:pStyle w:val="Text"/>
      </w:pPr>
      <w:r>
        <w:t xml:space="preserve">Jusqu'à présent, l'Agence fédérale de l'environnement (UBA) a rempli les obligations de déclaration de la directive européenne sur les emballages en utilisant, entre autres, les données de l'étude «Aufkommen und Verwertung von Verpackungsabfällen in Deutschland im Jahr x» (production et valorisation des déchets d'emballages en Allemagne au cours de l'année x), qui est préparée chaque année par la Gesellschaft für Verpackungsmarkforschung mbH (GVM).</w:t>
      </w:r>
      <w:r>
        <w:t xml:space="preserve"> </w:t>
      </w:r>
      <w:r>
        <w:t xml:space="preserve">Les résultats de l'enquête sur la collecte des emballages de transport et des emballages secondaires (TUV) et de l'enquête sur les emballages de vente retournés (VV) ont jusqu'à présent été inclus dans l'étude GVM en tant que chiffres comparatifs.</w:t>
      </w:r>
    </w:p>
    <w:p w14:paraId="204AB48A" w14:textId="4A9B7FBE" w:rsidR="00125DF7" w:rsidRPr="00AE0058" w:rsidRDefault="00E61EB8" w:rsidP="00125DF7">
      <w:pPr>
        <w:pStyle w:val="Text"/>
      </w:pPr>
      <w:r>
        <w:t xml:space="preserve">L'article 8a de la directive-cadre relative aux déchets exige des États membres qu'ils mettent en place un système de notification pour les produits soumis à la responsabilité élargie des fabricants.</w:t>
      </w:r>
      <w:r>
        <w:t xml:space="preserve"> </w:t>
      </w:r>
      <w:r>
        <w:t xml:space="preserve">Il ne peut s'agir d'une entreprise privée à long terme.</w:t>
      </w:r>
      <w:r>
        <w:t xml:space="preserve"> </w:t>
      </w:r>
      <w:r>
        <w:t xml:space="preserve">Par conséquent, les données sur les emballages devront être collectées par les statistiques officielles à l'avenir.</w:t>
      </w:r>
      <w:r>
        <w:t xml:space="preserve"> </w:t>
      </w:r>
      <w:r>
        <w:t xml:space="preserve">À cela s'ajoutent les nouvelles exigences de l'UE en matière de rapports sur les produits en plastique à usage unique.</w:t>
      </w:r>
    </w:p>
    <w:p w14:paraId="6CFCE0CE" w14:textId="77777777" w:rsidR="00125DF7" w:rsidRPr="00AE0058" w:rsidRDefault="00125DF7" w:rsidP="00125DF7">
      <w:pPr>
        <w:pStyle w:val="Text"/>
      </w:pPr>
      <w:r>
        <w:t xml:space="preserve">Les données sur les emballages soumis à la participation aux systèmes et mis sur le marché pour la première fois ainsi que sur les déchets d'emballages repris aux consommateurs finaux privés par les systèmes et par les solutions sectorielles sont communiquées à l'Office central du registre des emballages (ZSVR).</w:t>
      </w:r>
      <w:r>
        <w:t xml:space="preserve"> </w:t>
      </w:r>
      <w:r>
        <w:t xml:space="preserve">À l'avenir, les statistiques officielles devront pouvoir accéder à ces données.</w:t>
      </w:r>
      <w:r>
        <w:t xml:space="preserve"> </w:t>
      </w:r>
    </w:p>
    <w:p w14:paraId="07D733A6" w14:textId="4C66006B" w:rsidR="00462AD7" w:rsidRPr="00AE0058" w:rsidRDefault="00125DF7" w:rsidP="00125DF7">
      <w:pPr>
        <w:pStyle w:val="Text"/>
      </w:pPr>
      <w:r>
        <w:t xml:space="preserve">Les principales bases juridiques nécessitant une modification du UStatG sont la directive (UE) 2018/852 du Parlement européen et du Conseil du 30 mai 2018 modifiant la directive 94/62/CE relative aux emballages et aux déchets d'emballages (JO L 150 du 14.6.2018, p. 141) et la décision d'application (UE) 2019/665 de la Commission du 17 avril 2019 modifiant la décision 2005/270/CE établissant les formats des tableaux pour la base de données conformément à la directive 94/62/CE du Parlement européen et du Conseil relative aux emballages et aux déchets d'emballages (JO. L 112 du 26.4.2019, p. 26), la nouvelle directive sur les plastiques à usage unique (directive (UE) 2019/904 du Parlement européen et du Conseil du 5 juin 2019 relative à la réduction de l'impact de certains produits en matière plastique sur l'environnement (JO L 155 du 12.6.2019, p. 1) et la directive sur la réception portuaire (directive (UE) 2019/883 du Parlement européen et du Conseil du 17 avril 2019 sur les installations de réception portuaires pour le déchargement des déchets des navires, modifiant la directive 2010/65/UE et abrogeant la directive 2000/59/CE (JO L 151 du 7.6.2019, p. 116).</w:t>
      </w:r>
    </w:p>
    <w:p w14:paraId="1E6152A4" w14:textId="695EC37B" w:rsidR="00125DF7" w:rsidRPr="00AE0058" w:rsidRDefault="00125DF7" w:rsidP="00125DF7">
      <w:pPr>
        <w:pStyle w:val="Text"/>
      </w:pPr>
      <w:r>
        <w:t xml:space="preserve">Un autre besoin de modification de la loi UStatG est apparu du fait que l'UBA doit utiliser les données de l'enquête sur le traitement initial des DEEE afin de remplir l'obligation de déclaration prévue à l'article 16, paragraphe 4 de la directive DEEE (directive 2012/19/UE du Parlement européen et du Conseil du 4 juillet 2012 relative aux déchets d'équipements électriques et électroniques (DEEE) (JO L 197 du 24.7.2012, p. 38)).</w:t>
      </w:r>
      <w:r>
        <w:t xml:space="preserve"> </w:t>
      </w:r>
      <w:r>
        <w:t xml:space="preserve">Jusqu'à présent, il y avait un vide juridique dans ce domaine.</w:t>
      </w:r>
    </w:p>
    <w:p w14:paraId="4C9E6CD9" w14:textId="083EAC94" w:rsidR="00125DF7" w:rsidRPr="00AE0058" w:rsidRDefault="00173A26" w:rsidP="009B400F">
      <w:pPr>
        <w:pStyle w:val="Text"/>
        <w:keepNext/>
        <w:rPr>
          <w:b/>
        </w:rPr>
      </w:pPr>
      <w:r>
        <w:rPr>
          <w:b/>
        </w:rPr>
        <w:t xml:space="preserve">Statistiques sur la gestion de l'eau et les substances ayant un impact sur le climat</w:t>
      </w:r>
    </w:p>
    <w:p w14:paraId="2AC64A13" w14:textId="77777777" w:rsidR="00F92F83" w:rsidRPr="00AE0058" w:rsidRDefault="00F92F83" w:rsidP="00F92F83">
      <w:pPr>
        <w:pStyle w:val="Text"/>
      </w:pPr>
      <w:r>
        <w:t xml:space="preserve">En raison de la modification de la directive du Conseil du 12 juin 1986 relative à la protection de l'environnement et notamment des sols, lors de l'utilisation des boues d'épuration en agriculture - directive sur les boues d'épuration (86/278/CEE) par le règlement (UE) 2019/1010 du Parlement européen et du Conseil du 5 juin 2019 (JO L 170 du 25.6.2019, p. 115), la transmission à la Commission européenne de données géolocalisées sur les zones où les boues d'épuration sont épandues ou déposées est obligatoire.</w:t>
      </w:r>
      <w:r>
        <w:t xml:space="preserve"> </w:t>
      </w:r>
      <w:r>
        <w:t xml:space="preserve">La future collecte de ces données géolocalisées dans le cadre des statistiques sur les boues d'épuration créera la base de données nécessaire pour remplir cette obligation de fourniture.</w:t>
      </w:r>
    </w:p>
    <w:p w14:paraId="1DA1AA75" w14:textId="34B3BEFF" w:rsidR="00376FAB" w:rsidRPr="00AE0058" w:rsidRDefault="00376FAB" w:rsidP="00376FAB">
      <w:pPr>
        <w:pStyle w:val="Text"/>
      </w:pPr>
      <w:r>
        <w:t xml:space="preserve">Le règlement de l'UE sur les gaz fluorés réglemente, entre autres, l'interdiction de l'utilisation de certaines substances ayant une forte incidence sur le climat par étapes jusqu'en 2028.</w:t>
      </w:r>
      <w:r>
        <w:t xml:space="preserve"> </w:t>
      </w:r>
      <w:r>
        <w:t xml:space="preserve">Des substituts seront développés pour les substances qui seront interdites à l'avenir et devront être inclus dans le rapport.</w:t>
      </w:r>
      <w:r>
        <w:t xml:space="preserve"> </w:t>
      </w:r>
      <w:r>
        <w:t xml:space="preserve">Leur composition chimique peut différer de celle des substances utilisées jusqu'à présent, de sorte qu'une adaptation des spécifications relatives à l'enregistrement statistique des substances ayant un impact sur le climat est nécessaire.</w:t>
      </w:r>
      <w:r>
        <w:t xml:space="preserve"> </w:t>
      </w:r>
      <w:r>
        <w:t xml:space="preserve">Les modifications apportées à l'article 10 UStatG visent à étendre le champ d'application de la composition chimique des substances dont la production, l'importation, l'exportation et l'utilisation doivent être déclarées pour inclure les dérivés halogénés.</w:t>
      </w:r>
      <w:r>
        <w:t xml:space="preserve"> </w:t>
      </w:r>
      <w:r>
        <w:t xml:space="preserve">Cela permettra d'inclure dans le rapport statistique les substances dans lesquelles ces éléments sont présents.</w:t>
      </w:r>
      <w:r>
        <w:t xml:space="preserve"> </w:t>
      </w:r>
      <w:r>
        <w:t xml:space="preserve">Ces informations sont utilisées pour prévenir les dommages environnementaux et peuvent être utilisées pour la déclaration internationale des gaz à effet de serre dans le cadre du rapport d'inventaire national.</w:t>
      </w:r>
    </w:p>
    <w:p w14:paraId="677E908E" w14:textId="75BF645B" w:rsidR="007B13EC" w:rsidRPr="00AE0058" w:rsidRDefault="007B13EC" w:rsidP="007B13EC">
      <w:pPr>
        <w:pStyle w:val="Text"/>
      </w:pPr>
      <w:r>
        <w:t xml:space="preserve">Conformément au règlement (UE) n° 525/2013, La CCNUCC impose à l'Union et à ses États membres d'établir des inventaires nationaux des émissions anthropiques par les sources et de l'absorption par les puits de tous les gaz à effet de serre en utilisant des méthodes comparables approuvées par la conférence des parties, non réglementées par le protocole de Montréal relatif à des substances qui appauvrissent la couche d'ozone (1987) adopté par les parties à la convention de Vienne pour la protection de la couche d'ozone ( 3 ) («le protocole de Montréal»), et de mettre à jour, publier et soumettre régulièrement ces inventaires à la conférence des parties.</w:t>
      </w:r>
    </w:p>
    <w:p w14:paraId="7D7C7877" w14:textId="77777777" w:rsidR="007B13EC" w:rsidRPr="00AE0058" w:rsidRDefault="007B13EC" w:rsidP="007B13EC">
      <w:pPr>
        <w:pStyle w:val="Text"/>
      </w:pPr>
      <w:r>
        <w:t xml:space="preserve">Les dérivés halogénés d'hydrocarbures aliphatiques, qui sont collectés en supplément conformément à l'amendement, sont comptés comme des gaz à effet de serre.</w:t>
      </w:r>
      <w:r>
        <w:t xml:space="preserve"> </w:t>
      </w:r>
      <w:r>
        <w:t xml:space="preserve">Les substances supplémentaires à collecter auprès des fournisseurs d'informations dans le cadre de l'enquête existante sont jusqu'à présent uniquement le trifluoriodométhane (R 13I1), le trans-1-chloro-3,3,3-trifluoroprop-1-ène (HCFC-1233zd (E)) et le cis-1-chloro-2,3,3,3-tétrafluoroprop-1-ène (HCFC-1224yd (Z)).</w:t>
      </w:r>
      <w:r>
        <w:t xml:space="preserve"> </w:t>
      </w:r>
      <w:r>
        <w:t xml:space="preserve">Le règlement 525/2013 exige «la cohérence avec les directives actuelles de la CCNUCC sur la déclaration des gaz à effet de serre» (UNFCCC Reporting Guidelines 2014 (FCCC/CP/2013/10/Add.3, Decision 24/CP.19, point 33).</w:t>
      </w:r>
      <w:r>
        <w:t xml:space="preserve"> </w:t>
      </w:r>
      <w:r>
        <w:t xml:space="preserve">Sur la base de cet objectif, l'Allemagne déclare les émissions d'autres gaz F.</w:t>
      </w:r>
      <w:r>
        <w:t xml:space="preserve"> </w:t>
      </w:r>
      <w:r>
        <w:t xml:space="preserve">Pour leur collecte, les données selon l'UStatG sont nécessaires, car ces données ne sont pas disponibles auprès d'autres sources.</w:t>
      </w:r>
    </w:p>
    <w:p w14:paraId="47F41570" w14:textId="13F63544" w:rsidR="00391B62" w:rsidRPr="00AE0058" w:rsidRDefault="00391B62" w:rsidP="009B400F">
      <w:pPr>
        <w:pStyle w:val="Text"/>
        <w:keepNext/>
        <w:rPr>
          <w:b/>
        </w:rPr>
      </w:pPr>
      <w:r>
        <w:rPr>
          <w:b/>
        </w:rPr>
        <w:t xml:space="preserve">Statistiques économiques et environnementales</w:t>
      </w:r>
    </w:p>
    <w:p w14:paraId="3999061C" w14:textId="41C0B362" w:rsidR="00391B62" w:rsidRPr="00AE0058" w:rsidRDefault="00391B62" w:rsidP="00391B62">
      <w:pPr>
        <w:pStyle w:val="Text"/>
      </w:pPr>
      <w:r>
        <w:t xml:space="preserve">Une attention particulière doit être accordée à l'impact des politiques environnementales et énergétiques tant européennes que nationales sur les entreprises.</w:t>
      </w:r>
      <w:r>
        <w:t xml:space="preserve"> </w:t>
      </w:r>
      <w:r>
        <w:t xml:space="preserve">Les objectifs politiques, par exemple celui d'une économie sans CO2 d'ici 2050, ne sont possibles que si les entreprises prennent des mesures environnementales appropriées.</w:t>
      </w:r>
      <w:r>
        <w:t xml:space="preserve"> </w:t>
      </w:r>
      <w:r>
        <w:t xml:space="preserve">Il est important de montrer l'effort financier de ces mesures ainsi que les incitations positives sous forme de production environnementale et d'emploi.</w:t>
      </w:r>
    </w:p>
    <w:p w14:paraId="56B3DB32" w14:textId="1D1918AF" w:rsidR="00391B62" w:rsidRPr="00AE0058" w:rsidRDefault="00391B62" w:rsidP="00391B62">
      <w:pPr>
        <w:pStyle w:val="Text"/>
      </w:pPr>
      <w:r>
        <w:t xml:space="preserve">Les décideurs politiques ont besoin d'une base de données complète et valide pour la gestion efficace des mesures visant à construire une économie durable.</w:t>
      </w:r>
      <w:r>
        <w:t xml:space="preserve"> </w:t>
      </w:r>
      <w:r>
        <w:t xml:space="preserve">Les statistiques économiques environnementales mesurent la manière dont les entreprises assument leurs responsabilités environnementales pour améliorer l'état de l'environnement et utiliser les ressources de manière à répondre aux besoins des générations futures.</w:t>
      </w:r>
      <w:r>
        <w:t xml:space="preserve"> </w:t>
      </w:r>
      <w:r>
        <w:t xml:space="preserve">Les statistiques environnementales fournissent des informations sur les différents domaines environnementaux (gestion des déchets, gestion des eaux usées, réduction du bruit, lutte contre la pollution atmosphérique, protection des espèces et des paysages, protection et assainissement des sols, des eaux souterraines et des eaux de surface, et protection du climat) et sur les différentes mesures environnementales.</w:t>
      </w:r>
    </w:p>
    <w:p w14:paraId="4A6F845E" w14:textId="1A7A43F8" w:rsidR="00391B62" w:rsidRPr="00AE0058" w:rsidRDefault="00391B62" w:rsidP="00391B62">
      <w:pPr>
        <w:pStyle w:val="Text"/>
      </w:pPr>
      <w:r>
        <w:t xml:space="preserve">D'une part, les investissements réalisés par les entreprises dans des installations et des équipements environnementaux ainsi que les dépenses courantes à supporter pour l'exploitation des installations environnementales et l'utilisation des services de protection de l'environnement sont enregistrés.</w:t>
      </w:r>
      <w:r>
        <w:t xml:space="preserve"> </w:t>
      </w:r>
      <w:r>
        <w:t xml:space="preserve">La protection de l'environnement comprend des mesures, en particulier des technologies et des installations, qui évitent, éliminent ou réduisent les émissions, ainsi que des mesures qui préservent les ressources.</w:t>
      </w:r>
      <w:r>
        <w:t xml:space="preserve"> </w:t>
      </w:r>
      <w:r>
        <w:t xml:space="preserve">Ces données sont obligatoires pour l'élaboration des comptes économiques européens de l'environnement (règlement (UE) n° 691/2011 du Parlement européen et du Conseil du 6 juillet 2011 relatif aux comptes économiques européens de l'environnement (JO L 192 du 22.7.2011, p. 1)), tel que modifié par le règlement (UE) n° 538/2014 (JO L 158 du 27.5.2014, p. 113), pour fournir le module des comptes des dépenses de protection de l'environnement» (Environmental Protection Expenditure Accounts, EPEA; remplaçant le règlement (CE) n° 295/2008).</w:t>
      </w:r>
      <w:r>
        <w:t xml:space="preserve"> </w:t>
      </w:r>
      <w:r>
        <w:t xml:space="preserve">Les résultats statistiques permettent d'analyser, au niveau des entreprises, la structure et l'ampleur des dépenses consacrées à la protection de l'environnement, notamment par secteur environnemental.</w:t>
      </w:r>
      <w:r>
        <w:t xml:space="preserve"> </w:t>
      </w:r>
      <w:r>
        <w:t xml:space="preserve">Il est également possible de faire des déclarations sur le type d'installation environnementale, c'est-à-dire les installations et les équipements associés à des technologies propres (la «technologie intégrée») ou les installations et les équipements servant à la lutte contre les émissions (les «technologies en bout de chaîne»).</w:t>
      </w:r>
      <w:r>
        <w:t xml:space="preserve"> </w:t>
      </w:r>
      <w:r>
        <w:t xml:space="preserve">Les écotechnologies intégrées présentent un intérêt particulier car elles ont un caractère préventif et évitent les émissions ou produisent des émissions à une échelle comparativement très réduite.</w:t>
      </w:r>
    </w:p>
    <w:p w14:paraId="66D4BDB3" w14:textId="45B93739" w:rsidR="00391B62" w:rsidRPr="00AE0058" w:rsidRDefault="00391B62" w:rsidP="00391B62">
      <w:pPr>
        <w:pStyle w:val="Text"/>
      </w:pPr>
      <w:r>
        <w:t xml:space="preserve">En outre, des données officielles sont recueillies sur la structure de l'industrie dite de protection de l'environnement en Allemagne.</w:t>
      </w:r>
      <w:r>
        <w:t xml:space="preserve"> </w:t>
      </w:r>
      <w:r>
        <w:t xml:space="preserve">La demande croissante de mesures environnementales a conduit au développement d'une industrie intersectorielle en Europe fournissant des biens et services environnementaux.</w:t>
      </w:r>
      <w:r>
        <w:t xml:space="preserve"> </w:t>
      </w:r>
      <w:r>
        <w:t xml:space="preserve">Parallèlement à la numérisation, la protection de l'environnement est l'un des principaux enjeux du moment, raison pour laquelle ce secteur est considéré comme très compétitif et doté d'un grand potentiel en termes de création de nouvelles opportunités d'emploi.</w:t>
      </w:r>
      <w:r>
        <w:t xml:space="preserve"> </w:t>
      </w:r>
      <w:r>
        <w:t xml:space="preserve">Les statistiques sur les biens, la construction et les services de protection de l'environnement enregistrent le chiffre d'affaires et les exportations générés en Allemagne par les biens et services de protection de l'environnement ainsi que les effets sur l'emploi qu'ils génèrent (les «emplois verts»).</w:t>
      </w:r>
      <w:r>
        <w:t xml:space="preserve"> </w:t>
      </w:r>
      <w:r>
        <w:t xml:space="preserve">Ces données doivent également être fournies pour assurer la conformité avec le règlement (UE) n° 691/2011 (module «Secteur des biens et services environnementaux» (Environmental Goods and Services Sector, EGSS).</w:t>
      </w:r>
    </w:p>
    <w:p w14:paraId="517574C0" w14:textId="77777777" w:rsidR="004705E2" w:rsidRPr="00AE0058" w:rsidRDefault="004705E2">
      <w:pPr>
        <w:pStyle w:val="berschriftrmischBegrndung"/>
      </w:pPr>
      <w:r>
        <w:t xml:space="preserve">Contenu essentiel du projet</w:t>
      </w:r>
    </w:p>
    <w:p w14:paraId="62A93C22" w14:textId="153EB305" w:rsidR="004705E2" w:rsidRPr="00AE0058" w:rsidRDefault="00E4217E" w:rsidP="009B400F">
      <w:pPr>
        <w:pStyle w:val="Text"/>
        <w:keepNext/>
        <w:rPr>
          <w:b/>
        </w:rPr>
      </w:pPr>
      <w:r>
        <w:rPr>
          <w:b/>
        </w:rPr>
        <w:t xml:space="preserve">Statistiques sur les déchets</w:t>
      </w:r>
    </w:p>
    <w:p w14:paraId="4DAC2DB4" w14:textId="54730B1C" w:rsidR="00E4217E" w:rsidRPr="00AE0058" w:rsidRDefault="00E4217E" w:rsidP="00E4217E">
      <w:pPr>
        <w:pStyle w:val="Text"/>
      </w:pPr>
      <w:r>
        <w:t xml:space="preserve">Afin de remplir les obligations de déclaration à la Commission européenne, la loi actuelle ajoute des caractéristiques pour l'auto-compostage et réorganise toute une série de caractéristiques des différents emballages et déchets d'emballages.</w:t>
      </w:r>
      <w:r>
        <w:t xml:space="preserve"> </w:t>
      </w:r>
      <w:r>
        <w:t xml:space="preserve">L'expansion massive des enquêtes sur les emballages s'inscrit également dans le contexte où, en raison de la directive sur les déchets, un système de notification doit être mis en place pour ce domaine à l'avenir et, par conséquent, les fournitures de données UBA basées sur les données de l'étude préparée par une société privée (Gesellschaft für Verpackungsmarktforschung - GVM) ne seront plus acceptées par la Commission européenne.</w:t>
      </w:r>
    </w:p>
    <w:p w14:paraId="626CC5DB" w14:textId="16C171CF" w:rsidR="00462AD7" w:rsidRPr="00AE0058" w:rsidRDefault="00345232" w:rsidP="00E4217E">
      <w:pPr>
        <w:pStyle w:val="Text"/>
      </w:pPr>
      <w:r>
        <w:t xml:space="preserve">En raison des nouvelles obligations de fourniture à la Commission européenne, diverses caractéristiques des produits en plastique à usage unique et des déchets de la pêche passive sont également commandées.</w:t>
      </w:r>
    </w:p>
    <w:p w14:paraId="21668E26" w14:textId="3F7FD3A6" w:rsidR="00E4217E" w:rsidRPr="00AE0058" w:rsidRDefault="00E4217E" w:rsidP="00E4217E">
      <w:pPr>
        <w:pStyle w:val="Text"/>
      </w:pPr>
      <w:r>
        <w:t xml:space="preserve">Enfin, une lacune juridique est comblée afin que l'UBA puisse à l'avenir utiliser les données des offices statistiques de la Fédération et des Länder pour ses rapports sur les DEEE à Eurostat, même si les champs du tableau ne présentent qu'un seul cas.</w:t>
      </w:r>
    </w:p>
    <w:p w14:paraId="2FD968C7" w14:textId="64EE34F6" w:rsidR="00E4217E" w:rsidRPr="00AE0058" w:rsidRDefault="00173A26" w:rsidP="00274D4E">
      <w:pPr>
        <w:pStyle w:val="Text"/>
        <w:keepNext/>
        <w:rPr>
          <w:b/>
        </w:rPr>
      </w:pPr>
      <w:r>
        <w:rPr>
          <w:b/>
        </w:rPr>
        <w:t xml:space="preserve">Statistiques sur la gestion de l'eau et les substances ayant un impact sur le climat</w:t>
      </w:r>
    </w:p>
    <w:p w14:paraId="3A3F3AAF" w14:textId="1AA51F6E" w:rsidR="00EC5750" w:rsidRPr="00AE0058" w:rsidRDefault="00EC5750" w:rsidP="00E4217E">
      <w:pPr>
        <w:pStyle w:val="Text"/>
      </w:pPr>
      <w:r>
        <w:t xml:space="preserve">En raison de la modification de la directive sur les boues d'épuration (86/278/CEE) par le règlement (UE) 2019/1010, la transmission à la Commission européenne de données géolocalisées sur les zones où les boues d'épuration sont épandues ou déposées est obligatoire.</w:t>
      </w:r>
      <w:r>
        <w:t xml:space="preserve"> </w:t>
      </w:r>
      <w:r>
        <w:t xml:space="preserve">La future collecte de ces données géolocalisées dans le cadre des statistiques sur les boues d'épuration créera la base de données nécessaire pour remplir cette obligation de fourniture.</w:t>
      </w:r>
    </w:p>
    <w:p w14:paraId="30DD1F50" w14:textId="093E22D1" w:rsidR="00E4217E" w:rsidRPr="00AE0058" w:rsidRDefault="00173A26" w:rsidP="00E4217E">
      <w:pPr>
        <w:pStyle w:val="Text"/>
      </w:pPr>
      <w:r>
        <w:t xml:space="preserve">En raison de la mise en œuvre en cours du règlement (UE) n° 517/2014 (règlement de l'UE sur les gaz fluorés), il est devenu nécessaire d'ajuster les groupes de substances à étudier.</w:t>
      </w:r>
      <w:r>
        <w:t xml:space="preserve"> </w:t>
      </w:r>
      <w:r>
        <w:t xml:space="preserve">Cela permet d'</w:t>
      </w:r>
      <w:r>
        <w:rPr>
          <w:color w:val="800000"/>
        </w:rPr>
        <w:t xml:space="preserve">ajouter</w:t>
      </w:r>
      <w:r>
        <w:t xml:space="preserve"> des données sur la production, l'importation et l'exportation, et l'utilisation de</w:t>
      </w:r>
      <w:r>
        <w:rPr>
          <w:color w:val="800000"/>
        </w:rPr>
        <w:t xml:space="preserve"> dérivés halogénés d'hydrocarbures aliphatiques</w:t>
      </w:r>
      <w:r>
        <w:t xml:space="preserve"> pour la déclaration internationale.</w:t>
      </w:r>
    </w:p>
    <w:p w14:paraId="1E8B3888" w14:textId="11450CB2" w:rsidR="00E4217E" w:rsidRPr="00AE0058" w:rsidRDefault="00E4217E" w:rsidP="009B400F">
      <w:pPr>
        <w:pStyle w:val="Text"/>
        <w:keepNext/>
        <w:rPr>
          <w:b/>
        </w:rPr>
      </w:pPr>
      <w:r>
        <w:rPr>
          <w:b/>
        </w:rPr>
        <w:t xml:space="preserve">Statistiques économiques et environnementales</w:t>
      </w:r>
    </w:p>
    <w:p w14:paraId="2ED4F96D" w14:textId="44E4C7B0" w:rsidR="00310DAC" w:rsidRPr="00AE0058" w:rsidRDefault="00310DAC" w:rsidP="00310DAC">
      <w:pPr>
        <w:pStyle w:val="Text"/>
      </w:pPr>
      <w:r>
        <w:t xml:space="preserve">Les décideurs politiques ont besoin d'une base de données complète et valide pour la gestion efficace des mesures visant à construire une économie durable.</w:t>
      </w:r>
      <w:r>
        <w:t xml:space="preserve"> </w:t>
      </w:r>
      <w:r>
        <w:t xml:space="preserve">Les données officielles pour l'évaluation monétaire ne sont pas actuellement disponibles pour toutes les mesures climatiques et environnementales, c'est-à-dire les biens, technologies et services qui servent à éliminer les problèmes environnementaux et à renforcer la conservation des ressources, afin de satisfaire à l'obligation de fourniture européenne en vertu du règlement (UE) n° 691/2011 du Parlement européen et du Conseil du 6 juillet 2011 relatif aux comptes économiques européens de l'environnement (JO</w:t>
      </w:r>
      <w:r>
        <w:t xml:space="preserve"> </w:t>
      </w:r>
      <w:r>
        <w:t xml:space="preserve">L 192, 22.7.2011, p. 1), tel que modifié par le règlement (UE) n° 538/2014 (JO L 158, 27.5.2014, p. 113), ou pour servir des objectifs politiques tels que le «Green Deal» européen.</w:t>
      </w:r>
      <w:r>
        <w:t xml:space="preserve"> </w:t>
      </w:r>
      <w:r>
        <w:t xml:space="preserve">Par exemple, on manque de données sur l'électromobilité ou sur les mesures de conservation des ressources limitées.</w:t>
      </w:r>
      <w:r>
        <w:t xml:space="preserve"> </w:t>
      </w:r>
      <w:r>
        <w:t xml:space="preserve">En outre, les mesures climatiques et environnementales à prendre en compte sont soumises à un grand dynamisme en raison des progrès technologiques et de l'évolution des priorités politiques, ce qui nécessite un ajustement constant des mesures climatiques et environnementales à prendre en compte dans les statistiques.</w:t>
      </w:r>
      <w:r>
        <w:t xml:space="preserve"> </w:t>
      </w:r>
      <w:r>
        <w:t xml:space="preserve">En tant que premier fournisseur de services d'information en Allemagne, la statistique publique doit pouvoir adapter l'enquête et les programmes sur lesquels elle repose en temps voulu pour répondre aux obligations européennes de fourniture, notamment en vertu du règlement (UE) n° 691/2011, c'est-à-dire pour combler les lacunes en matière de données et pour offrir plus rapidement et plus complètement des données sur le suivi des mesures climatiques et environnementales pertinentes sur le plan politique et écologique.</w:t>
      </w:r>
      <w:r>
        <w:t xml:space="preserve"> </w:t>
      </w:r>
      <w:r>
        <w:t xml:space="preserve">Cela nécessite une modification des articles 11 et 12 de l'UStatG, qui permet une conception flexible des statistiques économiques environnementales en ce qui concerne les mesures climatiques et environnementales à prendre en compte légalement ainsi que de nouvelles priorités politiques dans ce domaine.</w:t>
      </w:r>
      <w:r>
        <w:t xml:space="preserve"> </w:t>
      </w:r>
      <w:r>
        <w:t xml:space="preserve">Une définition générale des mesures climatiques et environnementales est donnée conjointement avec une référence à la classification des dépenses de protection de l'environnement (Classification of Environmental Protection Expenditures, CEPA) et à la classification des activités de gestion des ressources ((Classification of Ressource Management Activities, CReMA) existantes.</w:t>
      </w:r>
      <w:r>
        <w:t xml:space="preserve"> </w:t>
      </w:r>
      <w:r>
        <w:t xml:space="preserve">Par conséquent, toute mesure qui répond à la définition d'une mesure environnementale et qui peut être classée dans l'un des domaines environnementaux énumérés dans les classifications environnementales de la CEPA et du CReMA peut être étudiée dans le cadre des statistiques économiques environnementales.</w:t>
      </w:r>
      <w:r>
        <w:t xml:space="preserve"> </w:t>
      </w:r>
      <w:r>
        <w:t xml:space="preserve">Il n'est donc plus nécessaire de modifier au préalable la loi sur les statistiques environnementales afin de définir d'autres mesures climatiques et environnementales.</w:t>
      </w:r>
    </w:p>
    <w:p w14:paraId="163C330B" w14:textId="20666B66" w:rsidR="00E4217E" w:rsidRPr="00AE0058" w:rsidRDefault="00310DAC" w:rsidP="00310DAC">
      <w:pPr>
        <w:pStyle w:val="Text"/>
      </w:pPr>
      <w:r>
        <w:t xml:space="preserve">Afin de remplir les obligations de fourniture envers Eurostat et d'assurer une subdivision uniforme des domaines environnementaux dans toutes les statistiques environnementales conformément aux articles 11 et 12 UStatG, le domaine environnemental politiquement significatif de la protection du climat est également différencié selon les sous-domaines «substances actives pour le climat», «énergies renouvelables» et «efficacité énergétique» dans le cadre des statistiques sur les dépenses courantes de protection de l'environnement (article 11, paragraphe 1, phrase 1, point 2 UStatG).</w:t>
      </w:r>
    </w:p>
    <w:p w14:paraId="1AD5D661" w14:textId="49E7DD60" w:rsidR="00E00E7B" w:rsidRPr="00AE0058" w:rsidRDefault="00E00E7B" w:rsidP="00E00E7B">
      <w:pPr>
        <w:pStyle w:val="Text"/>
      </w:pPr>
      <w:r>
        <w:t xml:space="preserve">Les statistiques sur les investissements pour la protection de l'environnement (article 11, paragraphe 1, phrase 1, point 1 UStatG) sont réalisées sans aucune restriction quant au nombre d'unités d'enquête.</w:t>
      </w:r>
      <w:r>
        <w:t xml:space="preserve"> </w:t>
      </w:r>
      <w:r>
        <w:t xml:space="preserve">L'amendement garantit que des données fiables peuvent être fournies pour l'Allemagne pour le secteur manufacturier hors construction pour les comptes économiques environnementaux européens (règlement (UE) n° 691/2011, module EPEA remplaçant le règlement (CE) n° 295/2008).</w:t>
      </w:r>
      <w:r>
        <w:t xml:space="preserve"> </w:t>
      </w:r>
      <w:r>
        <w:t xml:space="preserve">En raison des mesures de politique environnementale et énergétique de l'UE et de l'Allemagne, par exemple la mise en place d'une économie sans CO2 d'ici 2050, mais aussi en raison des considérations économiques des entreprises qui investissent dans la protection de l'environnement, il faut s'attendre à ce que le nombre de cas, qui avoisine déjà les 10 000, continue d'augmenter.</w:t>
      </w:r>
      <w:r>
        <w:t xml:space="preserve"> </w:t>
      </w:r>
      <w:r>
        <w:t xml:space="preserve">Étant donné qu'il n'existe pas de procédure scientifiquement fondée pour sélectionner les rapports de manière à respecter la limite supérieure et que les critères de stratification font défaut pour une éventuelle alternative à la procédure d'échantillonnage, la limite supérieure devra être supprimée de la loi sur les statistiques environnementales pour des raisons méthodologiques.</w:t>
      </w:r>
    </w:p>
    <w:p w14:paraId="188E10BF" w14:textId="77777777" w:rsidR="00E00E7B" w:rsidRPr="00AE0058" w:rsidRDefault="00E00E7B" w:rsidP="00E00E7B">
      <w:pPr>
        <w:pStyle w:val="Text"/>
      </w:pPr>
      <w:r>
        <w:t xml:space="preserve">Un autre changement concerne la constitution du périmètre de déclaration pour les statistiques sur les biens et services destinés à la protection de l'environnement (article 12 UStatG).</w:t>
      </w:r>
      <w:r>
        <w:t xml:space="preserve"> </w:t>
      </w:r>
      <w:r>
        <w:t xml:space="preserve">Le seuil dans le secteur des services est ajusté à la base des données:</w:t>
      </w:r>
      <w:r>
        <w:t xml:space="preserve"> </w:t>
      </w:r>
      <w:r>
        <w:t xml:space="preserve">Étant donné que seules les données sur le chiffre d'affaires au niveau des entreprises sont disponibles pour le secteur des services, le seuil se réfère aux entreprises dont le chiffre d'affaires total est d'au moins un million d'euros.</w:t>
      </w:r>
      <w:r>
        <w:t xml:space="preserve"> </w:t>
      </w:r>
      <w:r>
        <w:t xml:space="preserve">La modification garantit une définition claire du seuil et donc une compilation précise du périmètre de déclaration.</w:t>
      </w:r>
    </w:p>
    <w:p w14:paraId="1D252A22" w14:textId="77777777" w:rsidR="00E00E7B" w:rsidRPr="00AE0058" w:rsidRDefault="00E00E7B" w:rsidP="00E00E7B">
      <w:pPr>
        <w:pStyle w:val="Text"/>
      </w:pPr>
      <w:r>
        <w:t xml:space="preserve">D'autres modifications concernant les statistiques sur les articles 11 et 12 de l'UStatG sont de nature rédactionnelle.</w:t>
      </w:r>
    </w:p>
    <w:p w14:paraId="1174C90F" w14:textId="0FAEE5B4" w:rsidR="004705E2" w:rsidRPr="00AE0058" w:rsidRDefault="004705E2">
      <w:pPr>
        <w:pStyle w:val="berschriftrmischBegrndung"/>
      </w:pPr>
      <w:r>
        <w:t xml:space="preserve">Alternatives</w:t>
      </w:r>
    </w:p>
    <w:p w14:paraId="43AEE582" w14:textId="5C681484" w:rsidR="00486F92" w:rsidRPr="00AE0058" w:rsidRDefault="00486F92" w:rsidP="00486F92">
      <w:pPr>
        <w:pStyle w:val="Text"/>
      </w:pPr>
      <w:r>
        <w:t xml:space="preserve">aucun</w:t>
      </w:r>
    </w:p>
    <w:p w14:paraId="0C59087F" w14:textId="0E3D3E1A" w:rsidR="004705E2" w:rsidRPr="00AE0058" w:rsidRDefault="004705E2">
      <w:pPr>
        <w:pStyle w:val="berschriftrmischBegrndung"/>
      </w:pPr>
      <w:r>
        <w:t xml:space="preserve">Compétence législative</w:t>
      </w:r>
    </w:p>
    <w:p w14:paraId="5E8423DD" w14:textId="35BB12F1" w:rsidR="00486F92" w:rsidRPr="00AE0058" w:rsidRDefault="00486F92" w:rsidP="00486F92">
      <w:pPr>
        <w:pStyle w:val="Text"/>
      </w:pPr>
      <w:r>
        <w:t xml:space="preserve">La compétence législative exclusive de l’État fédéral concernant la loi UStatG découle de l’article 73, paragraphe 1, point 11, de la Loi fondamentale.</w:t>
      </w:r>
    </w:p>
    <w:p w14:paraId="10E34836" w14:textId="249BBA8A" w:rsidR="004705E2" w:rsidRPr="00AE0058" w:rsidRDefault="004705E2">
      <w:pPr>
        <w:pStyle w:val="berschriftrmischBegrndung"/>
      </w:pPr>
      <w:r>
        <w:t xml:space="preserve">Compatibilité avec la législation de l’Union européenne et les traités internationaux</w:t>
      </w:r>
    </w:p>
    <w:p w14:paraId="055003B9" w14:textId="5835B4ED" w:rsidR="00486F92" w:rsidRPr="00AE0058" w:rsidRDefault="00486F92" w:rsidP="00486F92">
      <w:pPr>
        <w:pStyle w:val="Text"/>
      </w:pPr>
      <w:r>
        <w:t xml:space="preserve">Le projet de loi est compatible avec le droit de l'Union européenne et avec les traités internationaux.</w:t>
      </w:r>
    </w:p>
    <w:p w14:paraId="4CF7416D" w14:textId="77777777" w:rsidR="004705E2" w:rsidRPr="00AE0058" w:rsidRDefault="004705E2">
      <w:pPr>
        <w:pStyle w:val="berschriftrmischBegrndung"/>
      </w:pPr>
      <w:r>
        <w:t xml:space="preserve">Impact de la loi</w:t>
      </w:r>
    </w:p>
    <w:p w14:paraId="04D3DA3C" w14:textId="77777777" w:rsidR="004705E2" w:rsidRPr="00AE0058" w:rsidRDefault="004705E2">
      <w:pPr>
        <w:pStyle w:val="berschriftarabischBegrndung"/>
      </w:pPr>
      <w:r>
        <w:t xml:space="preserve">Simplification législative et administrative</w:t>
      </w:r>
    </w:p>
    <w:p w14:paraId="023649BA" w14:textId="0D175527" w:rsidR="004705E2" w:rsidRPr="00AE0058" w:rsidRDefault="00FA1FE1" w:rsidP="009B400F">
      <w:pPr>
        <w:pStyle w:val="Text"/>
        <w:keepNext/>
        <w:rPr>
          <w:b/>
        </w:rPr>
      </w:pPr>
      <w:r>
        <w:rPr>
          <w:b/>
        </w:rPr>
        <w:t xml:space="preserve">Statistiques sur la gestion de l'eau et les substances ayant un impact sur le climat</w:t>
      </w:r>
    </w:p>
    <w:p w14:paraId="6BD06B6C" w14:textId="65DB5F7B" w:rsidR="00D83627" w:rsidRPr="00AE0058" w:rsidRDefault="00D54C52" w:rsidP="009B400F">
      <w:pPr>
        <w:pStyle w:val="Text"/>
        <w:keepNext/>
        <w:rPr>
          <w:b/>
        </w:rPr>
      </w:pPr>
      <w:r>
        <w:rPr>
          <w:b/>
        </w:rPr>
        <w:t xml:space="preserve">Statistiques économiques et environnementales</w:t>
      </w:r>
    </w:p>
    <w:p w14:paraId="2BEAF08A" w14:textId="65CAF39E" w:rsidR="00D54C52" w:rsidRPr="00AE0058" w:rsidRDefault="00D54C52">
      <w:pPr>
        <w:pStyle w:val="Text"/>
      </w:pPr>
      <w:r>
        <w:t xml:space="preserve">La formulation plus souple pour la prise en compte de nouvelles mesures environnementales dans le cadre des statistiques économiques de l'environnement garantit une simplification juridique de telle sorte qu'aucune adaptation de la loi UStatG n'est nécessaire si les priorités politiques changent.</w:t>
      </w:r>
      <w:r>
        <w:t xml:space="preserve"> </w:t>
      </w:r>
      <w:r>
        <w:t xml:space="preserve">Dans le même temps, les utilisateurs, y compris les décideurs politiques et les administrations publiques, recevront des données plus précises et, dans un souci de flexibilité, plus à jour sur l'évolution des priorités politiques dans le domaine de la protection de l'environnement.</w:t>
      </w:r>
    </w:p>
    <w:p w14:paraId="77B717E5" w14:textId="77777777" w:rsidR="004705E2" w:rsidRPr="00AE0058" w:rsidRDefault="004705E2">
      <w:pPr>
        <w:pStyle w:val="berschriftarabischBegrndung"/>
      </w:pPr>
      <w:r>
        <w:t xml:space="preserve">Aspects relatifs à la durabilité</w:t>
      </w:r>
    </w:p>
    <w:p w14:paraId="74882A12" w14:textId="428856AC" w:rsidR="00360398" w:rsidRPr="00AE0058" w:rsidRDefault="00360398" w:rsidP="00360398">
      <w:pPr>
        <w:pStyle w:val="Text"/>
      </w:pPr>
      <w:r>
        <w:t xml:space="preserve">Le projet de loi est conforme aux principes directeurs du gouvernement fédéral en matière de développement durable dans le sens de la stratégie de gestion durable.</w:t>
      </w:r>
      <w:r>
        <w:t xml:space="preserve"> </w:t>
      </w:r>
      <w:r>
        <w:t xml:space="preserve">La protection préventive des eaux souterraines, de surface ou côtières contre les effets néfastes, par exemple en limitant les apports de substances dangereuses pour l'eau dans la perspective de la stratégie «zéro émission» du «Green Deal» européen, est l'un des principes centraux d'une politique durable de l'eau.</w:t>
      </w:r>
      <w:r>
        <w:t xml:space="preserve"> </w:t>
      </w:r>
      <w:r>
        <w:t xml:space="preserve">La collecte statistique de données sur l'élimination des boues d'épuration fournit des informations de base essentielles à cet égard.</w:t>
      </w:r>
    </w:p>
    <w:p w14:paraId="461C964B" w14:textId="26C2F21F" w:rsidR="004705E2" w:rsidRPr="00AE0058" w:rsidRDefault="00360398" w:rsidP="00360398">
      <w:pPr>
        <w:pStyle w:val="Text"/>
      </w:pPr>
      <w:r>
        <w:t xml:space="preserve">D'autres aspects de la durabilité ne sont pas concernés par la loi.</w:t>
      </w:r>
    </w:p>
    <w:p w14:paraId="51BE8D97" w14:textId="77777777" w:rsidR="004705E2" w:rsidRPr="00AE0058" w:rsidRDefault="004705E2">
      <w:pPr>
        <w:pStyle w:val="berschriftarabischBegrndung"/>
      </w:pPr>
      <w:r>
        <w:t xml:space="preserve">Dépenses budgétaires sans charge d'exécution</w:t>
      </w:r>
    </w:p>
    <w:p w14:paraId="5223948B" w14:textId="4623CFD3" w:rsidR="0088029F" w:rsidRPr="00AE0058" w:rsidRDefault="0088029F" w:rsidP="0088029F">
      <w:pPr>
        <w:pStyle w:val="Text"/>
      </w:pPr>
      <w:r>
        <w:t xml:space="preserve">Selon un calcul de coût effectué par l'Office statistique fédéral, la transposition du droit communautaire entraîne des dépenses annuelles supplémentaires de 8 postes (3 x E14, 2 x E11, </w:t>
      </w:r>
      <w:r>
        <w:t xml:space="preserve">3 x xE10</w:t>
      </w:r>
      <w:r>
        <w:t xml:space="preserve">) avec des charges d’exécution annuelles de 646 672 euros</w:t>
      </w:r>
      <w:r>
        <w:t xml:space="preserve">.</w:t>
      </w:r>
      <w:r>
        <w:t xml:space="preserve"> </w:t>
      </w:r>
      <w:r>
        <w:t xml:space="preserve">Pour le domaine de l'économie de l'environnement, des coûts matériels annuels supplémentaires de 24 000 euros sont prévus.</w:t>
      </w:r>
      <w:r>
        <w:t xml:space="preserve"> </w:t>
      </w:r>
      <w:r>
        <w:t xml:space="preserve">Le changement juridique entraînera des coûts matériels uniques de 329 908 euros.</w:t>
      </w:r>
    </w:p>
    <w:p w14:paraId="08592BD2" w14:textId="24A698AB" w:rsidR="000B2F65" w:rsidRPr="00AE0058" w:rsidRDefault="0088029F" w:rsidP="0088029F">
      <w:pPr>
        <w:pStyle w:val="Text"/>
      </w:pPr>
      <w:r>
        <w:t xml:space="preserve">Les besoins supplémentaires en ressources matérielles et humaines doivent être compensés financièrement et par poste dans le cadre du plan individuel 06.</w:t>
      </w:r>
      <w:r>
        <w:t xml:space="preserve"> </w:t>
      </w:r>
    </w:p>
    <w:p w14:paraId="31D3BEC3" w14:textId="6D6FBFA3" w:rsidR="004705E2" w:rsidRPr="00AE0058" w:rsidRDefault="00942B1E" w:rsidP="0099569F">
      <w:pPr>
        <w:pStyle w:val="Text"/>
      </w:pPr>
      <w:r>
        <w:t xml:space="preserve">D'</w:t>
      </w:r>
      <w:r>
        <w:t xml:space="preserve">après un calcul </w:t>
      </w:r>
      <w:r>
        <w:t xml:space="preserve">préliminaire des coûts effectué par les offices statistiques des Länder, les coûts annuels supplémentaires s'élèvent à 956 900 euros et les coûts de transposition uniques à 2 351 millions d'euros.</w:t>
      </w:r>
    </w:p>
    <w:p w14:paraId="50A4639A" w14:textId="77777777" w:rsidR="000B2F65" w:rsidRPr="00AE0058" w:rsidRDefault="000B2F65" w:rsidP="00632288">
      <w:pPr>
        <w:pStyle w:val="Heading2"/>
        <w:numPr>
          <w:ilvl w:val="1"/>
          <w:numId w:val="7"/>
        </w:numPr>
        <w:rPr>
          <w:bCs w:val="0"/>
          <w:i w:val="0"/>
          <w:color w:val="000000" w:themeColor="text1"/>
          <w:szCs w:val="22"/>
          <w:rFonts w:eastAsiaTheme="minorHAnsi"/>
        </w:rPr>
      </w:pPr>
      <w:r>
        <w:rPr>
          <w:bCs w:val="0"/>
          <w:i w:val="0"/>
          <w:color w:val="000000" w:themeColor="text1"/>
          <w:szCs w:val="22"/>
        </w:rPr>
        <w:t xml:space="preserve">E.1 Citoyennes et citoyens</w:t>
      </w:r>
    </w:p>
    <w:p w14:paraId="4D8DE622" w14:textId="77777777" w:rsidR="000B2F65" w:rsidRPr="00AE0058" w:rsidRDefault="000B2F65" w:rsidP="000B2F65">
      <w:pPr>
        <w:rPr>
          <w:color w:val="000000" w:themeColor="text1"/>
        </w:rPr>
      </w:pPr>
      <w:r>
        <w:rPr>
          <w:color w:val="000000" w:themeColor="text1"/>
        </w:rPr>
        <w:t xml:space="preserve">Aucune charge d'exécution n'incombe aux citoyens.</w:t>
      </w:r>
    </w:p>
    <w:p w14:paraId="5A85BDFA" w14:textId="77777777" w:rsidR="000B2F65" w:rsidRPr="00AE0058" w:rsidRDefault="000B2F65" w:rsidP="00632288">
      <w:pPr>
        <w:pStyle w:val="Heading2"/>
        <w:numPr>
          <w:ilvl w:val="1"/>
          <w:numId w:val="7"/>
        </w:numPr>
        <w:rPr>
          <w:bCs w:val="0"/>
          <w:i w:val="0"/>
          <w:color w:val="000000" w:themeColor="text1"/>
          <w:szCs w:val="22"/>
          <w:rFonts w:eastAsiaTheme="minorHAnsi"/>
        </w:rPr>
      </w:pPr>
      <w:r>
        <w:rPr>
          <w:bCs w:val="0"/>
          <w:i w:val="0"/>
          <w:color w:val="000000" w:themeColor="text1"/>
          <w:szCs w:val="22"/>
        </w:rPr>
        <w:t xml:space="preserve">E.2 Économie</w:t>
      </w:r>
    </w:p>
    <w:p w14:paraId="7D0374FF" w14:textId="05F35850" w:rsidR="00744EBB" w:rsidRPr="00AE0058" w:rsidRDefault="009B6488" w:rsidP="0004027E">
      <w:r>
        <w:rPr>
          <w:color w:val="000000" w:themeColor="text1"/>
        </w:rPr>
        <w:t xml:space="preserve">Il en résulte des charges d’exécution supplémentaires annuelles pour le secteur économique de l'ordre de 858 000 euros environ.</w:t>
      </w:r>
      <w:r>
        <w:rPr>
          <w:color w:val="000000" w:themeColor="text1"/>
        </w:rPr>
        <w:t xml:space="preserve"> </w:t>
      </w:r>
      <w:r>
        <w:rPr>
          <w:color w:val="000000" w:themeColor="text1"/>
        </w:rPr>
        <w:t xml:space="preserve">Ceux-ci sont entièrement imputables aux coûts administratifs découlant des obligations d'information.</w:t>
      </w:r>
      <w:r>
        <w:rPr>
          <w:color w:val="000000" w:themeColor="text1"/>
        </w:rPr>
        <w:t xml:space="preserve"> </w:t>
      </w:r>
      <w:r>
        <w:t xml:space="preserve">Cette charge est due à la transposition complète de la législation européenne (directive sur les emballages (directive 94/62 CE), directive sur les plastiques à usage unique (directive (UE) 2019/904), directive-cadre sur les déchets (directive 2008/98/CE)) et directive sur la réception portuaire (directive (UE) 2019/883)).</w:t>
      </w:r>
    </w:p>
    <w:p w14:paraId="180B2BF9" w14:textId="1035775E" w:rsidR="00581AB6" w:rsidRPr="00AE0058" w:rsidRDefault="00581AB6" w:rsidP="00581AB6">
      <w:pPr>
        <w:pStyle w:val="Text"/>
        <w:rPr>
          <w:color w:val="000000" w:themeColor="text1"/>
        </w:rPr>
      </w:pPr>
      <w:r>
        <w:t xml:space="preserve">Le projet de loi transpose intégralement les dispositions de l'UE dans le droit national.</w:t>
      </w:r>
      <w:r>
        <w:t xml:space="preserve"> </w:t>
      </w:r>
      <w:r>
        <w:t xml:space="preserve">Par conséquent, aucune application de la règle «one-in, one-out» pour de nouveaux projets de règlement du gouvernement fédéral n’est justifiée (voir décision du cabinet du 25 mars 2015).</w:t>
      </w:r>
    </w:p>
    <w:p w14:paraId="4CA06EFB" w14:textId="77777777" w:rsidR="00581AB6" w:rsidRPr="00AE0058" w:rsidRDefault="00581AB6" w:rsidP="00581AB6">
      <w:r>
        <w:t xml:space="preserve">Conformément à la ligne directrice concernant la prise en compte des intérêts des petites et moyennes entreprises dans l'étude d'impact de la loi (Test PME) du 30 décembre 2015, la possibilité d'un nombre moins élevé de formes de régulation ou de mesures de soutien a été examinée.</w:t>
      </w:r>
      <w:r>
        <w:t xml:space="preserve"> </w:t>
      </w:r>
      <w:r>
        <w:t xml:space="preserve">Lors de la conception du nouvel article 5a, les intérêts des petites et moyennes entreprises (PME) ont été particulièrement pris en compte.</w:t>
      </w:r>
      <w:r>
        <w:t xml:space="preserve"> </w:t>
      </w:r>
      <w:r>
        <w:t xml:space="preserve">De plus, les règles du projet de loi s'appuient principalement sur la structure d'entreprise individuelle et permet aux entités concernées de trouver une solution appropriée à leur entreprise.</w:t>
      </w:r>
    </w:p>
    <w:p w14:paraId="41CE7963" w14:textId="0F5989D7" w:rsidR="00581AB6" w:rsidRPr="00AE0058" w:rsidRDefault="00581AB6" w:rsidP="00581AB6">
      <w:r>
        <w:t xml:space="preserve">Il convient de relever, enfin, qu'à l'article 5a, paragraphe 1 UStatG (refonte), l'enquête sur les emballages avec obligation de participation à un système dépend de l'Office central du registre des emballages.</w:t>
      </w:r>
      <w:r>
        <w:t xml:space="preserve"> </w:t>
      </w:r>
      <w:r>
        <w:t xml:space="preserve">Les acteurs économiques sont de fait significativement soulagés par rapport à la situation juridique actuelle de l'article 5, paragraphe 2.</w:t>
      </w:r>
      <w:r>
        <w:t xml:space="preserve"> </w:t>
      </w:r>
      <w:r>
        <w:t xml:space="preserve">De plus, l'article 5a, paragraphe 2 UStatG (refonte) stipule que l'enquête s'effectue auprès des exploitants de systèmes renouvelables.</w:t>
      </w:r>
      <w:r>
        <w:t xml:space="preserve"> </w:t>
      </w:r>
      <w:r>
        <w:t xml:space="preserve">Ceci a pour objectif de décharger autant que possible les entreprises qui participent à un système renouvelable particulièrement avantageux en termes écologiques en collectant le plus d'informations possibles auprès des exploitants des systèmes groupés.</w:t>
      </w:r>
      <w:r>
        <w:t xml:space="preserve"> </w:t>
      </w:r>
      <w:r>
        <w:t xml:space="preserve">L'enquête au sens de l'article 5a , paragraphes 5, 6 et 7 UStatG (refonte) permet de transposer les obligations de déclaration de l'article 13, paragraphe 1 de la directive sur les plastiques à usage unique 2019/904 et de la directive sur la réception portuaire (UE) 2019/883.</w:t>
      </w:r>
      <w:r>
        <w:t xml:space="preserve"> </w:t>
      </w:r>
      <w:r>
        <w:t xml:space="preserve">Il s'agit principalement des données relatives à la mise sur le marché de produits en plastique à usage unique et des pièges ainsi que des déchets qui en découlent. Afin de soulager les acteurs économiques, l'enquête doit s'appuyer sur les autorités dans la mesure où elles disposent des données requises par la législation européenne.</w:t>
      </w:r>
      <w:r>
        <w:t xml:space="preserve"> </w:t>
      </w:r>
      <w:r>
        <w:t xml:space="preserve">Par ailleurs, la fourniture de données s'enrichit de nouvelles caractéristiques, afin de répondre aux exigences en matière de données et d'obligation de déclaration découlant de la législation européenne.</w:t>
      </w:r>
    </w:p>
    <w:p w14:paraId="29139B84" w14:textId="77777777" w:rsidR="00581AB6" w:rsidRPr="00AE0058" w:rsidRDefault="00581AB6" w:rsidP="00581AB6">
      <w:pPr>
        <w:rPr>
          <w:color w:val="000000" w:themeColor="text1"/>
        </w:rPr>
      </w:pPr>
      <w:r>
        <w:t xml:space="preserve">Les intérêts des petites et moyennes entreprises ont ainsi été suffisamment pris en considération.</w:t>
      </w:r>
    </w:p>
    <w:p w14:paraId="033CC50E" w14:textId="5E3929AF" w:rsidR="00744EBB" w:rsidRPr="00AE0058" w:rsidRDefault="00744EBB" w:rsidP="000B2F65">
      <w:pPr>
        <w:pStyle w:val="Text"/>
        <w:rPr>
          <w:color w:val="000000" w:themeColor="text1"/>
        </w:rPr>
      </w:pPr>
      <w:r>
        <w:rPr>
          <w:color w:val="000000" w:themeColor="text1"/>
        </w:rPr>
        <w:t xml:space="preserve">L'amendement concerne trois domaines statistiques (sur les déchets, sur l'eau et sur l'économie environnementale), divisés en groupes de cas comme suit.</w:t>
      </w:r>
    </w:p>
    <w:p w14:paraId="4D605039" w14:textId="77777777" w:rsidR="00744EBB" w:rsidRPr="00AE0058" w:rsidRDefault="00744EBB" w:rsidP="009B400F">
      <w:pPr>
        <w:pStyle w:val="Text"/>
        <w:keepNext/>
        <w:rPr>
          <w:i/>
          <w:color w:val="000000" w:themeColor="text1"/>
          <w:u w:val="single"/>
          <w:rFonts w:ascii="MetaNormalLF-Roman" w:hAnsi="MetaNormalLF-Roman"/>
        </w:rPr>
      </w:pPr>
      <w:r>
        <w:rPr>
          <w:i/>
          <w:color w:val="000000" w:themeColor="text1"/>
          <w:u w:val="single"/>
          <w:rFonts w:ascii="MetaNormalLF-Roman" w:hAnsi="MetaNormalLF-Roman"/>
        </w:rPr>
        <w:t xml:space="preserve">Groupe de cas A:</w:t>
      </w:r>
      <w:r>
        <w:rPr>
          <w:i/>
          <w:color w:val="000000" w:themeColor="text1"/>
          <w:u w:val="single"/>
          <w:rFonts w:ascii="MetaNormalLF-Roman" w:hAnsi="MetaNormalLF-Roman"/>
        </w:rPr>
        <w:t xml:space="preserve"> </w:t>
      </w:r>
      <w:r>
        <w:rPr>
          <w:i/>
          <w:color w:val="000000" w:themeColor="text1"/>
          <w:u w:val="single"/>
          <w:rFonts w:ascii="MetaNormalLF-Roman" w:hAnsi="MetaNormalLF-Roman"/>
        </w:rPr>
        <w:t xml:space="preserve">Statistiques sur les déchets</w:t>
      </w:r>
    </w:p>
    <w:p w14:paraId="02F28603" w14:textId="4AE89412" w:rsidR="00744EBB" w:rsidRPr="00AE0058" w:rsidRDefault="00744EBB" w:rsidP="00744EBB">
      <w:pPr>
        <w:pStyle w:val="Text"/>
      </w:pPr>
      <w:r>
        <w:t xml:space="preserve">Les modifications des statistiques sur les déchets entrainent une modification de la charge d'exécution annuelle de 806 000 euros</w:t>
      </w:r>
      <w:r>
        <w:rPr>
          <w:color w:val="000000" w:themeColor="text1"/>
        </w:rPr>
        <w:t xml:space="preserve">.</w:t>
      </w:r>
      <w:r>
        <w:rPr>
          <w:color w:val="000000" w:themeColor="text1"/>
        </w:rPr>
        <w:t xml:space="preserve"> </w:t>
      </w:r>
      <w:r>
        <w:t xml:space="preserve">La figure suivante représente le groupe de cas A - Statistiques sur les déchets pour le destinataire Économie en fonction des différentes dispositions.</w:t>
      </w:r>
    </w:p>
    <w:p w14:paraId="2D0BC967" w14:textId="379375B9" w:rsidR="00FB2F0D" w:rsidRPr="00AE0058" w:rsidRDefault="00FB2F0D" w:rsidP="009B400F">
      <w:pPr>
        <w:pStyle w:val="Caption"/>
        <w:keepNext/>
        <w:rPr>
          <w:b/>
          <w:color w:val="000000" w:themeColor="text1"/>
        </w:rPr>
      </w:pPr>
      <w:r>
        <w:rPr>
          <w:b/>
          <w:color w:val="000000" w:themeColor="text1"/>
        </w:rPr>
        <w:t xml:space="preserve">Tableau </w:t>
      </w:r>
      <w:r w:rsidRPr="00AE0058">
        <w:rPr>
          <w:b/>
          <w:color w:val="000000" w:themeColor="text1"/>
        </w:rPr>
        <w:fldChar w:fldCharType="begin" w:dirty="true"/>
      </w:r>
      <w:r w:rsidRPr="00AE0058">
        <w:rPr>
          <w:b/>
          <w:color w:val="000000" w:themeColor="text1"/>
        </w:rPr>
        <w:instrText xml:space="preserve"> SEQ Tabelle \* ARABIC </w:instrText>
      </w:r>
      <w:r w:rsidRPr="00AE0058">
        <w:rPr>
          <w:b/>
          <w:color w:val="000000" w:themeColor="text1"/>
        </w:rPr>
        <w:fldChar w:fldCharType="separate"/>
      </w:r>
      <w:r w:rsidR="00D457FA" w:rsidRPr="00AE0058">
        <w:rPr>
          <w:b/>
          <w:color w:val="000000" w:themeColor="text1"/>
        </w:rPr>
        <w:t>1</w:t>
      </w:r>
      <w:r w:rsidRPr="00AE0058">
        <w:rPr>
          <w:b/>
          <w:color w:val="000000" w:themeColor="text1"/>
        </w:rPr>
        <w:fldChar w:fldCharType="end"/>
      </w:r>
      <w:r>
        <w:rPr>
          <w:b/>
          <w:color w:val="000000" w:themeColor="text1"/>
        </w:rPr>
        <w:t xml:space="preserve"> - Groupe de cas A - Statistiques sur les déchets; charge d'exécution annuelle du secteur économique</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7"/>
        <w:gridCol w:w="832"/>
        <w:gridCol w:w="2037"/>
        <w:gridCol w:w="822"/>
        <w:gridCol w:w="817"/>
        <w:gridCol w:w="825"/>
        <w:gridCol w:w="945"/>
        <w:gridCol w:w="1885"/>
      </w:tblGrid>
      <w:tr w:rsidR="009B48F6" w:rsidRPr="00AE0058" w14:paraId="2CF1334C" w14:textId="77777777" w:rsidTr="006C07FA">
        <w:tc>
          <w:tcPr>
            <w:tcW w:w="292" w:type="pct"/>
            <w:shd w:val="clear" w:color="auto" w:fill="D9D9D9" w:themeFill="background1" w:themeFillShade="D9"/>
            <w:vAlign w:val="center"/>
          </w:tcPr>
          <w:p w14:paraId="0B563168" w14:textId="77777777" w:rsidR="009B48F6" w:rsidRPr="00AE0058" w:rsidRDefault="009B48F6" w:rsidP="009B400F">
            <w:pPr>
              <w:keepNext/>
              <w:rPr>
                <w:b/>
                <w:color w:val="000000" w:themeColor="text1"/>
                <w:sz w:val="16"/>
                <w:szCs w:val="16"/>
              </w:rPr>
            </w:pPr>
          </w:p>
        </w:tc>
        <w:tc>
          <w:tcPr>
            <w:tcW w:w="480" w:type="pct"/>
            <w:shd w:val="clear" w:color="auto" w:fill="D9D9D9" w:themeFill="background1" w:themeFillShade="D9"/>
            <w:vAlign w:val="center"/>
          </w:tcPr>
          <w:p w14:paraId="04B222EC" w14:textId="77777777" w:rsidR="009B48F6" w:rsidRPr="00AE0058" w:rsidRDefault="009B48F6" w:rsidP="009B400F">
            <w:pPr>
              <w:keepNext/>
              <w:rPr>
                <w:b/>
                <w:color w:val="000000" w:themeColor="text1"/>
                <w:sz w:val="16"/>
                <w:szCs w:val="16"/>
              </w:rPr>
            </w:pPr>
          </w:p>
        </w:tc>
        <w:tc>
          <w:tcPr>
            <w:tcW w:w="1175" w:type="pct"/>
            <w:shd w:val="clear" w:color="auto" w:fill="D9D9D9" w:themeFill="background1" w:themeFillShade="D9"/>
            <w:vAlign w:val="center"/>
          </w:tcPr>
          <w:p w14:paraId="40F27DCB" w14:textId="77777777" w:rsidR="009B48F6" w:rsidRPr="00AE0058" w:rsidRDefault="009B48F6" w:rsidP="009B400F">
            <w:pPr>
              <w:keepNext/>
              <w:rPr>
                <w:b/>
                <w:color w:val="000000" w:themeColor="text1"/>
                <w:sz w:val="16"/>
                <w:szCs w:val="16"/>
              </w:rPr>
            </w:pPr>
          </w:p>
        </w:tc>
        <w:tc>
          <w:tcPr>
            <w:tcW w:w="945" w:type="pct"/>
            <w:gridSpan w:val="2"/>
            <w:shd w:val="clear" w:color="auto" w:fill="D9D9D9" w:themeFill="background1" w:themeFillShade="D9"/>
            <w:vAlign w:val="center"/>
          </w:tcPr>
          <w:p w14:paraId="31D0A838" w14:textId="34FF3A4A" w:rsidR="009B48F6" w:rsidRPr="00AE0058" w:rsidRDefault="009B48F6" w:rsidP="009B400F">
            <w:pPr>
              <w:keepNext/>
              <w:rPr>
                <w:b/>
                <w:color w:val="000000" w:themeColor="text1"/>
                <w:sz w:val="16"/>
                <w:szCs w:val="16"/>
              </w:rPr>
            </w:pPr>
            <w:r>
              <w:rPr>
                <w:b/>
                <w:color w:val="000000" w:themeColor="text1"/>
                <w:sz w:val="16"/>
                <w:szCs w:val="16"/>
              </w:rPr>
              <w:t xml:space="preserve">Supplément de charge annuel (en milliers</w:t>
            </w:r>
            <w:r>
              <w:rPr>
                <w:b/>
                <w:color w:val="000000" w:themeColor="text1"/>
                <w:sz w:val="16"/>
                <w:szCs w:val="16"/>
              </w:rPr>
              <w:t xml:space="preserve"> </w:t>
            </w:r>
            <w:r>
              <w:rPr>
                <w:b/>
                <w:color w:val="000000" w:themeColor="text1"/>
                <w:sz w:val="16"/>
                <w:szCs w:val="16"/>
              </w:rPr>
              <w:t xml:space="preserve">d’euros)</w:t>
            </w:r>
          </w:p>
        </w:tc>
        <w:tc>
          <w:tcPr>
            <w:tcW w:w="1021" w:type="pct"/>
            <w:gridSpan w:val="2"/>
            <w:tcBorders>
              <w:right w:val="single" w:sz="12" w:space="0" w:color="auto"/>
            </w:tcBorders>
            <w:shd w:val="clear" w:color="auto" w:fill="D9D9D9" w:themeFill="background1" w:themeFillShade="D9"/>
            <w:vAlign w:val="center"/>
          </w:tcPr>
          <w:p w14:paraId="2CD22D29" w14:textId="531335BC" w:rsidR="009B48F6" w:rsidRPr="00AE0058" w:rsidRDefault="009B48F6" w:rsidP="009B400F">
            <w:pPr>
              <w:keepNext/>
              <w:rPr>
                <w:b/>
                <w:color w:val="000000" w:themeColor="text1"/>
                <w:sz w:val="16"/>
                <w:szCs w:val="16"/>
              </w:rPr>
            </w:pPr>
            <w:r>
              <w:rPr>
                <w:b/>
                <w:color w:val="000000" w:themeColor="text1"/>
                <w:sz w:val="16"/>
                <w:szCs w:val="16"/>
              </w:rPr>
              <w:t xml:space="preserve">Réduction de charge annuelle (en milliers</w:t>
            </w:r>
            <w:r>
              <w:rPr>
                <w:b/>
                <w:color w:val="000000" w:themeColor="text1"/>
                <w:sz w:val="16"/>
                <w:szCs w:val="16"/>
              </w:rPr>
              <w:t xml:space="preserve"> </w:t>
            </w:r>
            <w:r>
              <w:rPr>
                <w:b/>
                <w:color w:val="000000" w:themeColor="text1"/>
                <w:sz w:val="16"/>
                <w:szCs w:val="16"/>
              </w:rPr>
              <w:t xml:space="preserve">d’euros)</w:t>
            </w:r>
          </w:p>
        </w:tc>
        <w:tc>
          <w:tcPr>
            <w:tcW w:w="1087" w:type="pct"/>
            <w:tcBorders>
              <w:left w:val="single" w:sz="12" w:space="0" w:color="auto"/>
            </w:tcBorders>
            <w:shd w:val="clear" w:color="auto" w:fill="D9D9D9" w:themeFill="background1" w:themeFillShade="D9"/>
            <w:vAlign w:val="center"/>
          </w:tcPr>
          <w:p w14:paraId="161B35F2" w14:textId="77777777" w:rsidR="009B48F6" w:rsidRPr="00AE0058" w:rsidRDefault="009B48F6" w:rsidP="009B400F">
            <w:pPr>
              <w:keepNext/>
              <w:rPr>
                <w:b/>
                <w:color w:val="000000" w:themeColor="text1"/>
                <w:sz w:val="16"/>
              </w:rPr>
            </w:pPr>
            <w:r>
              <w:rPr>
                <w:b/>
                <w:color w:val="000000" w:themeColor="text1"/>
                <w:sz w:val="16"/>
                <w:szCs w:val="16"/>
              </w:rPr>
              <w:t xml:space="preserve">Modification</w:t>
            </w:r>
            <w:r>
              <w:rPr>
                <w:b/>
                <w:color w:val="000000" w:themeColor="text1"/>
                <w:sz w:val="16"/>
              </w:rPr>
              <w:t xml:space="preserve"> de la charge d'exécution annuelle</w:t>
            </w:r>
          </w:p>
        </w:tc>
      </w:tr>
      <w:tr w:rsidR="009B48F6" w:rsidRPr="00AE0058" w14:paraId="54ECC48B" w14:textId="77777777" w:rsidTr="006C07FA">
        <w:tc>
          <w:tcPr>
            <w:tcW w:w="292" w:type="pct"/>
            <w:shd w:val="clear" w:color="auto" w:fill="D9D9D9" w:themeFill="background1" w:themeFillShade="D9"/>
            <w:vAlign w:val="center"/>
          </w:tcPr>
          <w:p w14:paraId="3C49AECB" w14:textId="77777777" w:rsidR="009B48F6" w:rsidRPr="00AE0058" w:rsidRDefault="009B48F6" w:rsidP="009B400F">
            <w:pPr>
              <w:keepNext/>
              <w:rPr>
                <w:b/>
                <w:color w:val="000000" w:themeColor="text1"/>
                <w:sz w:val="16"/>
                <w:szCs w:val="16"/>
              </w:rPr>
            </w:pPr>
            <w:r>
              <w:rPr>
                <w:b/>
                <w:color w:val="000000" w:themeColor="text1"/>
                <w:sz w:val="16"/>
                <w:szCs w:val="16"/>
              </w:rPr>
              <w:t xml:space="preserve">Disposition</w:t>
            </w:r>
          </w:p>
        </w:tc>
        <w:tc>
          <w:tcPr>
            <w:tcW w:w="480" w:type="pct"/>
            <w:shd w:val="clear" w:color="auto" w:fill="D9D9D9" w:themeFill="background1" w:themeFillShade="D9"/>
            <w:vAlign w:val="center"/>
          </w:tcPr>
          <w:p w14:paraId="71C386D2" w14:textId="77777777" w:rsidR="009B48F6" w:rsidRPr="00AE0058" w:rsidRDefault="009B48F6" w:rsidP="009B400F">
            <w:pPr>
              <w:keepNext/>
              <w:rPr>
                <w:b/>
                <w:color w:val="000000" w:themeColor="text1"/>
                <w:sz w:val="16"/>
                <w:szCs w:val="16"/>
              </w:rPr>
            </w:pPr>
            <w:r>
              <w:rPr>
                <w:b/>
                <w:color w:val="000000" w:themeColor="text1"/>
                <w:sz w:val="16"/>
                <w:szCs w:val="16"/>
              </w:rPr>
              <w:t xml:space="preserve">Paragraphe</w:t>
            </w:r>
          </w:p>
        </w:tc>
        <w:tc>
          <w:tcPr>
            <w:tcW w:w="1175" w:type="pct"/>
            <w:shd w:val="clear" w:color="auto" w:fill="D9D9D9" w:themeFill="background1" w:themeFillShade="D9"/>
            <w:vAlign w:val="center"/>
          </w:tcPr>
          <w:p w14:paraId="751827C3" w14:textId="77777777" w:rsidR="009B48F6" w:rsidRPr="00AE0058" w:rsidRDefault="009B48F6" w:rsidP="009B400F">
            <w:pPr>
              <w:keepNext/>
              <w:rPr>
                <w:b/>
                <w:color w:val="000000" w:themeColor="text1"/>
                <w:sz w:val="16"/>
                <w:szCs w:val="16"/>
              </w:rPr>
            </w:pPr>
            <w:r>
              <w:rPr>
                <w:b/>
                <w:color w:val="000000" w:themeColor="text1"/>
                <w:sz w:val="16"/>
                <w:szCs w:val="16"/>
              </w:rPr>
              <w:t xml:space="preserve">Désignation de la disposition</w:t>
            </w:r>
          </w:p>
        </w:tc>
        <w:tc>
          <w:tcPr>
            <w:tcW w:w="474" w:type="pct"/>
            <w:shd w:val="clear" w:color="auto" w:fill="D9D9D9" w:themeFill="background1" w:themeFillShade="D9"/>
            <w:vAlign w:val="center"/>
          </w:tcPr>
          <w:p w14:paraId="3ABA5F3F" w14:textId="77777777" w:rsidR="009B48F6" w:rsidRPr="00AE0058" w:rsidRDefault="009B48F6" w:rsidP="009B400F">
            <w:pPr>
              <w:keepNext/>
              <w:rPr>
                <w:b/>
                <w:color w:val="000000" w:themeColor="text1"/>
                <w:sz w:val="16"/>
                <w:szCs w:val="16"/>
              </w:rPr>
            </w:pPr>
            <w:r>
              <w:rPr>
                <w:b/>
                <w:color w:val="000000" w:themeColor="text1"/>
                <w:sz w:val="16"/>
                <w:szCs w:val="16"/>
              </w:rPr>
              <w:t xml:space="preserve">Frais de personnel</w:t>
            </w:r>
          </w:p>
        </w:tc>
        <w:tc>
          <w:tcPr>
            <w:tcW w:w="471" w:type="pct"/>
            <w:shd w:val="clear" w:color="auto" w:fill="D9D9D9" w:themeFill="background1" w:themeFillShade="D9"/>
            <w:vAlign w:val="center"/>
          </w:tcPr>
          <w:p w14:paraId="1AE4D406" w14:textId="77777777" w:rsidR="009B48F6" w:rsidRPr="00AE0058" w:rsidRDefault="009B48F6" w:rsidP="009B400F">
            <w:pPr>
              <w:keepNext/>
              <w:rPr>
                <w:b/>
                <w:color w:val="000000" w:themeColor="text1"/>
                <w:sz w:val="16"/>
                <w:szCs w:val="16"/>
              </w:rPr>
            </w:pPr>
            <w:r>
              <w:rPr>
                <w:b/>
                <w:color w:val="000000" w:themeColor="text1"/>
                <w:sz w:val="16"/>
                <w:szCs w:val="16"/>
              </w:rPr>
              <w:t xml:space="preserve">Dépenses de matériel</w:t>
            </w:r>
          </w:p>
        </w:tc>
        <w:tc>
          <w:tcPr>
            <w:tcW w:w="476" w:type="pct"/>
            <w:shd w:val="clear" w:color="auto" w:fill="D9D9D9" w:themeFill="background1" w:themeFillShade="D9"/>
            <w:vAlign w:val="center"/>
          </w:tcPr>
          <w:p w14:paraId="57A69F61" w14:textId="77777777" w:rsidR="009B48F6" w:rsidRPr="00AE0058" w:rsidRDefault="009B48F6" w:rsidP="009B400F">
            <w:pPr>
              <w:keepNext/>
              <w:rPr>
                <w:b/>
                <w:color w:val="000000" w:themeColor="text1"/>
                <w:sz w:val="16"/>
                <w:szCs w:val="16"/>
              </w:rPr>
            </w:pPr>
            <w:r>
              <w:rPr>
                <w:b/>
                <w:color w:val="000000" w:themeColor="text1"/>
                <w:sz w:val="16"/>
                <w:szCs w:val="16"/>
              </w:rPr>
              <w:t xml:space="preserve">Frais de personnel</w:t>
            </w:r>
          </w:p>
        </w:tc>
        <w:tc>
          <w:tcPr>
            <w:tcW w:w="545" w:type="pct"/>
            <w:tcBorders>
              <w:right w:val="single" w:sz="12" w:space="0" w:color="auto"/>
            </w:tcBorders>
            <w:shd w:val="clear" w:color="auto" w:fill="D9D9D9" w:themeFill="background1" w:themeFillShade="D9"/>
            <w:vAlign w:val="center"/>
          </w:tcPr>
          <w:p w14:paraId="2E3D24BB" w14:textId="77777777" w:rsidR="009B48F6" w:rsidRPr="00AE0058" w:rsidRDefault="009B48F6" w:rsidP="009B400F">
            <w:pPr>
              <w:keepNext/>
              <w:rPr>
                <w:b/>
                <w:color w:val="000000" w:themeColor="text1"/>
                <w:sz w:val="16"/>
                <w:szCs w:val="16"/>
              </w:rPr>
            </w:pPr>
            <w:r>
              <w:rPr>
                <w:b/>
                <w:color w:val="000000" w:themeColor="text1"/>
                <w:sz w:val="16"/>
                <w:szCs w:val="16"/>
              </w:rPr>
              <w:t xml:space="preserve">Dépenses de matériel</w:t>
            </w:r>
          </w:p>
        </w:tc>
        <w:tc>
          <w:tcPr>
            <w:tcW w:w="1087" w:type="pct"/>
            <w:tcBorders>
              <w:left w:val="single" w:sz="12" w:space="0" w:color="auto"/>
            </w:tcBorders>
            <w:shd w:val="clear" w:color="auto" w:fill="D9D9D9" w:themeFill="background1" w:themeFillShade="D9"/>
            <w:vAlign w:val="center"/>
          </w:tcPr>
          <w:p w14:paraId="7AB6E143" w14:textId="77777777" w:rsidR="009B48F6" w:rsidRPr="00AE0058" w:rsidRDefault="009B48F6" w:rsidP="009B400F">
            <w:pPr>
              <w:keepNext/>
              <w:rPr>
                <w:b/>
                <w:color w:val="000000" w:themeColor="text1"/>
                <w:sz w:val="16"/>
                <w:szCs w:val="16"/>
              </w:rPr>
            </w:pPr>
            <w:r>
              <w:rPr>
                <w:b/>
                <w:color w:val="000000" w:themeColor="text1"/>
                <w:sz w:val="16"/>
                <w:szCs w:val="16"/>
              </w:rPr>
              <w:t xml:space="preserve">Dépenses totales</w:t>
            </w:r>
          </w:p>
        </w:tc>
      </w:tr>
      <w:tr w:rsidR="009B48F6" w:rsidRPr="00AE0058" w14:paraId="013B27CE" w14:textId="77777777" w:rsidTr="006C07FA">
        <w:tc>
          <w:tcPr>
            <w:tcW w:w="292" w:type="pct"/>
            <w:shd w:val="clear" w:color="auto" w:fill="D9D9D9" w:themeFill="background1" w:themeFillShade="D9"/>
            <w:vAlign w:val="center"/>
          </w:tcPr>
          <w:p w14:paraId="1A3CF66B" w14:textId="77777777" w:rsidR="009B48F6" w:rsidRPr="00AE0058" w:rsidRDefault="009B48F6" w:rsidP="009B400F">
            <w:pPr>
              <w:keepNext/>
              <w:rPr>
                <w:b/>
                <w:color w:val="000000" w:themeColor="text1"/>
                <w:sz w:val="16"/>
                <w:szCs w:val="16"/>
              </w:rPr>
            </w:pPr>
          </w:p>
        </w:tc>
        <w:tc>
          <w:tcPr>
            <w:tcW w:w="480" w:type="pct"/>
            <w:shd w:val="clear" w:color="auto" w:fill="D9D9D9" w:themeFill="background1" w:themeFillShade="D9"/>
            <w:vAlign w:val="center"/>
          </w:tcPr>
          <w:p w14:paraId="2FC62C42" w14:textId="77777777" w:rsidR="009B48F6" w:rsidRPr="00AE0058" w:rsidRDefault="009B48F6" w:rsidP="009B400F">
            <w:pPr>
              <w:keepNext/>
              <w:rPr>
                <w:b/>
                <w:color w:val="000000" w:themeColor="text1"/>
                <w:sz w:val="16"/>
                <w:szCs w:val="16"/>
              </w:rPr>
            </w:pPr>
          </w:p>
        </w:tc>
        <w:tc>
          <w:tcPr>
            <w:tcW w:w="1175" w:type="pct"/>
            <w:shd w:val="clear" w:color="auto" w:fill="D9D9D9" w:themeFill="background1" w:themeFillShade="D9"/>
            <w:vAlign w:val="center"/>
          </w:tcPr>
          <w:p w14:paraId="609C9B18" w14:textId="77777777" w:rsidR="009B48F6" w:rsidRPr="00AE0058" w:rsidRDefault="009B48F6" w:rsidP="009B400F">
            <w:pPr>
              <w:keepNext/>
              <w:rPr>
                <w:b/>
                <w:color w:val="000000" w:themeColor="text1"/>
                <w:sz w:val="16"/>
                <w:szCs w:val="16"/>
              </w:rPr>
            </w:pPr>
          </w:p>
        </w:tc>
        <w:tc>
          <w:tcPr>
            <w:tcW w:w="3053" w:type="pct"/>
            <w:gridSpan w:val="5"/>
            <w:shd w:val="clear" w:color="auto" w:fill="D9D9D9" w:themeFill="background1" w:themeFillShade="D9"/>
            <w:vAlign w:val="center"/>
          </w:tcPr>
          <w:p w14:paraId="72F6CD9E" w14:textId="77777777" w:rsidR="009B48F6" w:rsidRPr="00AE0058" w:rsidRDefault="009B48F6" w:rsidP="009B400F">
            <w:pPr>
              <w:keepNext/>
              <w:jc w:val="center"/>
              <w:rPr>
                <w:b/>
                <w:color w:val="000000" w:themeColor="text1"/>
                <w:sz w:val="16"/>
              </w:rPr>
            </w:pPr>
            <w:r>
              <w:rPr>
                <w:b/>
                <w:color w:val="000000" w:themeColor="text1"/>
                <w:sz w:val="16"/>
                <w:szCs w:val="16"/>
              </w:rPr>
              <w:t xml:space="preserve">en milliers</w:t>
            </w:r>
            <w:r>
              <w:rPr>
                <w:b/>
                <w:color w:val="000000" w:themeColor="text1"/>
                <w:sz w:val="16"/>
                <w:szCs w:val="16"/>
              </w:rPr>
              <w:t xml:space="preserve"> </w:t>
            </w:r>
            <w:r>
              <w:rPr>
                <w:b/>
                <w:color w:val="000000" w:themeColor="text1"/>
                <w:sz w:val="16"/>
              </w:rPr>
              <w:t xml:space="preserve">d’euros</w:t>
            </w:r>
          </w:p>
        </w:tc>
      </w:tr>
      <w:tr w:rsidR="009B48F6" w:rsidRPr="00AE0058" w14:paraId="328A22E9" w14:textId="77777777" w:rsidTr="006C07FA">
        <w:tc>
          <w:tcPr>
            <w:tcW w:w="292" w:type="pct"/>
            <w:vAlign w:val="center"/>
          </w:tcPr>
          <w:p w14:paraId="5572B19F" w14:textId="77777777" w:rsidR="009B48F6" w:rsidRPr="00AE0058" w:rsidRDefault="009B48F6" w:rsidP="005354E9">
            <w:pPr>
              <w:rPr>
                <w:color w:val="000000" w:themeColor="text1"/>
                <w:sz w:val="16"/>
                <w:szCs w:val="16"/>
              </w:rPr>
            </w:pPr>
            <w:r>
              <w:rPr>
                <w:color w:val="000000" w:themeColor="text1"/>
                <w:sz w:val="16"/>
                <w:szCs w:val="16"/>
              </w:rPr>
              <w:t xml:space="preserve">1</w:t>
            </w:r>
          </w:p>
        </w:tc>
        <w:tc>
          <w:tcPr>
            <w:tcW w:w="480" w:type="pct"/>
            <w:vAlign w:val="center"/>
          </w:tcPr>
          <w:p w14:paraId="2C150BE9" w14:textId="77777777" w:rsidR="009B48F6" w:rsidRPr="00AE0058" w:rsidRDefault="009B48F6" w:rsidP="005354E9">
            <w:pPr>
              <w:rPr>
                <w:color w:val="000000" w:themeColor="text1"/>
                <w:sz w:val="16"/>
                <w:szCs w:val="16"/>
              </w:rPr>
            </w:pPr>
            <w:r>
              <w:rPr>
                <w:color w:val="000000" w:themeColor="text1"/>
                <w:sz w:val="16"/>
                <w:szCs w:val="16"/>
              </w:rPr>
              <w:t xml:space="preserve">Article 5, paragraphe 2 UStatG</w:t>
            </w:r>
          </w:p>
        </w:tc>
        <w:tc>
          <w:tcPr>
            <w:tcW w:w="1175" w:type="pct"/>
            <w:vAlign w:val="center"/>
          </w:tcPr>
          <w:p w14:paraId="3E76C535" w14:textId="77777777" w:rsidR="009B48F6" w:rsidRPr="00AE0058" w:rsidRDefault="009B48F6" w:rsidP="005354E9">
            <w:pPr>
              <w:rPr>
                <w:color w:val="000000" w:themeColor="text1"/>
                <w:sz w:val="16"/>
                <w:szCs w:val="16"/>
              </w:rPr>
            </w:pPr>
            <w:r>
              <w:rPr>
                <w:color w:val="000000" w:themeColor="text1"/>
                <w:sz w:val="16"/>
                <w:szCs w:val="16"/>
              </w:rPr>
              <w:t xml:space="preserve">Enquête sur la collecte des emballages de transport et des emballages secondaires</w:t>
            </w:r>
          </w:p>
        </w:tc>
        <w:tc>
          <w:tcPr>
            <w:tcW w:w="474" w:type="pct"/>
            <w:vAlign w:val="center"/>
          </w:tcPr>
          <w:p w14:paraId="6D785ABE"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471" w:type="pct"/>
            <w:vAlign w:val="center"/>
          </w:tcPr>
          <w:p w14:paraId="3D3E18B8"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476" w:type="pct"/>
            <w:vAlign w:val="center"/>
          </w:tcPr>
          <w:p w14:paraId="124721B0" w14:textId="77777777" w:rsidR="009B48F6" w:rsidRPr="00AE0058" w:rsidRDefault="009B48F6" w:rsidP="005354E9">
            <w:pPr>
              <w:jc w:val="right"/>
              <w:rPr>
                <w:color w:val="000000" w:themeColor="text1"/>
                <w:sz w:val="16"/>
                <w:szCs w:val="16"/>
              </w:rPr>
            </w:pPr>
            <w:r>
              <w:rPr>
                <w:color w:val="000000" w:themeColor="text1"/>
                <w:sz w:val="16"/>
                <w:szCs w:val="16"/>
              </w:rPr>
              <w:t xml:space="preserve">61</w:t>
            </w:r>
          </w:p>
        </w:tc>
        <w:tc>
          <w:tcPr>
            <w:tcW w:w="545" w:type="pct"/>
            <w:tcBorders>
              <w:right w:val="single" w:sz="12" w:space="0" w:color="auto"/>
            </w:tcBorders>
            <w:vAlign w:val="center"/>
          </w:tcPr>
          <w:p w14:paraId="4DE4246B"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1087" w:type="pct"/>
            <w:tcBorders>
              <w:left w:val="single" w:sz="12" w:space="0" w:color="auto"/>
            </w:tcBorders>
            <w:vAlign w:val="center"/>
          </w:tcPr>
          <w:p w14:paraId="445601A6" w14:textId="77777777" w:rsidR="009B48F6" w:rsidRPr="00AE0058" w:rsidRDefault="009B48F6" w:rsidP="005354E9">
            <w:pPr>
              <w:jc w:val="right"/>
              <w:rPr>
                <w:color w:val="000000" w:themeColor="text1"/>
                <w:sz w:val="16"/>
                <w:szCs w:val="16"/>
              </w:rPr>
            </w:pPr>
            <w:r>
              <w:rPr>
                <w:color w:val="000000" w:themeColor="text1"/>
                <w:sz w:val="16"/>
                <w:szCs w:val="16"/>
              </w:rPr>
              <w:t xml:space="preserve">-61</w:t>
            </w:r>
          </w:p>
        </w:tc>
      </w:tr>
      <w:tr w:rsidR="009B48F6" w:rsidRPr="00AE0058" w14:paraId="56293AC8" w14:textId="77777777" w:rsidTr="006C07FA">
        <w:tc>
          <w:tcPr>
            <w:tcW w:w="292" w:type="pct"/>
            <w:vAlign w:val="center"/>
          </w:tcPr>
          <w:p w14:paraId="786A03CE" w14:textId="77777777" w:rsidR="009B48F6" w:rsidRPr="00AE0058" w:rsidRDefault="009B48F6" w:rsidP="005354E9">
            <w:pPr>
              <w:rPr>
                <w:color w:val="000000" w:themeColor="text1"/>
                <w:sz w:val="16"/>
                <w:szCs w:val="16"/>
              </w:rPr>
            </w:pPr>
            <w:r>
              <w:rPr>
                <w:color w:val="000000" w:themeColor="text1"/>
                <w:sz w:val="16"/>
                <w:szCs w:val="16"/>
              </w:rPr>
              <w:t xml:space="preserve">2</w:t>
            </w:r>
          </w:p>
        </w:tc>
        <w:tc>
          <w:tcPr>
            <w:tcW w:w="480" w:type="pct"/>
            <w:vAlign w:val="center"/>
          </w:tcPr>
          <w:p w14:paraId="1620FAC3" w14:textId="77777777" w:rsidR="009B48F6" w:rsidRPr="00AE0058" w:rsidRDefault="009B48F6" w:rsidP="005354E9">
            <w:pPr>
              <w:rPr>
                <w:color w:val="000000" w:themeColor="text1"/>
                <w:sz w:val="16"/>
                <w:szCs w:val="16"/>
              </w:rPr>
            </w:pPr>
            <w:r>
              <w:rPr>
                <w:color w:val="000000" w:themeColor="text1"/>
                <w:sz w:val="16"/>
                <w:szCs w:val="16"/>
              </w:rPr>
              <w:t xml:space="preserve">Article 5a, paragraphe 2 UStatG</w:t>
            </w:r>
          </w:p>
        </w:tc>
        <w:tc>
          <w:tcPr>
            <w:tcW w:w="1175" w:type="pct"/>
            <w:vAlign w:val="center"/>
          </w:tcPr>
          <w:p w14:paraId="0A40C750" w14:textId="77777777" w:rsidR="009B48F6" w:rsidRPr="00AE0058" w:rsidRDefault="009B48F6" w:rsidP="005354E9">
            <w:pPr>
              <w:rPr>
                <w:color w:val="000000" w:themeColor="text1"/>
                <w:sz w:val="16"/>
                <w:szCs w:val="16"/>
              </w:rPr>
            </w:pPr>
            <w:r>
              <w:rPr>
                <w:color w:val="000000" w:themeColor="text1"/>
                <w:sz w:val="16"/>
                <w:szCs w:val="16"/>
              </w:rPr>
              <w:t xml:space="preserve">Enquête sur la mise sur le marché et l'élimination de certains produits - personnes physiques ou morales ou sociétés de personnes</w:t>
            </w:r>
          </w:p>
        </w:tc>
        <w:tc>
          <w:tcPr>
            <w:tcW w:w="474" w:type="pct"/>
            <w:vAlign w:val="center"/>
          </w:tcPr>
          <w:p w14:paraId="722AEB93" w14:textId="77777777" w:rsidR="009B48F6" w:rsidRPr="00AE0058" w:rsidRDefault="009B48F6" w:rsidP="005354E9">
            <w:pPr>
              <w:jc w:val="right"/>
              <w:rPr>
                <w:color w:val="000000" w:themeColor="text1"/>
                <w:sz w:val="16"/>
                <w:szCs w:val="16"/>
              </w:rPr>
            </w:pPr>
            <w:r>
              <w:rPr>
                <w:color w:val="000000" w:themeColor="text1"/>
                <w:sz w:val="16"/>
                <w:szCs w:val="16"/>
              </w:rPr>
              <w:t xml:space="preserve">35</w:t>
            </w:r>
          </w:p>
        </w:tc>
        <w:tc>
          <w:tcPr>
            <w:tcW w:w="471" w:type="pct"/>
            <w:vAlign w:val="center"/>
          </w:tcPr>
          <w:p w14:paraId="739C6A59"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476" w:type="pct"/>
            <w:vAlign w:val="center"/>
          </w:tcPr>
          <w:p w14:paraId="52A8D397"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545" w:type="pct"/>
            <w:tcBorders>
              <w:right w:val="single" w:sz="12" w:space="0" w:color="auto"/>
            </w:tcBorders>
            <w:vAlign w:val="center"/>
          </w:tcPr>
          <w:p w14:paraId="31CA1A0E"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1087" w:type="pct"/>
            <w:tcBorders>
              <w:left w:val="single" w:sz="12" w:space="0" w:color="auto"/>
            </w:tcBorders>
            <w:vAlign w:val="center"/>
          </w:tcPr>
          <w:p w14:paraId="31564887" w14:textId="77777777" w:rsidR="009B48F6" w:rsidRPr="00AE0058" w:rsidRDefault="009B48F6" w:rsidP="005354E9">
            <w:pPr>
              <w:jc w:val="right"/>
              <w:rPr>
                <w:color w:val="000000" w:themeColor="text1"/>
                <w:sz w:val="16"/>
                <w:szCs w:val="16"/>
              </w:rPr>
            </w:pPr>
            <w:r>
              <w:rPr>
                <w:color w:val="000000" w:themeColor="text1"/>
                <w:sz w:val="16"/>
                <w:szCs w:val="16"/>
              </w:rPr>
              <w:t xml:space="preserve">35</w:t>
            </w:r>
          </w:p>
        </w:tc>
      </w:tr>
      <w:tr w:rsidR="009B48F6" w:rsidRPr="00AE0058" w14:paraId="42EA0D5C" w14:textId="77777777" w:rsidTr="006C07FA">
        <w:tc>
          <w:tcPr>
            <w:tcW w:w="292" w:type="pct"/>
            <w:vAlign w:val="center"/>
          </w:tcPr>
          <w:p w14:paraId="06C0FF66" w14:textId="77777777" w:rsidR="009B48F6" w:rsidRPr="00AE0058" w:rsidRDefault="009B48F6" w:rsidP="005354E9">
            <w:pPr>
              <w:rPr>
                <w:color w:val="000000" w:themeColor="text1"/>
                <w:sz w:val="16"/>
                <w:szCs w:val="16"/>
              </w:rPr>
            </w:pPr>
            <w:r>
              <w:rPr>
                <w:color w:val="000000" w:themeColor="text1"/>
                <w:sz w:val="16"/>
                <w:szCs w:val="16"/>
              </w:rPr>
              <w:t xml:space="preserve">3</w:t>
            </w:r>
          </w:p>
        </w:tc>
        <w:tc>
          <w:tcPr>
            <w:tcW w:w="480" w:type="pct"/>
            <w:vAlign w:val="center"/>
          </w:tcPr>
          <w:p w14:paraId="35129F62" w14:textId="77777777" w:rsidR="009B48F6" w:rsidRPr="00AE0058" w:rsidRDefault="009B48F6" w:rsidP="005354E9">
            <w:pPr>
              <w:rPr>
                <w:color w:val="000000" w:themeColor="text1"/>
                <w:sz w:val="16"/>
                <w:szCs w:val="16"/>
              </w:rPr>
            </w:pPr>
            <w:r>
              <w:rPr>
                <w:color w:val="000000" w:themeColor="text1"/>
                <w:sz w:val="16"/>
                <w:szCs w:val="16"/>
              </w:rPr>
              <w:t xml:space="preserve">Article 5a, paragraphe 3 UStatG</w:t>
            </w:r>
          </w:p>
        </w:tc>
        <w:tc>
          <w:tcPr>
            <w:tcW w:w="1175" w:type="pct"/>
            <w:vAlign w:val="center"/>
          </w:tcPr>
          <w:p w14:paraId="132662E0" w14:textId="1BBD46C0" w:rsidR="009B48F6" w:rsidRPr="00AE0058" w:rsidRDefault="009B48F6" w:rsidP="005354E9">
            <w:pPr>
              <w:rPr>
                <w:color w:val="000000" w:themeColor="text1"/>
                <w:sz w:val="16"/>
                <w:szCs w:val="16"/>
              </w:rPr>
            </w:pPr>
            <w:r>
              <w:rPr>
                <w:color w:val="000000" w:themeColor="text1"/>
                <w:sz w:val="16"/>
                <w:szCs w:val="16"/>
              </w:rPr>
              <w:t xml:space="preserve">Enquête sur la mise sur le marché et l'élimination de certains produits - Fabricants</w:t>
            </w:r>
          </w:p>
        </w:tc>
        <w:tc>
          <w:tcPr>
            <w:tcW w:w="474" w:type="pct"/>
            <w:vAlign w:val="center"/>
          </w:tcPr>
          <w:p w14:paraId="42ABF8DA" w14:textId="6D380B6A" w:rsidR="009B48F6" w:rsidRPr="00AE0058" w:rsidRDefault="00D241FE" w:rsidP="005354E9">
            <w:pPr>
              <w:jc w:val="right"/>
              <w:rPr>
                <w:color w:val="000000" w:themeColor="text1"/>
                <w:sz w:val="16"/>
                <w:szCs w:val="16"/>
              </w:rPr>
            </w:pPr>
            <w:r>
              <w:rPr>
                <w:color w:val="000000" w:themeColor="text1"/>
                <w:sz w:val="16"/>
                <w:szCs w:val="16"/>
              </w:rPr>
              <w:t xml:space="preserve">770</w:t>
            </w:r>
          </w:p>
        </w:tc>
        <w:tc>
          <w:tcPr>
            <w:tcW w:w="471" w:type="pct"/>
            <w:vAlign w:val="center"/>
          </w:tcPr>
          <w:p w14:paraId="5A7695FD"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476" w:type="pct"/>
            <w:vAlign w:val="center"/>
          </w:tcPr>
          <w:p w14:paraId="1265001A"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545" w:type="pct"/>
            <w:tcBorders>
              <w:right w:val="single" w:sz="12" w:space="0" w:color="auto"/>
            </w:tcBorders>
            <w:vAlign w:val="center"/>
          </w:tcPr>
          <w:p w14:paraId="47C19C38"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1087" w:type="pct"/>
            <w:tcBorders>
              <w:left w:val="single" w:sz="12" w:space="0" w:color="auto"/>
            </w:tcBorders>
            <w:vAlign w:val="center"/>
          </w:tcPr>
          <w:p w14:paraId="6992E1B7" w14:textId="0081C46D" w:rsidR="009B48F6" w:rsidRPr="00AE0058" w:rsidRDefault="00D241FE" w:rsidP="005354E9">
            <w:pPr>
              <w:jc w:val="right"/>
              <w:rPr>
                <w:color w:val="000000" w:themeColor="text1"/>
                <w:sz w:val="16"/>
                <w:szCs w:val="16"/>
              </w:rPr>
            </w:pPr>
            <w:r>
              <w:rPr>
                <w:color w:val="000000" w:themeColor="text1"/>
                <w:sz w:val="16"/>
                <w:szCs w:val="16"/>
              </w:rPr>
              <w:t xml:space="preserve">770</w:t>
            </w:r>
          </w:p>
        </w:tc>
      </w:tr>
      <w:tr w:rsidR="009B48F6" w:rsidRPr="00AE0058" w14:paraId="017F949B" w14:textId="77777777" w:rsidTr="006C07FA">
        <w:tc>
          <w:tcPr>
            <w:tcW w:w="292" w:type="pct"/>
            <w:vAlign w:val="center"/>
          </w:tcPr>
          <w:p w14:paraId="280F6122" w14:textId="77777777" w:rsidR="009B48F6" w:rsidRPr="00AE0058" w:rsidRDefault="009B48F6" w:rsidP="005354E9">
            <w:pPr>
              <w:rPr>
                <w:color w:val="000000" w:themeColor="text1"/>
                <w:sz w:val="16"/>
                <w:szCs w:val="16"/>
              </w:rPr>
            </w:pPr>
            <w:r>
              <w:rPr>
                <w:color w:val="000000" w:themeColor="text1"/>
                <w:sz w:val="16"/>
                <w:szCs w:val="16"/>
              </w:rPr>
              <w:t xml:space="preserve">4</w:t>
            </w:r>
          </w:p>
        </w:tc>
        <w:tc>
          <w:tcPr>
            <w:tcW w:w="480" w:type="pct"/>
            <w:vAlign w:val="center"/>
          </w:tcPr>
          <w:p w14:paraId="710E1F9A" w14:textId="77777777" w:rsidR="009B48F6" w:rsidRPr="00AE0058" w:rsidRDefault="009B48F6" w:rsidP="005354E9">
            <w:pPr>
              <w:rPr>
                <w:color w:val="000000" w:themeColor="text1"/>
                <w:sz w:val="16"/>
                <w:szCs w:val="16"/>
              </w:rPr>
            </w:pPr>
            <w:r>
              <w:rPr>
                <w:color w:val="000000" w:themeColor="text1"/>
                <w:sz w:val="16"/>
                <w:szCs w:val="16"/>
              </w:rPr>
              <w:t xml:space="preserve">Article 5a, paragraphe 4 UStatG</w:t>
            </w:r>
          </w:p>
        </w:tc>
        <w:tc>
          <w:tcPr>
            <w:tcW w:w="1175" w:type="pct"/>
            <w:vAlign w:val="center"/>
          </w:tcPr>
          <w:p w14:paraId="2427BE3E" w14:textId="35F71ADA" w:rsidR="009B48F6" w:rsidRPr="00AE0058" w:rsidRDefault="00DA3B5A" w:rsidP="005354E9">
            <w:pPr>
              <w:rPr>
                <w:color w:val="000000" w:themeColor="text1"/>
                <w:sz w:val="16"/>
                <w:szCs w:val="16"/>
              </w:rPr>
            </w:pPr>
            <w:r>
              <w:rPr>
                <w:color w:val="000000" w:themeColor="text1"/>
                <w:sz w:val="16"/>
                <w:szCs w:val="16"/>
              </w:rPr>
              <w:t xml:space="preserve">Enquête sur la mise sur le marché et l'élimination de certains produits - entreprises mettant sur le marché pour la première fois des sacs en plastique très légers</w:t>
            </w:r>
          </w:p>
        </w:tc>
        <w:tc>
          <w:tcPr>
            <w:tcW w:w="474" w:type="pct"/>
            <w:vAlign w:val="center"/>
          </w:tcPr>
          <w:p w14:paraId="23BA0520" w14:textId="69784BF3" w:rsidR="009B48F6" w:rsidRPr="00AE0058" w:rsidRDefault="009B6488" w:rsidP="009B6488">
            <w:pPr>
              <w:jc w:val="right"/>
              <w:rPr>
                <w:color w:val="000000" w:themeColor="text1"/>
                <w:sz w:val="16"/>
                <w:szCs w:val="16"/>
              </w:rPr>
            </w:pPr>
            <w:r>
              <w:rPr>
                <w:color w:val="000000" w:themeColor="text1"/>
                <w:sz w:val="16"/>
                <w:szCs w:val="16"/>
              </w:rPr>
              <w:t xml:space="preserve">4</w:t>
            </w:r>
          </w:p>
        </w:tc>
        <w:tc>
          <w:tcPr>
            <w:tcW w:w="471" w:type="pct"/>
            <w:vAlign w:val="center"/>
          </w:tcPr>
          <w:p w14:paraId="326363BC"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476" w:type="pct"/>
            <w:vAlign w:val="center"/>
          </w:tcPr>
          <w:p w14:paraId="29F5E53C"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545" w:type="pct"/>
            <w:tcBorders>
              <w:right w:val="single" w:sz="12" w:space="0" w:color="auto"/>
            </w:tcBorders>
            <w:vAlign w:val="center"/>
          </w:tcPr>
          <w:p w14:paraId="596802A4"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1087" w:type="pct"/>
            <w:tcBorders>
              <w:left w:val="single" w:sz="12" w:space="0" w:color="auto"/>
            </w:tcBorders>
            <w:vAlign w:val="center"/>
          </w:tcPr>
          <w:p w14:paraId="063A313D" w14:textId="40C6F71B" w:rsidR="009B48F6" w:rsidRPr="00AE0058" w:rsidRDefault="009B6488" w:rsidP="009B6488">
            <w:pPr>
              <w:jc w:val="right"/>
              <w:rPr>
                <w:color w:val="000000" w:themeColor="text1"/>
                <w:sz w:val="16"/>
                <w:szCs w:val="16"/>
              </w:rPr>
            </w:pPr>
            <w:r>
              <w:rPr>
                <w:color w:val="000000" w:themeColor="text1"/>
                <w:sz w:val="16"/>
                <w:szCs w:val="16"/>
              </w:rPr>
              <w:t xml:space="preserve">4</w:t>
            </w:r>
          </w:p>
        </w:tc>
      </w:tr>
      <w:tr w:rsidR="009B48F6" w:rsidRPr="00AE0058" w14:paraId="62B5E763" w14:textId="77777777" w:rsidTr="006C07FA">
        <w:tc>
          <w:tcPr>
            <w:tcW w:w="292" w:type="pct"/>
            <w:vAlign w:val="center"/>
          </w:tcPr>
          <w:p w14:paraId="1674AE91" w14:textId="77777777" w:rsidR="009B48F6" w:rsidRPr="00AE0058" w:rsidRDefault="009B48F6" w:rsidP="005354E9">
            <w:pPr>
              <w:rPr>
                <w:color w:val="000000" w:themeColor="text1"/>
                <w:sz w:val="16"/>
                <w:szCs w:val="16"/>
              </w:rPr>
            </w:pPr>
            <w:r>
              <w:rPr>
                <w:color w:val="000000" w:themeColor="text1"/>
                <w:sz w:val="16"/>
                <w:szCs w:val="16"/>
              </w:rPr>
              <w:t xml:space="preserve">5</w:t>
            </w:r>
          </w:p>
        </w:tc>
        <w:tc>
          <w:tcPr>
            <w:tcW w:w="480" w:type="pct"/>
            <w:vAlign w:val="center"/>
          </w:tcPr>
          <w:p w14:paraId="1559A342" w14:textId="77777777" w:rsidR="009B48F6" w:rsidRPr="00AE0058" w:rsidRDefault="009B48F6" w:rsidP="005354E9">
            <w:pPr>
              <w:rPr>
                <w:color w:val="000000" w:themeColor="text1"/>
                <w:sz w:val="16"/>
                <w:szCs w:val="16"/>
              </w:rPr>
            </w:pPr>
            <w:r>
              <w:rPr>
                <w:color w:val="000000" w:themeColor="text1"/>
                <w:sz w:val="16"/>
                <w:szCs w:val="16"/>
              </w:rPr>
              <w:t xml:space="preserve">Article 5a, paragraphe 5 UStatG</w:t>
            </w:r>
          </w:p>
        </w:tc>
        <w:tc>
          <w:tcPr>
            <w:tcW w:w="1175" w:type="pct"/>
            <w:vAlign w:val="center"/>
          </w:tcPr>
          <w:p w14:paraId="2AD8CAE5" w14:textId="77777777" w:rsidR="009B48F6" w:rsidRPr="00AE0058" w:rsidRDefault="009B48F6" w:rsidP="005354E9">
            <w:pPr>
              <w:rPr>
                <w:color w:val="000000" w:themeColor="text1"/>
                <w:sz w:val="16"/>
                <w:szCs w:val="16"/>
              </w:rPr>
            </w:pPr>
            <w:r>
              <w:rPr>
                <w:color w:val="000000" w:themeColor="text1"/>
                <w:sz w:val="16"/>
                <w:szCs w:val="16"/>
              </w:rPr>
              <w:t xml:space="preserve">Enquête sur la mise sur le marché et l'élimination de certains produits</w:t>
            </w:r>
          </w:p>
          <w:p w14:paraId="59EC7FF4" w14:textId="77777777" w:rsidR="009B48F6" w:rsidRPr="00AE0058" w:rsidRDefault="009B48F6" w:rsidP="005354E9">
            <w:pPr>
              <w:rPr>
                <w:color w:val="000000" w:themeColor="text1"/>
                <w:sz w:val="16"/>
              </w:rPr>
            </w:pPr>
            <w:r>
              <w:rPr>
                <w:color w:val="000000" w:themeColor="text1"/>
                <w:sz w:val="16"/>
                <w:szCs w:val="16"/>
              </w:rPr>
              <w:t xml:space="preserve">entreprises mettant sur le marché pour la première fois des produits visant à réduire l'impact de certains produits en matière plastique sur l'environnement</w:t>
            </w:r>
          </w:p>
        </w:tc>
        <w:tc>
          <w:tcPr>
            <w:tcW w:w="474" w:type="pct"/>
            <w:vAlign w:val="center"/>
          </w:tcPr>
          <w:p w14:paraId="60F5A425" w14:textId="77777777" w:rsidR="009B48F6" w:rsidRPr="00AE0058" w:rsidRDefault="009B48F6" w:rsidP="005354E9">
            <w:pPr>
              <w:jc w:val="right"/>
              <w:rPr>
                <w:color w:val="000000" w:themeColor="text1"/>
                <w:sz w:val="16"/>
              </w:rPr>
            </w:pPr>
            <w:r>
              <w:rPr>
                <w:color w:val="000000" w:themeColor="text1"/>
                <w:sz w:val="16"/>
                <w:szCs w:val="16"/>
              </w:rPr>
              <w:t xml:space="preserve">53</w:t>
            </w:r>
          </w:p>
        </w:tc>
        <w:tc>
          <w:tcPr>
            <w:tcW w:w="471" w:type="pct"/>
            <w:vAlign w:val="center"/>
          </w:tcPr>
          <w:p w14:paraId="4AA70232"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476" w:type="pct"/>
            <w:vAlign w:val="center"/>
          </w:tcPr>
          <w:p w14:paraId="040C2171"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545" w:type="pct"/>
            <w:tcBorders>
              <w:right w:val="single" w:sz="12" w:space="0" w:color="auto"/>
            </w:tcBorders>
            <w:vAlign w:val="center"/>
          </w:tcPr>
          <w:p w14:paraId="606BA764" w14:textId="77777777" w:rsidR="009B48F6" w:rsidRPr="00AE0058" w:rsidRDefault="009B48F6" w:rsidP="005354E9">
            <w:pPr>
              <w:jc w:val="right"/>
              <w:rPr>
                <w:color w:val="000000" w:themeColor="text1"/>
                <w:sz w:val="16"/>
                <w:szCs w:val="16"/>
              </w:rPr>
            </w:pPr>
            <w:r>
              <w:rPr>
                <w:color w:val="000000" w:themeColor="text1"/>
                <w:sz w:val="16"/>
                <w:szCs w:val="16"/>
              </w:rPr>
              <w:t xml:space="preserve">-</w:t>
            </w:r>
          </w:p>
        </w:tc>
        <w:tc>
          <w:tcPr>
            <w:tcW w:w="1087" w:type="pct"/>
            <w:tcBorders>
              <w:left w:val="single" w:sz="12" w:space="0" w:color="auto"/>
            </w:tcBorders>
            <w:vAlign w:val="center"/>
          </w:tcPr>
          <w:p w14:paraId="1D01A223" w14:textId="77777777" w:rsidR="009B48F6" w:rsidRPr="00AE0058" w:rsidRDefault="009B48F6" w:rsidP="005354E9">
            <w:pPr>
              <w:jc w:val="right"/>
              <w:rPr>
                <w:color w:val="000000" w:themeColor="text1"/>
                <w:sz w:val="16"/>
                <w:szCs w:val="16"/>
              </w:rPr>
            </w:pPr>
            <w:r>
              <w:rPr>
                <w:color w:val="000000" w:themeColor="text1"/>
                <w:sz w:val="16"/>
                <w:szCs w:val="16"/>
              </w:rPr>
              <w:t xml:space="preserve">53</w:t>
            </w:r>
          </w:p>
        </w:tc>
      </w:tr>
      <w:tr w:rsidR="009B6488" w:rsidRPr="00AE0058" w14:paraId="72AE3F51" w14:textId="77777777" w:rsidTr="006C07FA">
        <w:tc>
          <w:tcPr>
            <w:tcW w:w="292" w:type="pct"/>
            <w:vAlign w:val="center"/>
          </w:tcPr>
          <w:p w14:paraId="7639F947" w14:textId="12DB64DE" w:rsidR="009B6488" w:rsidRPr="00AE0058" w:rsidRDefault="009B6488" w:rsidP="009B6488">
            <w:pPr>
              <w:rPr>
                <w:color w:val="000000" w:themeColor="text1"/>
                <w:sz w:val="16"/>
                <w:szCs w:val="16"/>
              </w:rPr>
            </w:pPr>
            <w:r>
              <w:rPr>
                <w:color w:val="000000" w:themeColor="text1"/>
                <w:sz w:val="16"/>
                <w:szCs w:val="16"/>
              </w:rPr>
              <w:t xml:space="preserve">6</w:t>
            </w:r>
          </w:p>
        </w:tc>
        <w:tc>
          <w:tcPr>
            <w:tcW w:w="480" w:type="pct"/>
            <w:vAlign w:val="center"/>
          </w:tcPr>
          <w:p w14:paraId="291D1567" w14:textId="05B9659B" w:rsidR="009B6488" w:rsidRPr="00AE0058" w:rsidRDefault="009B6488" w:rsidP="009B6488">
            <w:pPr>
              <w:rPr>
                <w:color w:val="000000" w:themeColor="text1"/>
                <w:sz w:val="16"/>
                <w:szCs w:val="16"/>
              </w:rPr>
            </w:pPr>
            <w:r>
              <w:rPr>
                <w:color w:val="000000" w:themeColor="text1"/>
                <w:sz w:val="16"/>
                <w:szCs w:val="16"/>
              </w:rPr>
              <w:t xml:space="preserve">Article 5a, paragraphe 7 UStatG</w:t>
            </w:r>
          </w:p>
        </w:tc>
        <w:tc>
          <w:tcPr>
            <w:tcW w:w="1175" w:type="pct"/>
            <w:vAlign w:val="center"/>
          </w:tcPr>
          <w:p w14:paraId="5BCAC697" w14:textId="347B8D54" w:rsidR="009B6488" w:rsidRPr="00AE0058" w:rsidRDefault="009B6488" w:rsidP="009B6488">
            <w:pPr>
              <w:rPr>
                <w:color w:val="000000" w:themeColor="text1"/>
                <w:sz w:val="16"/>
                <w:szCs w:val="16"/>
              </w:rPr>
            </w:pPr>
            <w:r>
              <w:rPr>
                <w:color w:val="000000" w:themeColor="text1"/>
                <w:sz w:val="16"/>
                <w:szCs w:val="16"/>
              </w:rPr>
              <w:t xml:space="preserve">Enquête sur la mise sur le marché et l'élimination de certains produits - entreprises, entités et organismes de droit public responsables de la collecte et de l'élimination des déchets de la pêche passive</w:t>
            </w:r>
          </w:p>
        </w:tc>
        <w:tc>
          <w:tcPr>
            <w:tcW w:w="474" w:type="pct"/>
            <w:vAlign w:val="center"/>
          </w:tcPr>
          <w:p w14:paraId="0D317536" w14:textId="02E994D4" w:rsidR="009B6488" w:rsidRPr="00AE0058" w:rsidRDefault="009B6488" w:rsidP="009B6488">
            <w:pPr>
              <w:jc w:val="right"/>
              <w:rPr>
                <w:color w:val="000000" w:themeColor="text1"/>
                <w:sz w:val="16"/>
                <w:szCs w:val="16"/>
              </w:rPr>
            </w:pPr>
            <w:r>
              <w:rPr>
                <w:color w:val="000000" w:themeColor="text1"/>
                <w:sz w:val="16"/>
                <w:szCs w:val="16"/>
              </w:rPr>
              <w:t xml:space="preserve">2</w:t>
            </w:r>
          </w:p>
        </w:tc>
        <w:tc>
          <w:tcPr>
            <w:tcW w:w="471" w:type="pct"/>
            <w:vAlign w:val="center"/>
          </w:tcPr>
          <w:p w14:paraId="3D6A50BD" w14:textId="55FF3D2A" w:rsidR="009B6488" w:rsidRPr="00AE0058" w:rsidRDefault="009B6488" w:rsidP="009B6488">
            <w:pPr>
              <w:jc w:val="right"/>
              <w:rPr>
                <w:color w:val="000000" w:themeColor="text1"/>
                <w:sz w:val="16"/>
                <w:szCs w:val="16"/>
              </w:rPr>
            </w:pPr>
            <w:r>
              <w:rPr>
                <w:color w:val="000000" w:themeColor="text1"/>
                <w:sz w:val="16"/>
                <w:szCs w:val="16"/>
              </w:rPr>
              <w:t xml:space="preserve">-</w:t>
            </w:r>
          </w:p>
        </w:tc>
        <w:tc>
          <w:tcPr>
            <w:tcW w:w="476" w:type="pct"/>
            <w:vAlign w:val="center"/>
          </w:tcPr>
          <w:p w14:paraId="32A83E60" w14:textId="3BDA5E49" w:rsidR="009B6488" w:rsidRPr="00AE0058" w:rsidRDefault="009B6488" w:rsidP="009B6488">
            <w:pPr>
              <w:jc w:val="right"/>
              <w:rPr>
                <w:color w:val="000000" w:themeColor="text1"/>
                <w:sz w:val="16"/>
                <w:szCs w:val="16"/>
              </w:rPr>
            </w:pPr>
            <w:r>
              <w:rPr>
                <w:color w:val="000000" w:themeColor="text1"/>
                <w:sz w:val="16"/>
                <w:szCs w:val="16"/>
              </w:rPr>
              <w:t xml:space="preserve">-</w:t>
            </w:r>
          </w:p>
        </w:tc>
        <w:tc>
          <w:tcPr>
            <w:tcW w:w="545" w:type="pct"/>
            <w:tcBorders>
              <w:right w:val="single" w:sz="12" w:space="0" w:color="auto"/>
            </w:tcBorders>
            <w:vAlign w:val="center"/>
          </w:tcPr>
          <w:p w14:paraId="7B6DA8EF" w14:textId="435FE1D3" w:rsidR="009B6488" w:rsidRPr="00AE0058" w:rsidRDefault="009B6488" w:rsidP="009B6488">
            <w:pPr>
              <w:jc w:val="right"/>
              <w:rPr>
                <w:color w:val="000000" w:themeColor="text1"/>
                <w:sz w:val="16"/>
                <w:szCs w:val="16"/>
              </w:rPr>
            </w:pPr>
            <w:r>
              <w:rPr>
                <w:color w:val="000000" w:themeColor="text1"/>
                <w:sz w:val="16"/>
                <w:szCs w:val="16"/>
              </w:rPr>
              <w:t xml:space="preserve">-</w:t>
            </w:r>
          </w:p>
        </w:tc>
        <w:tc>
          <w:tcPr>
            <w:tcW w:w="1087" w:type="pct"/>
            <w:tcBorders>
              <w:left w:val="single" w:sz="12" w:space="0" w:color="auto"/>
            </w:tcBorders>
            <w:vAlign w:val="center"/>
          </w:tcPr>
          <w:p w14:paraId="38F6E4A4" w14:textId="5067242F" w:rsidR="009B6488" w:rsidRPr="00AE0058" w:rsidRDefault="009B6488" w:rsidP="009B6488">
            <w:pPr>
              <w:jc w:val="right"/>
              <w:rPr>
                <w:color w:val="000000" w:themeColor="text1"/>
                <w:sz w:val="16"/>
                <w:szCs w:val="16"/>
              </w:rPr>
            </w:pPr>
            <w:r>
              <w:rPr>
                <w:color w:val="000000" w:themeColor="text1"/>
                <w:sz w:val="16"/>
                <w:szCs w:val="16"/>
              </w:rPr>
              <w:t xml:space="preserve">2</w:t>
            </w:r>
          </w:p>
        </w:tc>
      </w:tr>
      <w:tr w:rsidR="009B48F6" w:rsidRPr="00AE0058" w14:paraId="6D9A1F61" w14:textId="77777777" w:rsidTr="006C07FA">
        <w:tc>
          <w:tcPr>
            <w:tcW w:w="1947" w:type="pct"/>
            <w:gridSpan w:val="3"/>
            <w:shd w:val="clear" w:color="auto" w:fill="D9D9D9" w:themeFill="background1" w:themeFillShade="D9"/>
            <w:vAlign w:val="center"/>
          </w:tcPr>
          <w:p w14:paraId="777AB686" w14:textId="77777777" w:rsidR="009B48F6" w:rsidRPr="00AE0058" w:rsidRDefault="009B48F6" w:rsidP="005354E9">
            <w:pPr>
              <w:rPr>
                <w:b/>
                <w:color w:val="000000" w:themeColor="text1"/>
                <w:sz w:val="16"/>
                <w:szCs w:val="16"/>
              </w:rPr>
            </w:pPr>
            <w:r>
              <w:rPr>
                <w:b/>
                <w:color w:val="000000" w:themeColor="text1"/>
                <w:sz w:val="16"/>
                <w:szCs w:val="16"/>
              </w:rPr>
              <w:t xml:space="preserve">Total</w:t>
            </w:r>
          </w:p>
        </w:tc>
        <w:tc>
          <w:tcPr>
            <w:tcW w:w="474" w:type="pct"/>
            <w:shd w:val="clear" w:color="auto" w:fill="D9D9D9" w:themeFill="background1" w:themeFillShade="D9"/>
            <w:vAlign w:val="center"/>
          </w:tcPr>
          <w:p w14:paraId="39B932A8" w14:textId="36EFB58E" w:rsidR="009B48F6" w:rsidRPr="00AE0058" w:rsidRDefault="00C055B1" w:rsidP="005354E9">
            <w:pPr>
              <w:jc w:val="right"/>
              <w:rPr>
                <w:b/>
                <w:bCs/>
                <w:color w:val="000000" w:themeColor="text1"/>
                <w:sz w:val="16"/>
                <w:szCs w:val="16"/>
              </w:rPr>
            </w:pPr>
            <w:r>
              <w:rPr>
                <w:b/>
                <w:bCs/>
                <w:color w:val="000000" w:themeColor="text1"/>
                <w:sz w:val="16"/>
                <w:szCs w:val="16"/>
              </w:rPr>
              <w:t xml:space="preserve">847</w:t>
            </w:r>
          </w:p>
        </w:tc>
        <w:tc>
          <w:tcPr>
            <w:tcW w:w="471" w:type="pct"/>
            <w:shd w:val="clear" w:color="auto" w:fill="D9D9D9" w:themeFill="background1" w:themeFillShade="D9"/>
            <w:vAlign w:val="center"/>
          </w:tcPr>
          <w:p w14:paraId="10D93A2A" w14:textId="77777777" w:rsidR="009B48F6" w:rsidRPr="00AE0058" w:rsidRDefault="009B48F6" w:rsidP="005354E9">
            <w:pPr>
              <w:jc w:val="right"/>
              <w:rPr>
                <w:b/>
                <w:bCs/>
                <w:color w:val="000000" w:themeColor="text1"/>
                <w:sz w:val="16"/>
                <w:szCs w:val="16"/>
              </w:rPr>
            </w:pPr>
            <w:r>
              <w:rPr>
                <w:b/>
                <w:bCs/>
                <w:color w:val="000000" w:themeColor="text1"/>
                <w:sz w:val="16"/>
                <w:szCs w:val="16"/>
              </w:rPr>
              <w:t xml:space="preserve">-</w:t>
            </w:r>
          </w:p>
        </w:tc>
        <w:tc>
          <w:tcPr>
            <w:tcW w:w="476" w:type="pct"/>
            <w:shd w:val="clear" w:color="auto" w:fill="D9D9D9" w:themeFill="background1" w:themeFillShade="D9"/>
            <w:vAlign w:val="center"/>
          </w:tcPr>
          <w:p w14:paraId="78991CA5" w14:textId="77777777" w:rsidR="009B48F6" w:rsidRPr="00AE0058" w:rsidRDefault="009B48F6" w:rsidP="005354E9">
            <w:pPr>
              <w:jc w:val="right"/>
              <w:rPr>
                <w:b/>
                <w:bCs/>
                <w:color w:val="000000" w:themeColor="text1"/>
                <w:sz w:val="16"/>
                <w:szCs w:val="16"/>
              </w:rPr>
            </w:pPr>
            <w:r>
              <w:rPr>
                <w:b/>
                <w:bCs/>
                <w:color w:val="000000" w:themeColor="text1"/>
                <w:sz w:val="16"/>
                <w:szCs w:val="16"/>
              </w:rPr>
              <w:t xml:space="preserve">61</w:t>
            </w:r>
          </w:p>
        </w:tc>
        <w:tc>
          <w:tcPr>
            <w:tcW w:w="545" w:type="pct"/>
            <w:tcBorders>
              <w:right w:val="single" w:sz="12" w:space="0" w:color="auto"/>
            </w:tcBorders>
            <w:shd w:val="clear" w:color="auto" w:fill="D9D9D9" w:themeFill="background1" w:themeFillShade="D9"/>
            <w:vAlign w:val="center"/>
          </w:tcPr>
          <w:p w14:paraId="24ECD968" w14:textId="77777777" w:rsidR="009B48F6" w:rsidRPr="00AE0058" w:rsidRDefault="009B48F6" w:rsidP="005354E9">
            <w:pPr>
              <w:jc w:val="right"/>
              <w:rPr>
                <w:b/>
                <w:bCs/>
                <w:color w:val="000000" w:themeColor="text1"/>
                <w:sz w:val="16"/>
                <w:szCs w:val="16"/>
              </w:rPr>
            </w:pPr>
            <w:r>
              <w:rPr>
                <w:b/>
                <w:bCs/>
                <w:color w:val="000000" w:themeColor="text1"/>
                <w:sz w:val="16"/>
                <w:szCs w:val="16"/>
              </w:rPr>
              <w:t xml:space="preserve">-</w:t>
            </w:r>
          </w:p>
        </w:tc>
        <w:tc>
          <w:tcPr>
            <w:tcW w:w="1087" w:type="pct"/>
            <w:tcBorders>
              <w:left w:val="single" w:sz="12" w:space="0" w:color="auto"/>
            </w:tcBorders>
            <w:shd w:val="clear" w:color="auto" w:fill="D9D9D9" w:themeFill="background1" w:themeFillShade="D9"/>
            <w:vAlign w:val="center"/>
          </w:tcPr>
          <w:p w14:paraId="2D5D412D" w14:textId="5E51D20B" w:rsidR="009B48F6" w:rsidRPr="00AE0058" w:rsidRDefault="00C055B1" w:rsidP="005354E9">
            <w:pPr>
              <w:jc w:val="right"/>
              <w:rPr>
                <w:b/>
                <w:bCs/>
                <w:color w:val="000000" w:themeColor="text1"/>
                <w:sz w:val="16"/>
                <w:szCs w:val="16"/>
              </w:rPr>
            </w:pPr>
            <w:r>
              <w:rPr>
                <w:b/>
                <w:bCs/>
                <w:color w:val="000000" w:themeColor="text1"/>
                <w:sz w:val="16"/>
                <w:szCs w:val="16"/>
              </w:rPr>
              <w:t xml:space="preserve">806</w:t>
            </w:r>
          </w:p>
        </w:tc>
      </w:tr>
    </w:tbl>
    <w:p w14:paraId="3B9438C4" w14:textId="3BC4EF27" w:rsidR="009B6488" w:rsidRPr="00AE0058" w:rsidRDefault="009B6488" w:rsidP="009B6488">
      <w:pPr>
        <w:spacing w:after="0"/>
        <w:rPr>
          <w:rFonts w:ascii="MetaNormalLF-Roman" w:eastAsia="Times New Roman" w:hAnsi="MetaNormalLF-Roman" w:cs="Times New Roman"/>
          <w:b/>
          <w:color w:val="000000" w:themeColor="text1"/>
          <w:sz w:val="20"/>
          <w:lang w:eastAsia="de-DE"/>
        </w:rPr>
      </w:pPr>
    </w:p>
    <w:p w14:paraId="51F42C5B" w14:textId="2A50181B" w:rsidR="00744EBB" w:rsidRPr="00AE0058" w:rsidRDefault="00744EBB" w:rsidP="009B400F">
      <w:pPr>
        <w:pStyle w:val="Text"/>
        <w:keepNext/>
        <w:rPr>
          <w:i/>
          <w:color w:val="000000" w:themeColor="text1"/>
          <w:u w:val="single"/>
          <w:rFonts w:ascii="MetaNormalLF-Roman" w:hAnsi="MetaNormalLF-Roman"/>
        </w:rPr>
      </w:pPr>
      <w:r>
        <w:rPr>
          <w:i/>
          <w:color w:val="000000" w:themeColor="text1"/>
          <w:u w:val="single"/>
          <w:rFonts w:ascii="MetaNormalLF-Roman" w:hAnsi="MetaNormalLF-Roman"/>
        </w:rPr>
        <w:t xml:space="preserve">Groupe de cas B:</w:t>
      </w:r>
      <w:r>
        <w:rPr>
          <w:i/>
          <w:color w:val="000000" w:themeColor="text1"/>
          <w:u w:val="single"/>
          <w:rFonts w:ascii="MetaNormalLF-Roman" w:hAnsi="MetaNormalLF-Roman"/>
        </w:rPr>
        <w:t xml:space="preserve"> </w:t>
      </w:r>
      <w:r>
        <w:rPr>
          <w:i/>
          <w:color w:val="000000" w:themeColor="text1"/>
          <w:u w:val="single"/>
          <w:rFonts w:ascii="MetaNormalLF-Roman" w:hAnsi="MetaNormalLF-Roman"/>
        </w:rPr>
        <w:t xml:space="preserve">Statistiques sur la gestion de l'eau et les substances ayant un impact sur le climat</w:t>
      </w:r>
      <w:r>
        <w:rPr>
          <w:i/>
          <w:color w:val="000000" w:themeColor="text1"/>
          <w:u w:val="single"/>
          <w:rFonts w:ascii="MetaNormalLF-Roman" w:hAnsi="MetaNormalLF-Roman"/>
        </w:rPr>
        <w:t xml:space="preserve"> </w:t>
      </w:r>
    </w:p>
    <w:p w14:paraId="1C6592B8" w14:textId="016BB1CC" w:rsidR="002D10CE" w:rsidRPr="00AE0058" w:rsidRDefault="002D10CE" w:rsidP="002D10CE">
      <w:pPr>
        <w:spacing w:line="360" w:lineRule="auto"/>
        <w:rPr>
          <w:color w:val="000000" w:themeColor="text1"/>
          <w:rFonts w:eastAsia="Times New Roman"/>
        </w:rPr>
      </w:pPr>
      <w:r>
        <w:rPr>
          <w:color w:val="000000" w:themeColor="text1"/>
        </w:rPr>
        <w:t xml:space="preserve">Les modifications des statistiques sur la gestion de l'eau et les substances ayant un impact sur le climat entrainent une modification de la charge d'exécution annuelle de 12 000 euros.</w:t>
      </w:r>
      <w:r>
        <w:rPr>
          <w:color w:val="000000" w:themeColor="text1"/>
        </w:rPr>
        <w:t xml:space="preserve"> </w:t>
      </w:r>
      <w:r>
        <w:rPr>
          <w:color w:val="000000" w:themeColor="text1"/>
        </w:rPr>
        <w:t xml:space="preserve">La figure suivante représente le groupe de cas B - Statistiques sur la gestion de l'eau et les substances ayant un impact sur le climat pour le destinataire Économie en fonction des différentes dispositions.</w:t>
      </w:r>
    </w:p>
    <w:p w14:paraId="0D2C7563" w14:textId="2DCDE6FA" w:rsidR="002D10CE" w:rsidRPr="00AE0058" w:rsidRDefault="002D10CE" w:rsidP="009B400F">
      <w:pPr>
        <w:keepNext/>
        <w:spacing w:after="0"/>
        <w:rPr>
          <w:b/>
          <w:color w:val="000000" w:themeColor="text1"/>
          <w:sz w:val="20"/>
          <w:rFonts w:ascii="MetaNormalLF-Roman" w:eastAsia="Times New Roman" w:hAnsi="MetaNormalLF-Roman" w:cs="Times New Roman"/>
        </w:rPr>
      </w:pPr>
      <w:r>
        <w:rPr>
          <w:b/>
          <w:color w:val="000000" w:themeColor="text1"/>
          <w:sz w:val="20"/>
          <w:rFonts w:ascii="MetaNormalLF-Roman" w:hAnsi="MetaNormalLF-Roman"/>
        </w:rPr>
        <w:t xml:space="preserve">Tableau 2:</w:t>
      </w:r>
      <w:r>
        <w:rPr>
          <w:b/>
          <w:color w:val="000000" w:themeColor="text1"/>
          <w:sz w:val="20"/>
          <w:rFonts w:ascii="MetaNormalLF-Roman" w:hAnsi="MetaNormalLF-Roman"/>
        </w:rPr>
        <w:t xml:space="preserve"> </w:t>
      </w:r>
      <w:r>
        <w:rPr>
          <w:b/>
          <w:color w:val="000000" w:themeColor="text1"/>
          <w:sz w:val="20"/>
          <w:rFonts w:ascii="MetaNormalLF-Roman" w:hAnsi="MetaNormalLF-Roman"/>
        </w:rPr>
        <w:t xml:space="preserve">Groupe de cas B – Statistiques sur la gestion de l'eau et les substances ayant un impact sur le climat; charge d'exécution </w:t>
      </w:r>
      <w:r>
        <w:rPr>
          <w:b/>
          <w:color w:val="000000" w:themeColor="text1"/>
          <w:sz w:val="20"/>
          <w:u w:val="single"/>
          <w:rFonts w:ascii="MetaNormalLF-Roman" w:hAnsi="MetaNormalLF-Roman"/>
        </w:rPr>
        <w:t xml:space="preserve">annuelle</w:t>
      </w:r>
      <w:r>
        <w:rPr>
          <w:b/>
          <w:color w:val="000000" w:themeColor="text1"/>
          <w:sz w:val="20"/>
          <w:rFonts w:ascii="MetaNormalLF-Roman" w:hAnsi="MetaNormalLF-Roman"/>
        </w:rPr>
        <w:t xml:space="preserve"> pour le secteur économique</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7"/>
        <w:gridCol w:w="832"/>
        <w:gridCol w:w="2037"/>
        <w:gridCol w:w="810"/>
        <w:gridCol w:w="12"/>
        <w:gridCol w:w="806"/>
        <w:gridCol w:w="810"/>
        <w:gridCol w:w="16"/>
        <w:gridCol w:w="929"/>
        <w:gridCol w:w="1911"/>
      </w:tblGrid>
      <w:tr w:rsidR="002D10CE" w:rsidRPr="00AE0058" w14:paraId="527C283A" w14:textId="77777777" w:rsidTr="006C07FA">
        <w:tc>
          <w:tcPr>
            <w:tcW w:w="292" w:type="pct"/>
            <w:shd w:val="clear" w:color="auto" w:fill="D9D9D9" w:themeFill="background1" w:themeFillShade="D9"/>
            <w:vAlign w:val="center"/>
          </w:tcPr>
          <w:p w14:paraId="7DA015FA" w14:textId="77777777" w:rsidR="002D10CE" w:rsidRPr="00AE0058" w:rsidRDefault="002D10CE" w:rsidP="009B400F">
            <w:pPr>
              <w:keepNext/>
              <w:rPr>
                <w:b/>
                <w:color w:val="000000" w:themeColor="text1"/>
                <w:sz w:val="16"/>
                <w:szCs w:val="16"/>
              </w:rPr>
            </w:pPr>
          </w:p>
        </w:tc>
        <w:tc>
          <w:tcPr>
            <w:tcW w:w="480" w:type="pct"/>
            <w:shd w:val="clear" w:color="auto" w:fill="D9D9D9" w:themeFill="background1" w:themeFillShade="D9"/>
            <w:vAlign w:val="center"/>
          </w:tcPr>
          <w:p w14:paraId="01780ED0" w14:textId="77777777" w:rsidR="002D10CE" w:rsidRPr="00AE0058" w:rsidRDefault="002D10CE" w:rsidP="009B400F">
            <w:pPr>
              <w:keepNext/>
              <w:rPr>
                <w:b/>
                <w:color w:val="000000" w:themeColor="text1"/>
                <w:sz w:val="16"/>
                <w:szCs w:val="16"/>
              </w:rPr>
            </w:pPr>
          </w:p>
        </w:tc>
        <w:tc>
          <w:tcPr>
            <w:tcW w:w="1175" w:type="pct"/>
            <w:shd w:val="clear" w:color="auto" w:fill="D9D9D9" w:themeFill="background1" w:themeFillShade="D9"/>
            <w:vAlign w:val="center"/>
          </w:tcPr>
          <w:p w14:paraId="75DCDFC1" w14:textId="77777777" w:rsidR="002D10CE" w:rsidRPr="00AE0058" w:rsidRDefault="002D10CE" w:rsidP="009B400F">
            <w:pPr>
              <w:keepNext/>
              <w:rPr>
                <w:b/>
                <w:color w:val="000000" w:themeColor="text1"/>
                <w:sz w:val="16"/>
                <w:szCs w:val="16"/>
              </w:rPr>
            </w:pPr>
          </w:p>
        </w:tc>
        <w:tc>
          <w:tcPr>
            <w:tcW w:w="939" w:type="pct"/>
            <w:gridSpan w:val="3"/>
            <w:shd w:val="clear" w:color="auto" w:fill="D9D9D9" w:themeFill="background1" w:themeFillShade="D9"/>
            <w:vAlign w:val="center"/>
          </w:tcPr>
          <w:p w14:paraId="3580F709" w14:textId="77777777" w:rsidR="002D10CE" w:rsidRPr="00AE0058" w:rsidRDefault="002D10CE" w:rsidP="009B400F">
            <w:pPr>
              <w:keepNext/>
              <w:rPr>
                <w:b/>
                <w:color w:val="000000" w:themeColor="text1"/>
                <w:sz w:val="16"/>
                <w:szCs w:val="16"/>
              </w:rPr>
            </w:pPr>
            <w:r>
              <w:rPr>
                <w:b/>
                <w:color w:val="000000" w:themeColor="text1"/>
                <w:sz w:val="16"/>
                <w:szCs w:val="16"/>
              </w:rPr>
              <w:t xml:space="preserve">Supplément de charge annuel</w:t>
            </w:r>
          </w:p>
        </w:tc>
        <w:tc>
          <w:tcPr>
            <w:tcW w:w="1012" w:type="pct"/>
            <w:gridSpan w:val="3"/>
            <w:tcBorders>
              <w:right w:val="single" w:sz="12" w:space="0" w:color="auto"/>
            </w:tcBorders>
            <w:shd w:val="clear" w:color="auto" w:fill="D9D9D9" w:themeFill="background1" w:themeFillShade="D9"/>
            <w:vAlign w:val="center"/>
          </w:tcPr>
          <w:p w14:paraId="2F91E651" w14:textId="77777777" w:rsidR="002D10CE" w:rsidRPr="00AE0058" w:rsidRDefault="002D10CE" w:rsidP="009B400F">
            <w:pPr>
              <w:keepNext/>
              <w:rPr>
                <w:b/>
                <w:color w:val="000000" w:themeColor="text1"/>
                <w:sz w:val="16"/>
                <w:szCs w:val="16"/>
              </w:rPr>
            </w:pPr>
            <w:r>
              <w:rPr>
                <w:b/>
                <w:color w:val="000000" w:themeColor="text1"/>
                <w:sz w:val="16"/>
                <w:szCs w:val="16"/>
              </w:rPr>
              <w:t xml:space="preserve">Réduction de charge annuelle</w:t>
            </w:r>
          </w:p>
        </w:tc>
        <w:tc>
          <w:tcPr>
            <w:tcW w:w="1102" w:type="pct"/>
            <w:tcBorders>
              <w:left w:val="single" w:sz="12" w:space="0" w:color="auto"/>
            </w:tcBorders>
            <w:shd w:val="clear" w:color="auto" w:fill="D9D9D9" w:themeFill="background1" w:themeFillShade="D9"/>
            <w:vAlign w:val="center"/>
          </w:tcPr>
          <w:p w14:paraId="0B3D874C" w14:textId="77777777" w:rsidR="002D10CE" w:rsidRPr="00AE0058" w:rsidRDefault="002D10CE" w:rsidP="009B400F">
            <w:pPr>
              <w:keepNext/>
              <w:rPr>
                <w:b/>
                <w:color w:val="000000" w:themeColor="text1"/>
                <w:sz w:val="16"/>
                <w:szCs w:val="16"/>
              </w:rPr>
            </w:pPr>
            <w:r>
              <w:rPr>
                <w:b/>
                <w:color w:val="000000" w:themeColor="text1"/>
                <w:sz w:val="16"/>
                <w:szCs w:val="16"/>
              </w:rPr>
              <w:t xml:space="preserve">Modification</w:t>
            </w:r>
            <w:r>
              <w:rPr>
                <w:b/>
                <w:color w:val="000000" w:themeColor="text1"/>
                <w:sz w:val="16"/>
                <w:szCs w:val="16"/>
              </w:rPr>
              <w:t xml:space="preserve"> de la charge d'exécution annuelle</w:t>
            </w:r>
          </w:p>
        </w:tc>
      </w:tr>
      <w:tr w:rsidR="002D10CE" w:rsidRPr="00AE0058" w14:paraId="5F89762E" w14:textId="77777777" w:rsidTr="006C07FA">
        <w:tc>
          <w:tcPr>
            <w:tcW w:w="292" w:type="pct"/>
            <w:shd w:val="clear" w:color="auto" w:fill="D9D9D9" w:themeFill="background1" w:themeFillShade="D9"/>
            <w:vAlign w:val="center"/>
          </w:tcPr>
          <w:p w14:paraId="00202D10" w14:textId="77777777" w:rsidR="002D10CE" w:rsidRPr="00AE0058" w:rsidRDefault="002D10CE" w:rsidP="009B400F">
            <w:pPr>
              <w:keepNext/>
              <w:rPr>
                <w:b/>
                <w:color w:val="000000" w:themeColor="text1"/>
                <w:sz w:val="16"/>
                <w:szCs w:val="16"/>
              </w:rPr>
            </w:pPr>
            <w:r>
              <w:rPr>
                <w:b/>
                <w:color w:val="000000" w:themeColor="text1"/>
                <w:sz w:val="16"/>
                <w:szCs w:val="16"/>
              </w:rPr>
              <w:t xml:space="preserve">Disposition</w:t>
            </w:r>
          </w:p>
        </w:tc>
        <w:tc>
          <w:tcPr>
            <w:tcW w:w="480" w:type="pct"/>
            <w:shd w:val="clear" w:color="auto" w:fill="D9D9D9" w:themeFill="background1" w:themeFillShade="D9"/>
            <w:vAlign w:val="center"/>
          </w:tcPr>
          <w:p w14:paraId="6D6D792E" w14:textId="77777777" w:rsidR="002D10CE" w:rsidRPr="00AE0058" w:rsidRDefault="002D10CE" w:rsidP="009B400F">
            <w:pPr>
              <w:keepNext/>
              <w:rPr>
                <w:b/>
                <w:color w:val="000000" w:themeColor="text1"/>
                <w:sz w:val="16"/>
                <w:szCs w:val="16"/>
              </w:rPr>
            </w:pPr>
            <w:r>
              <w:rPr>
                <w:b/>
                <w:color w:val="000000" w:themeColor="text1"/>
                <w:sz w:val="16"/>
                <w:szCs w:val="16"/>
              </w:rPr>
              <w:t xml:space="preserve">Paragraphe</w:t>
            </w:r>
          </w:p>
        </w:tc>
        <w:tc>
          <w:tcPr>
            <w:tcW w:w="1175" w:type="pct"/>
            <w:shd w:val="clear" w:color="auto" w:fill="D9D9D9" w:themeFill="background1" w:themeFillShade="D9"/>
            <w:vAlign w:val="center"/>
          </w:tcPr>
          <w:p w14:paraId="1BCEC6A9" w14:textId="77777777" w:rsidR="002D10CE" w:rsidRPr="00AE0058" w:rsidRDefault="002D10CE" w:rsidP="009B400F">
            <w:pPr>
              <w:keepNext/>
              <w:rPr>
                <w:b/>
                <w:color w:val="000000" w:themeColor="text1"/>
                <w:sz w:val="16"/>
                <w:szCs w:val="16"/>
              </w:rPr>
            </w:pPr>
            <w:r>
              <w:rPr>
                <w:b/>
                <w:color w:val="000000" w:themeColor="text1"/>
                <w:sz w:val="16"/>
                <w:szCs w:val="16"/>
              </w:rPr>
              <w:t xml:space="preserve">Désignation de la disposition</w:t>
            </w:r>
          </w:p>
        </w:tc>
        <w:tc>
          <w:tcPr>
            <w:tcW w:w="467" w:type="pct"/>
            <w:shd w:val="clear" w:color="auto" w:fill="D9D9D9" w:themeFill="background1" w:themeFillShade="D9"/>
            <w:vAlign w:val="center"/>
          </w:tcPr>
          <w:p w14:paraId="66A8074D" w14:textId="77777777" w:rsidR="002D10CE" w:rsidRPr="00AE0058" w:rsidRDefault="002D10CE" w:rsidP="009B400F">
            <w:pPr>
              <w:keepNext/>
              <w:rPr>
                <w:b/>
                <w:color w:val="000000" w:themeColor="text1"/>
                <w:sz w:val="16"/>
                <w:szCs w:val="16"/>
              </w:rPr>
            </w:pPr>
            <w:r>
              <w:rPr>
                <w:b/>
                <w:color w:val="000000" w:themeColor="text1"/>
                <w:sz w:val="16"/>
                <w:szCs w:val="16"/>
              </w:rPr>
              <w:t xml:space="preserve">Frais de personnel</w:t>
            </w:r>
          </w:p>
        </w:tc>
        <w:tc>
          <w:tcPr>
            <w:tcW w:w="472" w:type="pct"/>
            <w:gridSpan w:val="2"/>
            <w:shd w:val="clear" w:color="auto" w:fill="D9D9D9" w:themeFill="background1" w:themeFillShade="D9"/>
            <w:vAlign w:val="center"/>
          </w:tcPr>
          <w:p w14:paraId="572D00DE" w14:textId="77777777" w:rsidR="002D10CE" w:rsidRPr="00AE0058" w:rsidRDefault="002D10CE" w:rsidP="009B400F">
            <w:pPr>
              <w:keepNext/>
              <w:rPr>
                <w:b/>
                <w:color w:val="000000" w:themeColor="text1"/>
                <w:sz w:val="16"/>
                <w:szCs w:val="16"/>
              </w:rPr>
            </w:pPr>
            <w:r>
              <w:rPr>
                <w:b/>
                <w:color w:val="000000" w:themeColor="text1"/>
                <w:sz w:val="16"/>
                <w:szCs w:val="16"/>
              </w:rPr>
              <w:t xml:space="preserve">Dépenses de matériel</w:t>
            </w:r>
          </w:p>
        </w:tc>
        <w:tc>
          <w:tcPr>
            <w:tcW w:w="467" w:type="pct"/>
            <w:shd w:val="clear" w:color="auto" w:fill="D9D9D9" w:themeFill="background1" w:themeFillShade="D9"/>
            <w:vAlign w:val="center"/>
          </w:tcPr>
          <w:p w14:paraId="74873410" w14:textId="77777777" w:rsidR="002D10CE" w:rsidRPr="00AE0058" w:rsidRDefault="002D10CE" w:rsidP="009B400F">
            <w:pPr>
              <w:keepNext/>
              <w:rPr>
                <w:b/>
                <w:color w:val="000000" w:themeColor="text1"/>
                <w:sz w:val="16"/>
                <w:szCs w:val="16"/>
              </w:rPr>
            </w:pPr>
            <w:r>
              <w:rPr>
                <w:b/>
                <w:color w:val="000000" w:themeColor="text1"/>
                <w:sz w:val="16"/>
                <w:szCs w:val="16"/>
              </w:rPr>
              <w:t xml:space="preserve">Frais de personnel</w:t>
            </w:r>
          </w:p>
        </w:tc>
        <w:tc>
          <w:tcPr>
            <w:tcW w:w="545" w:type="pct"/>
            <w:gridSpan w:val="2"/>
            <w:tcBorders>
              <w:right w:val="single" w:sz="12" w:space="0" w:color="auto"/>
            </w:tcBorders>
            <w:shd w:val="clear" w:color="auto" w:fill="D9D9D9" w:themeFill="background1" w:themeFillShade="D9"/>
            <w:vAlign w:val="center"/>
          </w:tcPr>
          <w:p w14:paraId="01E54DD7" w14:textId="77777777" w:rsidR="002D10CE" w:rsidRPr="00AE0058" w:rsidRDefault="002D10CE" w:rsidP="009B400F">
            <w:pPr>
              <w:keepNext/>
              <w:rPr>
                <w:b/>
                <w:color w:val="000000" w:themeColor="text1"/>
                <w:sz w:val="16"/>
                <w:szCs w:val="16"/>
              </w:rPr>
            </w:pPr>
            <w:r>
              <w:rPr>
                <w:b/>
                <w:color w:val="000000" w:themeColor="text1"/>
                <w:sz w:val="16"/>
                <w:szCs w:val="16"/>
              </w:rPr>
              <w:t xml:space="preserve">Dépenses de matériel</w:t>
            </w:r>
          </w:p>
        </w:tc>
        <w:tc>
          <w:tcPr>
            <w:tcW w:w="1102" w:type="pct"/>
            <w:tcBorders>
              <w:left w:val="single" w:sz="12" w:space="0" w:color="auto"/>
            </w:tcBorders>
            <w:shd w:val="clear" w:color="auto" w:fill="D9D9D9" w:themeFill="background1" w:themeFillShade="D9"/>
            <w:vAlign w:val="center"/>
          </w:tcPr>
          <w:p w14:paraId="54E7E6AE" w14:textId="77777777" w:rsidR="002D10CE" w:rsidRPr="00AE0058" w:rsidRDefault="002D10CE" w:rsidP="009B400F">
            <w:pPr>
              <w:keepNext/>
              <w:rPr>
                <w:b/>
                <w:color w:val="000000" w:themeColor="text1"/>
                <w:sz w:val="16"/>
                <w:szCs w:val="16"/>
              </w:rPr>
            </w:pPr>
            <w:r>
              <w:rPr>
                <w:b/>
                <w:color w:val="000000" w:themeColor="text1"/>
                <w:sz w:val="16"/>
                <w:szCs w:val="16"/>
              </w:rPr>
              <w:t xml:space="preserve">Dépenses totales</w:t>
            </w:r>
          </w:p>
        </w:tc>
      </w:tr>
      <w:tr w:rsidR="002D10CE" w:rsidRPr="00AE0058" w14:paraId="46C77525" w14:textId="77777777" w:rsidTr="006C07FA">
        <w:tc>
          <w:tcPr>
            <w:tcW w:w="292" w:type="pct"/>
            <w:shd w:val="clear" w:color="auto" w:fill="D9D9D9" w:themeFill="background1" w:themeFillShade="D9"/>
            <w:vAlign w:val="center"/>
          </w:tcPr>
          <w:p w14:paraId="3787B2CE" w14:textId="77777777" w:rsidR="002D10CE" w:rsidRPr="00AE0058" w:rsidRDefault="002D10CE" w:rsidP="009B400F">
            <w:pPr>
              <w:keepNext/>
              <w:rPr>
                <w:b/>
                <w:color w:val="000000" w:themeColor="text1"/>
                <w:sz w:val="16"/>
                <w:szCs w:val="16"/>
              </w:rPr>
            </w:pPr>
          </w:p>
        </w:tc>
        <w:tc>
          <w:tcPr>
            <w:tcW w:w="480" w:type="pct"/>
            <w:shd w:val="clear" w:color="auto" w:fill="D9D9D9" w:themeFill="background1" w:themeFillShade="D9"/>
            <w:vAlign w:val="center"/>
          </w:tcPr>
          <w:p w14:paraId="6BE3587B" w14:textId="77777777" w:rsidR="002D10CE" w:rsidRPr="00AE0058" w:rsidRDefault="002D10CE" w:rsidP="009B400F">
            <w:pPr>
              <w:keepNext/>
              <w:rPr>
                <w:b/>
                <w:color w:val="000000" w:themeColor="text1"/>
                <w:sz w:val="16"/>
                <w:szCs w:val="16"/>
              </w:rPr>
            </w:pPr>
          </w:p>
        </w:tc>
        <w:tc>
          <w:tcPr>
            <w:tcW w:w="1175" w:type="pct"/>
            <w:shd w:val="clear" w:color="auto" w:fill="D9D9D9" w:themeFill="background1" w:themeFillShade="D9"/>
            <w:vAlign w:val="center"/>
          </w:tcPr>
          <w:p w14:paraId="0BC66A1D" w14:textId="77777777" w:rsidR="002D10CE" w:rsidRPr="00AE0058" w:rsidRDefault="002D10CE" w:rsidP="009B400F">
            <w:pPr>
              <w:keepNext/>
              <w:rPr>
                <w:b/>
                <w:color w:val="000000" w:themeColor="text1"/>
                <w:sz w:val="16"/>
                <w:szCs w:val="16"/>
              </w:rPr>
            </w:pPr>
          </w:p>
        </w:tc>
        <w:tc>
          <w:tcPr>
            <w:tcW w:w="3053" w:type="pct"/>
            <w:gridSpan w:val="7"/>
            <w:shd w:val="clear" w:color="auto" w:fill="D9D9D9" w:themeFill="background1" w:themeFillShade="D9"/>
            <w:vAlign w:val="center"/>
          </w:tcPr>
          <w:p w14:paraId="55E17EB9" w14:textId="77777777" w:rsidR="002D10CE" w:rsidRPr="00AE0058" w:rsidRDefault="002D10CE" w:rsidP="009B400F">
            <w:pPr>
              <w:keepNext/>
              <w:jc w:val="center"/>
              <w:rPr>
                <w:b/>
                <w:color w:val="000000" w:themeColor="text1"/>
                <w:sz w:val="16"/>
                <w:szCs w:val="16"/>
              </w:rPr>
            </w:pPr>
            <w:r>
              <w:rPr>
                <w:b/>
                <w:color w:val="000000" w:themeColor="text1"/>
                <w:sz w:val="16"/>
                <w:szCs w:val="16"/>
              </w:rPr>
              <w:t xml:space="preserve">en milliers</w:t>
            </w:r>
            <w:r>
              <w:rPr>
                <w:b/>
                <w:color w:val="000000" w:themeColor="text1"/>
                <w:sz w:val="16"/>
                <w:szCs w:val="16"/>
              </w:rPr>
              <w:t xml:space="preserve"> </w:t>
            </w:r>
            <w:r>
              <w:rPr>
                <w:b/>
                <w:color w:val="000000" w:themeColor="text1"/>
                <w:sz w:val="16"/>
                <w:szCs w:val="16"/>
              </w:rPr>
              <w:t xml:space="preserve">d’euros</w:t>
            </w:r>
          </w:p>
        </w:tc>
      </w:tr>
      <w:tr w:rsidR="002D10CE" w:rsidRPr="00AE0058" w14:paraId="69D075D0" w14:textId="77777777" w:rsidTr="006C07FA">
        <w:tc>
          <w:tcPr>
            <w:tcW w:w="292" w:type="pct"/>
            <w:vAlign w:val="center"/>
          </w:tcPr>
          <w:p w14:paraId="6CE5E288" w14:textId="77777777" w:rsidR="002D10CE" w:rsidRPr="00AE0058" w:rsidRDefault="002D10CE" w:rsidP="0004027E">
            <w:pPr>
              <w:rPr>
                <w:color w:val="000000" w:themeColor="text1"/>
                <w:sz w:val="16"/>
                <w:szCs w:val="16"/>
              </w:rPr>
            </w:pPr>
            <w:r>
              <w:rPr>
                <w:color w:val="000000" w:themeColor="text1"/>
                <w:sz w:val="16"/>
                <w:szCs w:val="16"/>
              </w:rPr>
              <w:t xml:space="preserve">7</w:t>
            </w:r>
          </w:p>
        </w:tc>
        <w:tc>
          <w:tcPr>
            <w:tcW w:w="480" w:type="pct"/>
            <w:vAlign w:val="center"/>
          </w:tcPr>
          <w:p w14:paraId="4A30704B" w14:textId="77777777" w:rsidR="002D10CE" w:rsidRPr="00AE0058" w:rsidRDefault="002D10CE" w:rsidP="0004027E">
            <w:pPr>
              <w:rPr>
                <w:color w:val="000000" w:themeColor="text1"/>
                <w:sz w:val="16"/>
                <w:szCs w:val="16"/>
              </w:rPr>
            </w:pPr>
            <w:r>
              <w:rPr>
                <w:color w:val="000000" w:themeColor="text1"/>
                <w:sz w:val="16"/>
                <w:szCs w:val="16"/>
              </w:rPr>
              <w:t xml:space="preserve">Article 10 UStatG</w:t>
            </w:r>
          </w:p>
        </w:tc>
        <w:tc>
          <w:tcPr>
            <w:tcW w:w="1175" w:type="pct"/>
            <w:vAlign w:val="center"/>
          </w:tcPr>
          <w:p w14:paraId="3F50D4DF" w14:textId="77777777" w:rsidR="002D10CE" w:rsidRPr="00AE0058" w:rsidRDefault="002D10CE" w:rsidP="0004027E">
            <w:pPr>
              <w:rPr>
                <w:color w:val="000000" w:themeColor="text1"/>
                <w:sz w:val="16"/>
                <w:szCs w:val="16"/>
              </w:rPr>
            </w:pPr>
            <w:r>
              <w:rPr>
                <w:color w:val="000000" w:themeColor="text1"/>
                <w:sz w:val="16"/>
                <w:szCs w:val="16"/>
              </w:rPr>
              <w:t xml:space="preserve">Enquête sur certaines substances ayant un impact sur le climat</w:t>
            </w:r>
          </w:p>
        </w:tc>
        <w:tc>
          <w:tcPr>
            <w:tcW w:w="474" w:type="pct"/>
            <w:gridSpan w:val="2"/>
            <w:vAlign w:val="center"/>
          </w:tcPr>
          <w:p w14:paraId="1B0350DF" w14:textId="77777777" w:rsidR="002D10CE" w:rsidRPr="00AE0058" w:rsidRDefault="002D10CE" w:rsidP="0004027E">
            <w:pPr>
              <w:jc w:val="right"/>
              <w:rPr>
                <w:color w:val="000000" w:themeColor="text1"/>
                <w:sz w:val="16"/>
                <w:szCs w:val="16"/>
              </w:rPr>
            </w:pPr>
            <w:r>
              <w:rPr>
                <w:color w:val="000000" w:themeColor="text1"/>
                <w:sz w:val="16"/>
                <w:szCs w:val="16"/>
              </w:rPr>
              <w:t xml:space="preserve">12</w:t>
            </w:r>
          </w:p>
        </w:tc>
        <w:tc>
          <w:tcPr>
            <w:tcW w:w="465" w:type="pct"/>
            <w:vAlign w:val="center"/>
          </w:tcPr>
          <w:p w14:paraId="69423707" w14:textId="77777777" w:rsidR="002D10CE" w:rsidRPr="00AE0058" w:rsidRDefault="002D10CE" w:rsidP="0004027E">
            <w:pPr>
              <w:jc w:val="right"/>
              <w:rPr>
                <w:color w:val="000000" w:themeColor="text1"/>
                <w:sz w:val="16"/>
                <w:szCs w:val="16"/>
              </w:rPr>
            </w:pPr>
            <w:r>
              <w:rPr>
                <w:color w:val="000000" w:themeColor="text1"/>
                <w:sz w:val="16"/>
                <w:szCs w:val="16"/>
              </w:rPr>
              <w:t xml:space="preserve">-</w:t>
            </w:r>
          </w:p>
        </w:tc>
        <w:tc>
          <w:tcPr>
            <w:tcW w:w="476" w:type="pct"/>
            <w:gridSpan w:val="2"/>
            <w:vAlign w:val="center"/>
          </w:tcPr>
          <w:p w14:paraId="2C45F457" w14:textId="77777777" w:rsidR="002D10CE" w:rsidRPr="00AE0058" w:rsidRDefault="002D10CE" w:rsidP="0004027E">
            <w:pPr>
              <w:jc w:val="right"/>
              <w:rPr>
                <w:color w:val="000000" w:themeColor="text1"/>
                <w:sz w:val="16"/>
                <w:szCs w:val="16"/>
              </w:rPr>
            </w:pPr>
            <w:r>
              <w:rPr>
                <w:color w:val="000000" w:themeColor="text1"/>
                <w:sz w:val="16"/>
                <w:szCs w:val="16"/>
              </w:rPr>
              <w:t xml:space="preserve">-</w:t>
            </w:r>
          </w:p>
        </w:tc>
        <w:tc>
          <w:tcPr>
            <w:tcW w:w="536" w:type="pct"/>
            <w:tcBorders>
              <w:right w:val="single" w:sz="12" w:space="0" w:color="auto"/>
            </w:tcBorders>
            <w:vAlign w:val="center"/>
          </w:tcPr>
          <w:p w14:paraId="12BB7D8F" w14:textId="77777777" w:rsidR="002D10CE" w:rsidRPr="00AE0058" w:rsidRDefault="002D10CE" w:rsidP="0004027E">
            <w:pPr>
              <w:jc w:val="right"/>
              <w:rPr>
                <w:color w:val="000000" w:themeColor="text1"/>
                <w:sz w:val="16"/>
                <w:szCs w:val="16"/>
              </w:rPr>
            </w:pPr>
            <w:r>
              <w:rPr>
                <w:color w:val="000000" w:themeColor="text1"/>
                <w:sz w:val="16"/>
                <w:szCs w:val="16"/>
              </w:rPr>
              <w:t xml:space="preserve">-</w:t>
            </w:r>
          </w:p>
        </w:tc>
        <w:tc>
          <w:tcPr>
            <w:tcW w:w="1102" w:type="pct"/>
            <w:tcBorders>
              <w:left w:val="single" w:sz="12" w:space="0" w:color="auto"/>
            </w:tcBorders>
            <w:vAlign w:val="center"/>
          </w:tcPr>
          <w:p w14:paraId="3DCC8328" w14:textId="77777777" w:rsidR="002D10CE" w:rsidRPr="00AE0058" w:rsidRDefault="002D10CE" w:rsidP="0004027E">
            <w:pPr>
              <w:jc w:val="right"/>
              <w:rPr>
                <w:color w:val="000000" w:themeColor="text1"/>
                <w:sz w:val="16"/>
                <w:szCs w:val="16"/>
              </w:rPr>
            </w:pPr>
            <w:r>
              <w:rPr>
                <w:color w:val="000000" w:themeColor="text1"/>
                <w:sz w:val="16"/>
                <w:szCs w:val="16"/>
              </w:rPr>
              <w:t xml:space="preserve">+12</w:t>
            </w:r>
          </w:p>
        </w:tc>
      </w:tr>
      <w:tr w:rsidR="002D10CE" w:rsidRPr="00AE0058" w14:paraId="7ECC8FF4" w14:textId="77777777" w:rsidTr="006C07FA">
        <w:tc>
          <w:tcPr>
            <w:tcW w:w="1947" w:type="pct"/>
            <w:gridSpan w:val="3"/>
            <w:shd w:val="clear" w:color="auto" w:fill="D9D9D9" w:themeFill="background1" w:themeFillShade="D9"/>
            <w:vAlign w:val="center"/>
          </w:tcPr>
          <w:p w14:paraId="7D44960F" w14:textId="77777777" w:rsidR="002D10CE" w:rsidRPr="00AE0058" w:rsidRDefault="002D10CE" w:rsidP="0004027E">
            <w:pPr>
              <w:rPr>
                <w:b/>
                <w:color w:val="000000" w:themeColor="text1"/>
                <w:sz w:val="16"/>
                <w:szCs w:val="16"/>
              </w:rPr>
            </w:pPr>
            <w:r>
              <w:rPr>
                <w:b/>
                <w:color w:val="000000" w:themeColor="text1"/>
                <w:sz w:val="16"/>
                <w:szCs w:val="16"/>
              </w:rPr>
              <w:t xml:space="preserve">Total</w:t>
            </w:r>
          </w:p>
        </w:tc>
        <w:tc>
          <w:tcPr>
            <w:tcW w:w="474" w:type="pct"/>
            <w:gridSpan w:val="2"/>
            <w:shd w:val="clear" w:color="auto" w:fill="D9D9D9" w:themeFill="background1" w:themeFillShade="D9"/>
            <w:vAlign w:val="center"/>
          </w:tcPr>
          <w:p w14:paraId="4B3DB40F" w14:textId="77777777" w:rsidR="002D10CE" w:rsidRPr="00AE0058" w:rsidRDefault="002D10CE" w:rsidP="0004027E">
            <w:pPr>
              <w:jc w:val="right"/>
              <w:rPr>
                <w:b/>
                <w:bCs/>
                <w:color w:val="000000" w:themeColor="text1"/>
                <w:sz w:val="16"/>
                <w:szCs w:val="16"/>
              </w:rPr>
            </w:pPr>
            <w:r>
              <w:rPr>
                <w:b/>
                <w:bCs/>
                <w:color w:val="000000" w:themeColor="text1"/>
                <w:sz w:val="16"/>
                <w:szCs w:val="16"/>
              </w:rPr>
              <w:t xml:space="preserve">12</w:t>
            </w:r>
          </w:p>
        </w:tc>
        <w:tc>
          <w:tcPr>
            <w:tcW w:w="465" w:type="pct"/>
            <w:shd w:val="clear" w:color="auto" w:fill="D9D9D9" w:themeFill="background1" w:themeFillShade="D9"/>
            <w:vAlign w:val="center"/>
          </w:tcPr>
          <w:p w14:paraId="193191F9" w14:textId="77777777" w:rsidR="002D10CE" w:rsidRPr="00AE0058" w:rsidRDefault="002D10CE" w:rsidP="0004027E">
            <w:pPr>
              <w:jc w:val="right"/>
              <w:rPr>
                <w:b/>
                <w:bCs/>
                <w:color w:val="000000" w:themeColor="text1"/>
                <w:sz w:val="16"/>
                <w:szCs w:val="16"/>
              </w:rPr>
            </w:pPr>
            <w:r>
              <w:rPr>
                <w:b/>
                <w:bCs/>
                <w:color w:val="000000" w:themeColor="text1"/>
                <w:sz w:val="16"/>
                <w:szCs w:val="16"/>
              </w:rPr>
              <w:t xml:space="preserve">-</w:t>
            </w:r>
          </w:p>
        </w:tc>
        <w:tc>
          <w:tcPr>
            <w:tcW w:w="476" w:type="pct"/>
            <w:gridSpan w:val="2"/>
            <w:shd w:val="clear" w:color="auto" w:fill="D9D9D9" w:themeFill="background1" w:themeFillShade="D9"/>
            <w:vAlign w:val="center"/>
          </w:tcPr>
          <w:p w14:paraId="1DB9ADDD" w14:textId="77777777" w:rsidR="002D10CE" w:rsidRPr="00AE0058" w:rsidRDefault="002D10CE" w:rsidP="0004027E">
            <w:pPr>
              <w:jc w:val="right"/>
              <w:rPr>
                <w:b/>
                <w:bCs/>
                <w:color w:val="000000" w:themeColor="text1"/>
                <w:sz w:val="16"/>
                <w:szCs w:val="16"/>
              </w:rPr>
            </w:pPr>
          </w:p>
        </w:tc>
        <w:tc>
          <w:tcPr>
            <w:tcW w:w="536" w:type="pct"/>
            <w:tcBorders>
              <w:right w:val="single" w:sz="12" w:space="0" w:color="auto"/>
            </w:tcBorders>
            <w:shd w:val="clear" w:color="auto" w:fill="D9D9D9" w:themeFill="background1" w:themeFillShade="D9"/>
            <w:vAlign w:val="center"/>
          </w:tcPr>
          <w:p w14:paraId="774FB7CC" w14:textId="77777777" w:rsidR="002D10CE" w:rsidRPr="00AE0058" w:rsidRDefault="002D10CE" w:rsidP="0004027E">
            <w:pPr>
              <w:jc w:val="right"/>
              <w:rPr>
                <w:b/>
                <w:bCs/>
                <w:color w:val="000000" w:themeColor="text1"/>
                <w:sz w:val="16"/>
                <w:szCs w:val="16"/>
              </w:rPr>
            </w:pPr>
            <w:r>
              <w:rPr>
                <w:b/>
                <w:bCs/>
                <w:color w:val="000000" w:themeColor="text1"/>
                <w:sz w:val="16"/>
                <w:szCs w:val="16"/>
              </w:rPr>
              <w:t xml:space="preserve">-</w:t>
            </w:r>
          </w:p>
        </w:tc>
        <w:tc>
          <w:tcPr>
            <w:tcW w:w="1102" w:type="pct"/>
            <w:tcBorders>
              <w:left w:val="single" w:sz="12" w:space="0" w:color="auto"/>
            </w:tcBorders>
            <w:shd w:val="clear" w:color="auto" w:fill="D9D9D9" w:themeFill="background1" w:themeFillShade="D9"/>
            <w:vAlign w:val="center"/>
          </w:tcPr>
          <w:p w14:paraId="484AF602" w14:textId="77777777" w:rsidR="002D10CE" w:rsidRPr="00AE0058" w:rsidRDefault="002D10CE" w:rsidP="0004027E">
            <w:pPr>
              <w:jc w:val="right"/>
              <w:rPr>
                <w:b/>
                <w:bCs/>
                <w:color w:val="000000" w:themeColor="text1"/>
                <w:sz w:val="16"/>
                <w:szCs w:val="16"/>
              </w:rPr>
            </w:pPr>
            <w:r>
              <w:rPr>
                <w:b/>
                <w:bCs/>
                <w:color w:val="000000" w:themeColor="text1"/>
                <w:sz w:val="16"/>
                <w:szCs w:val="16"/>
              </w:rPr>
              <w:t xml:space="preserve">12</w:t>
            </w:r>
          </w:p>
        </w:tc>
      </w:tr>
    </w:tbl>
    <w:p w14:paraId="78C13127" w14:textId="77777777" w:rsidR="002D10CE" w:rsidRPr="00AE0058" w:rsidRDefault="002D10CE" w:rsidP="002D10CE">
      <w:pPr>
        <w:spacing w:line="360" w:lineRule="auto"/>
        <w:rPr>
          <w:b/>
          <w:color w:val="000000" w:themeColor="text1"/>
        </w:rPr>
      </w:pPr>
    </w:p>
    <w:p w14:paraId="55F283FF" w14:textId="77777777" w:rsidR="00744EBB" w:rsidRPr="00AE0058" w:rsidRDefault="00744EBB" w:rsidP="00BA0DEB">
      <w:pPr>
        <w:pStyle w:val="Text"/>
        <w:keepNext/>
        <w:rPr>
          <w:i/>
          <w:color w:val="000000" w:themeColor="text1"/>
          <w:u w:val="single"/>
          <w:rFonts w:ascii="MetaNormalLF-Roman" w:hAnsi="MetaNormalLF-Roman"/>
        </w:rPr>
      </w:pPr>
      <w:r>
        <w:rPr>
          <w:i/>
          <w:color w:val="000000" w:themeColor="text1"/>
          <w:u w:val="single"/>
          <w:rFonts w:ascii="MetaNormalLF-Roman" w:hAnsi="MetaNormalLF-Roman"/>
        </w:rPr>
        <w:t xml:space="preserve">Groupe de cas C:</w:t>
      </w:r>
      <w:r>
        <w:rPr>
          <w:i/>
          <w:color w:val="000000" w:themeColor="text1"/>
          <w:u w:val="single"/>
          <w:rFonts w:ascii="MetaNormalLF-Roman" w:hAnsi="MetaNormalLF-Roman"/>
        </w:rPr>
        <w:t xml:space="preserve"> </w:t>
      </w:r>
      <w:r>
        <w:rPr>
          <w:i/>
          <w:color w:val="000000" w:themeColor="text1"/>
          <w:u w:val="single"/>
          <w:rFonts w:ascii="MetaNormalLF-Roman" w:hAnsi="MetaNormalLF-Roman"/>
        </w:rPr>
        <w:t xml:space="preserve">Statistiques économiques et environnementales</w:t>
      </w:r>
    </w:p>
    <w:p w14:paraId="53BEC2C0" w14:textId="26DAFC08" w:rsidR="00744EBB" w:rsidRPr="00AE0058" w:rsidRDefault="00744EBB" w:rsidP="00744EBB">
      <w:pPr>
        <w:pStyle w:val="Text"/>
      </w:pPr>
      <w:r>
        <w:t xml:space="preserve">Les modifications des statistiques économiques et environnementales entrainent une modification de la charge d'exécution annuelle de 41 000 euros.</w:t>
      </w:r>
      <w:r>
        <w:t xml:space="preserve"> </w:t>
      </w:r>
      <w:r>
        <w:t xml:space="preserve">La figure suivante représente le groupe de cas C - Statistiques économiques et environnementales pour le destinataire Économie en fonction des différentes dispositions.</w:t>
      </w:r>
    </w:p>
    <w:p w14:paraId="584215EB" w14:textId="05178E24" w:rsidR="00FB2F0D" w:rsidRPr="00AE0058" w:rsidRDefault="00FB2F0D" w:rsidP="00C65795">
      <w:pPr>
        <w:pStyle w:val="Caption"/>
        <w:keepNext/>
        <w:rPr>
          <w:b/>
          <w:color w:val="000000" w:themeColor="text1"/>
        </w:rPr>
      </w:pPr>
      <w:r>
        <w:rPr>
          <w:b/>
          <w:color w:val="000000" w:themeColor="text1"/>
        </w:rPr>
        <w:t xml:space="preserve">Tableau 3 - Groupe de cas C - Statistiques économiques et environnementales; charge d'exécution annuelle du secteur économique</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6"/>
        <w:gridCol w:w="832"/>
        <w:gridCol w:w="2037"/>
        <w:gridCol w:w="810"/>
        <w:gridCol w:w="12"/>
        <w:gridCol w:w="805"/>
        <w:gridCol w:w="810"/>
        <w:gridCol w:w="16"/>
        <w:gridCol w:w="929"/>
        <w:gridCol w:w="1913"/>
      </w:tblGrid>
      <w:tr w:rsidR="00744EBB" w:rsidRPr="00AE0058" w14:paraId="19C1C690" w14:textId="77777777" w:rsidTr="006C07FA">
        <w:tc>
          <w:tcPr>
            <w:tcW w:w="292" w:type="pct"/>
            <w:shd w:val="clear" w:color="auto" w:fill="D9D9D9" w:themeFill="background1" w:themeFillShade="D9"/>
            <w:vAlign w:val="center"/>
          </w:tcPr>
          <w:p w14:paraId="7A4FADDC" w14:textId="77777777" w:rsidR="00744EBB" w:rsidRPr="00AE0058" w:rsidRDefault="00744EBB" w:rsidP="00C65795">
            <w:pPr>
              <w:keepNext/>
              <w:rPr>
                <w:b/>
                <w:color w:val="000000" w:themeColor="text1"/>
                <w:sz w:val="16"/>
                <w:szCs w:val="16"/>
              </w:rPr>
            </w:pPr>
          </w:p>
        </w:tc>
        <w:tc>
          <w:tcPr>
            <w:tcW w:w="480" w:type="pct"/>
            <w:shd w:val="clear" w:color="auto" w:fill="D9D9D9" w:themeFill="background1" w:themeFillShade="D9"/>
            <w:vAlign w:val="center"/>
          </w:tcPr>
          <w:p w14:paraId="5DCDDACA" w14:textId="77777777" w:rsidR="00744EBB" w:rsidRPr="00AE0058" w:rsidRDefault="00744EBB" w:rsidP="00C65795">
            <w:pPr>
              <w:keepNext/>
              <w:rPr>
                <w:b/>
                <w:color w:val="000000" w:themeColor="text1"/>
                <w:sz w:val="16"/>
                <w:szCs w:val="16"/>
              </w:rPr>
            </w:pPr>
          </w:p>
        </w:tc>
        <w:tc>
          <w:tcPr>
            <w:tcW w:w="1175" w:type="pct"/>
            <w:shd w:val="clear" w:color="auto" w:fill="D9D9D9" w:themeFill="background1" w:themeFillShade="D9"/>
            <w:vAlign w:val="center"/>
          </w:tcPr>
          <w:p w14:paraId="3D4F599D" w14:textId="77777777" w:rsidR="00744EBB" w:rsidRPr="00AE0058" w:rsidRDefault="00744EBB" w:rsidP="00C65795">
            <w:pPr>
              <w:keepNext/>
              <w:rPr>
                <w:b/>
                <w:color w:val="000000" w:themeColor="text1"/>
                <w:sz w:val="16"/>
                <w:szCs w:val="16"/>
              </w:rPr>
            </w:pPr>
          </w:p>
        </w:tc>
        <w:tc>
          <w:tcPr>
            <w:tcW w:w="938" w:type="pct"/>
            <w:gridSpan w:val="3"/>
            <w:shd w:val="clear" w:color="auto" w:fill="D9D9D9" w:themeFill="background1" w:themeFillShade="D9"/>
            <w:vAlign w:val="center"/>
          </w:tcPr>
          <w:p w14:paraId="282DBAE5" w14:textId="77777777" w:rsidR="00744EBB" w:rsidRPr="00AE0058" w:rsidRDefault="00744EBB" w:rsidP="00C65795">
            <w:pPr>
              <w:keepNext/>
              <w:rPr>
                <w:b/>
                <w:color w:val="000000" w:themeColor="text1"/>
                <w:sz w:val="16"/>
                <w:szCs w:val="16"/>
              </w:rPr>
            </w:pPr>
            <w:r>
              <w:rPr>
                <w:b/>
                <w:color w:val="000000" w:themeColor="text1"/>
                <w:sz w:val="16"/>
                <w:szCs w:val="16"/>
              </w:rPr>
              <w:t xml:space="preserve">Supplément de charge annuel</w:t>
            </w:r>
          </w:p>
        </w:tc>
        <w:tc>
          <w:tcPr>
            <w:tcW w:w="1012" w:type="pct"/>
            <w:gridSpan w:val="3"/>
            <w:tcBorders>
              <w:right w:val="single" w:sz="12" w:space="0" w:color="auto"/>
            </w:tcBorders>
            <w:shd w:val="clear" w:color="auto" w:fill="D9D9D9" w:themeFill="background1" w:themeFillShade="D9"/>
            <w:vAlign w:val="center"/>
          </w:tcPr>
          <w:p w14:paraId="7D67BB61" w14:textId="77777777" w:rsidR="00744EBB" w:rsidRPr="00AE0058" w:rsidRDefault="00744EBB" w:rsidP="00C65795">
            <w:pPr>
              <w:keepNext/>
              <w:rPr>
                <w:b/>
                <w:color w:val="000000" w:themeColor="text1"/>
                <w:sz w:val="16"/>
                <w:szCs w:val="16"/>
              </w:rPr>
            </w:pPr>
            <w:r>
              <w:rPr>
                <w:b/>
                <w:color w:val="000000" w:themeColor="text1"/>
                <w:sz w:val="16"/>
                <w:szCs w:val="16"/>
              </w:rPr>
              <w:t xml:space="preserve">Réduction de charge annuelle</w:t>
            </w:r>
          </w:p>
        </w:tc>
        <w:tc>
          <w:tcPr>
            <w:tcW w:w="1103" w:type="pct"/>
            <w:tcBorders>
              <w:left w:val="single" w:sz="12" w:space="0" w:color="auto"/>
            </w:tcBorders>
            <w:shd w:val="clear" w:color="auto" w:fill="D9D9D9" w:themeFill="background1" w:themeFillShade="D9"/>
            <w:vAlign w:val="center"/>
          </w:tcPr>
          <w:p w14:paraId="0F8C706D" w14:textId="77777777" w:rsidR="00744EBB" w:rsidRPr="00AE0058" w:rsidRDefault="00744EBB" w:rsidP="00C65795">
            <w:pPr>
              <w:keepNext/>
              <w:rPr>
                <w:b/>
                <w:color w:val="000000" w:themeColor="text1"/>
                <w:sz w:val="16"/>
                <w:szCs w:val="16"/>
              </w:rPr>
            </w:pPr>
            <w:r>
              <w:rPr>
                <w:b/>
                <w:color w:val="000000" w:themeColor="text1"/>
                <w:sz w:val="16"/>
                <w:szCs w:val="16"/>
              </w:rPr>
              <w:t xml:space="preserve">Modification de la charge d'exécution annuelle</w:t>
            </w:r>
          </w:p>
        </w:tc>
      </w:tr>
      <w:tr w:rsidR="00744EBB" w:rsidRPr="00AE0058" w14:paraId="5E664B8C" w14:textId="77777777" w:rsidTr="006C07FA">
        <w:tc>
          <w:tcPr>
            <w:tcW w:w="292" w:type="pct"/>
            <w:shd w:val="clear" w:color="auto" w:fill="D9D9D9" w:themeFill="background1" w:themeFillShade="D9"/>
            <w:vAlign w:val="center"/>
          </w:tcPr>
          <w:p w14:paraId="39EB484C" w14:textId="77777777" w:rsidR="00744EBB" w:rsidRPr="00AE0058" w:rsidRDefault="00744EBB" w:rsidP="00C65795">
            <w:pPr>
              <w:keepNext/>
              <w:rPr>
                <w:b/>
                <w:color w:val="000000" w:themeColor="text1"/>
                <w:sz w:val="16"/>
                <w:szCs w:val="16"/>
              </w:rPr>
            </w:pPr>
            <w:r>
              <w:rPr>
                <w:b/>
                <w:color w:val="000000" w:themeColor="text1"/>
                <w:sz w:val="16"/>
                <w:szCs w:val="16"/>
              </w:rPr>
              <w:t xml:space="preserve">Disposition</w:t>
            </w:r>
          </w:p>
        </w:tc>
        <w:tc>
          <w:tcPr>
            <w:tcW w:w="480" w:type="pct"/>
            <w:shd w:val="clear" w:color="auto" w:fill="D9D9D9" w:themeFill="background1" w:themeFillShade="D9"/>
            <w:vAlign w:val="center"/>
          </w:tcPr>
          <w:p w14:paraId="1241581D" w14:textId="77777777" w:rsidR="00744EBB" w:rsidRPr="00AE0058" w:rsidRDefault="00744EBB" w:rsidP="00C65795">
            <w:pPr>
              <w:keepNext/>
              <w:rPr>
                <w:b/>
                <w:color w:val="000000" w:themeColor="text1"/>
                <w:sz w:val="16"/>
                <w:szCs w:val="16"/>
              </w:rPr>
            </w:pPr>
            <w:r>
              <w:rPr>
                <w:b/>
                <w:color w:val="000000" w:themeColor="text1"/>
                <w:sz w:val="16"/>
                <w:szCs w:val="16"/>
              </w:rPr>
              <w:t xml:space="preserve">Paragraphe</w:t>
            </w:r>
          </w:p>
        </w:tc>
        <w:tc>
          <w:tcPr>
            <w:tcW w:w="1175" w:type="pct"/>
            <w:shd w:val="clear" w:color="auto" w:fill="D9D9D9" w:themeFill="background1" w:themeFillShade="D9"/>
            <w:vAlign w:val="center"/>
          </w:tcPr>
          <w:p w14:paraId="6FDE1577" w14:textId="77777777" w:rsidR="00744EBB" w:rsidRPr="00AE0058" w:rsidRDefault="00744EBB" w:rsidP="00C65795">
            <w:pPr>
              <w:keepNext/>
              <w:rPr>
                <w:b/>
                <w:color w:val="000000" w:themeColor="text1"/>
                <w:sz w:val="16"/>
                <w:szCs w:val="16"/>
              </w:rPr>
            </w:pPr>
            <w:r>
              <w:rPr>
                <w:b/>
                <w:color w:val="000000" w:themeColor="text1"/>
                <w:sz w:val="16"/>
                <w:szCs w:val="16"/>
              </w:rPr>
              <w:t xml:space="preserve">Désignation de la disposition</w:t>
            </w:r>
          </w:p>
        </w:tc>
        <w:tc>
          <w:tcPr>
            <w:tcW w:w="467" w:type="pct"/>
            <w:shd w:val="clear" w:color="auto" w:fill="D9D9D9" w:themeFill="background1" w:themeFillShade="D9"/>
            <w:vAlign w:val="center"/>
          </w:tcPr>
          <w:p w14:paraId="35EA7AA1" w14:textId="77777777" w:rsidR="00744EBB" w:rsidRPr="00AE0058" w:rsidRDefault="00744EBB" w:rsidP="00C65795">
            <w:pPr>
              <w:keepNext/>
              <w:rPr>
                <w:b/>
                <w:color w:val="000000" w:themeColor="text1"/>
                <w:sz w:val="16"/>
                <w:szCs w:val="16"/>
              </w:rPr>
            </w:pPr>
            <w:r>
              <w:rPr>
                <w:b/>
                <w:color w:val="000000" w:themeColor="text1"/>
                <w:sz w:val="16"/>
                <w:szCs w:val="16"/>
              </w:rPr>
              <w:t xml:space="preserve">Frais de personnel</w:t>
            </w:r>
          </w:p>
        </w:tc>
        <w:tc>
          <w:tcPr>
            <w:tcW w:w="471" w:type="pct"/>
            <w:gridSpan w:val="2"/>
            <w:shd w:val="clear" w:color="auto" w:fill="D9D9D9" w:themeFill="background1" w:themeFillShade="D9"/>
            <w:vAlign w:val="center"/>
          </w:tcPr>
          <w:p w14:paraId="7F6F4AD3" w14:textId="77777777" w:rsidR="00744EBB" w:rsidRPr="00AE0058" w:rsidRDefault="00744EBB" w:rsidP="00C65795">
            <w:pPr>
              <w:keepNext/>
              <w:rPr>
                <w:b/>
                <w:color w:val="000000" w:themeColor="text1"/>
                <w:sz w:val="16"/>
                <w:szCs w:val="16"/>
              </w:rPr>
            </w:pPr>
            <w:r>
              <w:rPr>
                <w:b/>
                <w:color w:val="000000" w:themeColor="text1"/>
                <w:sz w:val="16"/>
                <w:szCs w:val="16"/>
              </w:rPr>
              <w:t xml:space="preserve">Dépenses de matériel</w:t>
            </w:r>
          </w:p>
        </w:tc>
        <w:tc>
          <w:tcPr>
            <w:tcW w:w="467" w:type="pct"/>
            <w:shd w:val="clear" w:color="auto" w:fill="D9D9D9" w:themeFill="background1" w:themeFillShade="D9"/>
            <w:vAlign w:val="center"/>
          </w:tcPr>
          <w:p w14:paraId="6B9686C6" w14:textId="77777777" w:rsidR="00744EBB" w:rsidRPr="00AE0058" w:rsidRDefault="00744EBB" w:rsidP="00C65795">
            <w:pPr>
              <w:keepNext/>
              <w:rPr>
                <w:b/>
                <w:color w:val="000000" w:themeColor="text1"/>
                <w:sz w:val="16"/>
                <w:szCs w:val="16"/>
              </w:rPr>
            </w:pPr>
            <w:r>
              <w:rPr>
                <w:b/>
                <w:color w:val="000000" w:themeColor="text1"/>
                <w:sz w:val="16"/>
                <w:szCs w:val="16"/>
              </w:rPr>
              <w:t xml:space="preserve">Frais de personnel</w:t>
            </w:r>
          </w:p>
        </w:tc>
        <w:tc>
          <w:tcPr>
            <w:tcW w:w="545" w:type="pct"/>
            <w:gridSpan w:val="2"/>
            <w:tcBorders>
              <w:right w:val="single" w:sz="12" w:space="0" w:color="auto"/>
            </w:tcBorders>
            <w:shd w:val="clear" w:color="auto" w:fill="D9D9D9" w:themeFill="background1" w:themeFillShade="D9"/>
            <w:vAlign w:val="center"/>
          </w:tcPr>
          <w:p w14:paraId="08BD392B" w14:textId="77777777" w:rsidR="00744EBB" w:rsidRPr="00AE0058" w:rsidRDefault="00744EBB" w:rsidP="00C65795">
            <w:pPr>
              <w:keepNext/>
              <w:rPr>
                <w:b/>
                <w:color w:val="000000" w:themeColor="text1"/>
                <w:sz w:val="16"/>
                <w:szCs w:val="16"/>
              </w:rPr>
            </w:pPr>
            <w:r>
              <w:rPr>
                <w:b/>
                <w:color w:val="000000" w:themeColor="text1"/>
                <w:sz w:val="16"/>
                <w:szCs w:val="16"/>
              </w:rPr>
              <w:t xml:space="preserve">Dépenses de matériel</w:t>
            </w:r>
          </w:p>
        </w:tc>
        <w:tc>
          <w:tcPr>
            <w:tcW w:w="1103" w:type="pct"/>
            <w:tcBorders>
              <w:left w:val="single" w:sz="12" w:space="0" w:color="auto"/>
            </w:tcBorders>
            <w:shd w:val="clear" w:color="auto" w:fill="D9D9D9" w:themeFill="background1" w:themeFillShade="D9"/>
            <w:vAlign w:val="center"/>
          </w:tcPr>
          <w:p w14:paraId="5E46D500" w14:textId="77777777" w:rsidR="00744EBB" w:rsidRPr="00AE0058" w:rsidRDefault="00744EBB" w:rsidP="00C65795">
            <w:pPr>
              <w:keepNext/>
              <w:rPr>
                <w:b/>
                <w:color w:val="000000" w:themeColor="text1"/>
                <w:sz w:val="16"/>
                <w:szCs w:val="16"/>
              </w:rPr>
            </w:pPr>
            <w:r>
              <w:rPr>
                <w:b/>
                <w:color w:val="000000" w:themeColor="text1"/>
                <w:sz w:val="16"/>
                <w:szCs w:val="16"/>
              </w:rPr>
              <w:t xml:space="preserve">Dépenses totales</w:t>
            </w:r>
          </w:p>
        </w:tc>
      </w:tr>
      <w:tr w:rsidR="00744EBB" w:rsidRPr="00AE0058" w14:paraId="7B6C9A55" w14:textId="77777777" w:rsidTr="006C07FA">
        <w:tc>
          <w:tcPr>
            <w:tcW w:w="292" w:type="pct"/>
            <w:shd w:val="clear" w:color="auto" w:fill="D9D9D9" w:themeFill="background1" w:themeFillShade="D9"/>
            <w:vAlign w:val="center"/>
          </w:tcPr>
          <w:p w14:paraId="156D1EF1" w14:textId="77777777" w:rsidR="00744EBB" w:rsidRPr="00AE0058" w:rsidRDefault="00744EBB" w:rsidP="00C65795">
            <w:pPr>
              <w:keepNext/>
              <w:rPr>
                <w:b/>
                <w:color w:val="000000" w:themeColor="text1"/>
                <w:sz w:val="16"/>
                <w:szCs w:val="16"/>
              </w:rPr>
            </w:pPr>
          </w:p>
        </w:tc>
        <w:tc>
          <w:tcPr>
            <w:tcW w:w="480" w:type="pct"/>
            <w:shd w:val="clear" w:color="auto" w:fill="D9D9D9" w:themeFill="background1" w:themeFillShade="D9"/>
            <w:vAlign w:val="center"/>
          </w:tcPr>
          <w:p w14:paraId="1648B84E" w14:textId="77777777" w:rsidR="00744EBB" w:rsidRPr="00AE0058" w:rsidRDefault="00744EBB" w:rsidP="00C65795">
            <w:pPr>
              <w:keepNext/>
              <w:rPr>
                <w:b/>
                <w:color w:val="000000" w:themeColor="text1"/>
                <w:sz w:val="16"/>
                <w:szCs w:val="16"/>
              </w:rPr>
            </w:pPr>
          </w:p>
        </w:tc>
        <w:tc>
          <w:tcPr>
            <w:tcW w:w="1175" w:type="pct"/>
            <w:shd w:val="clear" w:color="auto" w:fill="D9D9D9" w:themeFill="background1" w:themeFillShade="D9"/>
            <w:vAlign w:val="center"/>
          </w:tcPr>
          <w:p w14:paraId="7ED33703" w14:textId="77777777" w:rsidR="00744EBB" w:rsidRPr="00AE0058" w:rsidRDefault="00744EBB" w:rsidP="00C65795">
            <w:pPr>
              <w:keepNext/>
              <w:rPr>
                <w:b/>
                <w:color w:val="000000" w:themeColor="text1"/>
                <w:sz w:val="16"/>
                <w:szCs w:val="16"/>
              </w:rPr>
            </w:pPr>
          </w:p>
        </w:tc>
        <w:tc>
          <w:tcPr>
            <w:tcW w:w="3054" w:type="pct"/>
            <w:gridSpan w:val="7"/>
            <w:shd w:val="clear" w:color="auto" w:fill="D9D9D9" w:themeFill="background1" w:themeFillShade="D9"/>
            <w:vAlign w:val="center"/>
          </w:tcPr>
          <w:p w14:paraId="07F27484" w14:textId="77777777" w:rsidR="00744EBB" w:rsidRPr="00AE0058" w:rsidRDefault="00744EBB" w:rsidP="00C65795">
            <w:pPr>
              <w:keepNext/>
              <w:jc w:val="center"/>
              <w:rPr>
                <w:b/>
                <w:color w:val="000000" w:themeColor="text1"/>
                <w:sz w:val="16"/>
                <w:szCs w:val="16"/>
              </w:rPr>
            </w:pPr>
            <w:r>
              <w:rPr>
                <w:b/>
                <w:color w:val="000000" w:themeColor="text1"/>
                <w:sz w:val="16"/>
                <w:szCs w:val="16"/>
              </w:rPr>
              <w:t xml:space="preserve">en milliers</w:t>
            </w:r>
            <w:r>
              <w:rPr>
                <w:b/>
                <w:color w:val="000000" w:themeColor="text1"/>
                <w:sz w:val="16"/>
                <w:szCs w:val="16"/>
              </w:rPr>
              <w:t xml:space="preserve"> </w:t>
            </w:r>
            <w:r>
              <w:rPr>
                <w:b/>
                <w:color w:val="000000" w:themeColor="text1"/>
                <w:sz w:val="16"/>
                <w:szCs w:val="16"/>
              </w:rPr>
              <w:t xml:space="preserve">d’euros</w:t>
            </w:r>
          </w:p>
        </w:tc>
      </w:tr>
      <w:tr w:rsidR="00744EBB" w:rsidRPr="00AE0058" w14:paraId="590EF0F2" w14:textId="77777777" w:rsidTr="006C07FA">
        <w:tc>
          <w:tcPr>
            <w:tcW w:w="292" w:type="pct"/>
            <w:vAlign w:val="center"/>
          </w:tcPr>
          <w:p w14:paraId="1069996E" w14:textId="09145F50" w:rsidR="00744EBB" w:rsidRPr="00AE0058" w:rsidRDefault="002D10CE" w:rsidP="00FB2F0D">
            <w:pPr>
              <w:rPr>
                <w:color w:val="000000" w:themeColor="text1"/>
                <w:sz w:val="16"/>
                <w:szCs w:val="16"/>
              </w:rPr>
            </w:pPr>
            <w:r>
              <w:rPr>
                <w:color w:val="000000" w:themeColor="text1"/>
                <w:sz w:val="16"/>
                <w:szCs w:val="16"/>
              </w:rPr>
              <w:t xml:space="preserve">8</w:t>
            </w:r>
          </w:p>
        </w:tc>
        <w:tc>
          <w:tcPr>
            <w:tcW w:w="480" w:type="pct"/>
            <w:vAlign w:val="center"/>
          </w:tcPr>
          <w:p w14:paraId="3E2FCFD4" w14:textId="36B16CF0" w:rsidR="00744EBB" w:rsidRPr="00AE0058" w:rsidRDefault="00744EBB" w:rsidP="009E13D4">
            <w:pPr>
              <w:rPr>
                <w:color w:val="000000" w:themeColor="text1"/>
                <w:sz w:val="16"/>
                <w:szCs w:val="16"/>
              </w:rPr>
            </w:pPr>
            <w:r>
              <w:rPr>
                <w:color w:val="000000" w:themeColor="text1"/>
                <w:sz w:val="16"/>
                <w:szCs w:val="16"/>
              </w:rPr>
              <w:t xml:space="preserve">Article 11, phrase 1, point 1 et phrase 2 UStatG</w:t>
            </w:r>
          </w:p>
        </w:tc>
        <w:tc>
          <w:tcPr>
            <w:tcW w:w="1175" w:type="pct"/>
            <w:vAlign w:val="center"/>
          </w:tcPr>
          <w:p w14:paraId="4B44BAB4" w14:textId="77777777" w:rsidR="00744EBB" w:rsidRPr="00AE0058" w:rsidRDefault="00744EBB" w:rsidP="00FB2F0D">
            <w:pPr>
              <w:rPr>
                <w:color w:val="000000" w:themeColor="text1"/>
                <w:sz w:val="16"/>
                <w:szCs w:val="16"/>
              </w:rPr>
            </w:pPr>
            <w:r>
              <w:rPr>
                <w:color w:val="000000" w:themeColor="text1"/>
                <w:sz w:val="16"/>
                <w:szCs w:val="16"/>
              </w:rPr>
              <w:t xml:space="preserve">Enquête sur les investissements pour la protection de l'environnement</w:t>
            </w:r>
            <w:r>
              <w:rPr>
                <w:color w:val="000000" w:themeColor="text1"/>
                <w:sz w:val="16"/>
                <w:szCs w:val="16"/>
              </w:rPr>
              <w:t xml:space="preserve"> </w:t>
            </w:r>
          </w:p>
        </w:tc>
        <w:tc>
          <w:tcPr>
            <w:tcW w:w="474" w:type="pct"/>
            <w:gridSpan w:val="2"/>
            <w:vAlign w:val="center"/>
          </w:tcPr>
          <w:p w14:paraId="26BB5832" w14:textId="77777777" w:rsidR="00744EBB" w:rsidRPr="00AE0058" w:rsidRDefault="00744EBB" w:rsidP="00FB2F0D">
            <w:pPr>
              <w:jc w:val="right"/>
              <w:rPr>
                <w:color w:val="000000" w:themeColor="text1"/>
                <w:sz w:val="16"/>
                <w:szCs w:val="16"/>
              </w:rPr>
            </w:pPr>
            <w:r>
              <w:rPr>
                <w:color w:val="000000" w:themeColor="text1"/>
                <w:sz w:val="16"/>
                <w:szCs w:val="16"/>
              </w:rPr>
              <w:t xml:space="preserve">27</w:t>
            </w:r>
          </w:p>
        </w:tc>
        <w:tc>
          <w:tcPr>
            <w:tcW w:w="464" w:type="pct"/>
            <w:vAlign w:val="center"/>
          </w:tcPr>
          <w:p w14:paraId="7C33309B" w14:textId="77777777" w:rsidR="00744EBB" w:rsidRPr="00AE0058" w:rsidRDefault="00744EBB" w:rsidP="00FB2F0D">
            <w:pPr>
              <w:jc w:val="right"/>
              <w:rPr>
                <w:color w:val="000000" w:themeColor="text1"/>
                <w:sz w:val="16"/>
                <w:szCs w:val="16"/>
              </w:rPr>
            </w:pPr>
            <w:r>
              <w:rPr>
                <w:color w:val="000000" w:themeColor="text1"/>
                <w:sz w:val="16"/>
                <w:szCs w:val="16"/>
              </w:rPr>
              <w:t xml:space="preserve">-</w:t>
            </w:r>
          </w:p>
        </w:tc>
        <w:tc>
          <w:tcPr>
            <w:tcW w:w="476" w:type="pct"/>
            <w:gridSpan w:val="2"/>
            <w:vAlign w:val="center"/>
          </w:tcPr>
          <w:p w14:paraId="52DC9E39" w14:textId="77777777" w:rsidR="00744EBB" w:rsidRPr="00AE0058" w:rsidRDefault="00744EBB" w:rsidP="00FB2F0D">
            <w:pPr>
              <w:jc w:val="right"/>
              <w:rPr>
                <w:color w:val="000000" w:themeColor="text1"/>
                <w:sz w:val="16"/>
                <w:szCs w:val="16"/>
              </w:rPr>
            </w:pPr>
            <w:r>
              <w:rPr>
                <w:color w:val="000000" w:themeColor="text1"/>
                <w:sz w:val="16"/>
                <w:szCs w:val="16"/>
              </w:rPr>
              <w:t xml:space="preserve">-</w:t>
            </w:r>
          </w:p>
        </w:tc>
        <w:tc>
          <w:tcPr>
            <w:tcW w:w="536" w:type="pct"/>
            <w:tcBorders>
              <w:right w:val="single" w:sz="12" w:space="0" w:color="auto"/>
            </w:tcBorders>
            <w:vAlign w:val="center"/>
          </w:tcPr>
          <w:p w14:paraId="74AECA8B" w14:textId="77777777" w:rsidR="00744EBB" w:rsidRPr="00AE0058" w:rsidRDefault="00744EBB" w:rsidP="00FB2F0D">
            <w:pPr>
              <w:jc w:val="right"/>
              <w:rPr>
                <w:color w:val="000000" w:themeColor="text1"/>
                <w:sz w:val="16"/>
                <w:szCs w:val="16"/>
              </w:rPr>
            </w:pPr>
            <w:r>
              <w:rPr>
                <w:color w:val="000000" w:themeColor="text1"/>
                <w:sz w:val="16"/>
                <w:szCs w:val="16"/>
              </w:rPr>
              <w:t xml:space="preserve">-</w:t>
            </w:r>
          </w:p>
        </w:tc>
        <w:tc>
          <w:tcPr>
            <w:tcW w:w="1103" w:type="pct"/>
            <w:tcBorders>
              <w:left w:val="single" w:sz="12" w:space="0" w:color="auto"/>
            </w:tcBorders>
            <w:vAlign w:val="center"/>
          </w:tcPr>
          <w:p w14:paraId="709D2E87" w14:textId="77777777" w:rsidR="00744EBB" w:rsidRPr="00AE0058" w:rsidRDefault="00744EBB" w:rsidP="00FB2F0D">
            <w:pPr>
              <w:jc w:val="right"/>
              <w:rPr>
                <w:color w:val="000000" w:themeColor="text1"/>
                <w:sz w:val="16"/>
                <w:szCs w:val="16"/>
              </w:rPr>
            </w:pPr>
            <w:r>
              <w:rPr>
                <w:color w:val="000000" w:themeColor="text1"/>
                <w:sz w:val="16"/>
                <w:szCs w:val="16"/>
              </w:rPr>
              <w:t xml:space="preserve">27</w:t>
            </w:r>
          </w:p>
        </w:tc>
      </w:tr>
      <w:tr w:rsidR="00744EBB" w:rsidRPr="00AE0058" w14:paraId="69D68C89" w14:textId="77777777" w:rsidTr="006C07FA">
        <w:tc>
          <w:tcPr>
            <w:tcW w:w="292" w:type="pct"/>
            <w:vAlign w:val="center"/>
          </w:tcPr>
          <w:p w14:paraId="2D3E5027" w14:textId="182A8B9F" w:rsidR="00744EBB" w:rsidRPr="00AE0058" w:rsidRDefault="002D10CE" w:rsidP="00FB2F0D">
            <w:pPr>
              <w:rPr>
                <w:color w:val="000000" w:themeColor="text1"/>
                <w:sz w:val="16"/>
                <w:szCs w:val="16"/>
              </w:rPr>
            </w:pPr>
            <w:r>
              <w:rPr>
                <w:color w:val="000000" w:themeColor="text1"/>
                <w:sz w:val="16"/>
                <w:szCs w:val="16"/>
              </w:rPr>
              <w:t xml:space="preserve">9</w:t>
            </w:r>
          </w:p>
        </w:tc>
        <w:tc>
          <w:tcPr>
            <w:tcW w:w="480" w:type="pct"/>
            <w:vAlign w:val="center"/>
          </w:tcPr>
          <w:p w14:paraId="4A95B2A5" w14:textId="3E100940" w:rsidR="00744EBB" w:rsidRPr="00AE0058" w:rsidRDefault="00744EBB" w:rsidP="009E13D4">
            <w:pPr>
              <w:rPr>
                <w:color w:val="000000" w:themeColor="text1"/>
                <w:sz w:val="16"/>
                <w:szCs w:val="16"/>
              </w:rPr>
            </w:pPr>
            <w:r>
              <w:rPr>
                <w:color w:val="000000" w:themeColor="text1"/>
                <w:sz w:val="16"/>
                <w:szCs w:val="16"/>
              </w:rPr>
              <w:t xml:space="preserve">Article 11, phrase 1, point 2 et phrase 2 UStatG</w:t>
            </w:r>
          </w:p>
        </w:tc>
        <w:tc>
          <w:tcPr>
            <w:tcW w:w="1175" w:type="pct"/>
            <w:vAlign w:val="center"/>
          </w:tcPr>
          <w:p w14:paraId="6BF352E8" w14:textId="77777777" w:rsidR="00744EBB" w:rsidRPr="00AE0058" w:rsidRDefault="00744EBB" w:rsidP="00FB2F0D">
            <w:pPr>
              <w:rPr>
                <w:color w:val="000000" w:themeColor="text1"/>
                <w:sz w:val="16"/>
                <w:szCs w:val="16"/>
              </w:rPr>
            </w:pPr>
            <w:r>
              <w:rPr>
                <w:color w:val="000000" w:themeColor="text1"/>
                <w:sz w:val="16"/>
                <w:szCs w:val="16"/>
              </w:rPr>
              <w:t xml:space="preserve">Enquête sur les dépenses courantes en matière de protection de l'environnement</w:t>
            </w:r>
          </w:p>
        </w:tc>
        <w:tc>
          <w:tcPr>
            <w:tcW w:w="474" w:type="pct"/>
            <w:gridSpan w:val="2"/>
            <w:vAlign w:val="center"/>
          </w:tcPr>
          <w:p w14:paraId="70C08EDB" w14:textId="77777777" w:rsidR="00744EBB" w:rsidRPr="00AE0058" w:rsidRDefault="00744EBB" w:rsidP="00FB2F0D">
            <w:pPr>
              <w:jc w:val="right"/>
              <w:rPr>
                <w:color w:val="000000" w:themeColor="text1"/>
                <w:sz w:val="16"/>
                <w:szCs w:val="16"/>
              </w:rPr>
            </w:pPr>
            <w:r>
              <w:rPr>
                <w:color w:val="000000" w:themeColor="text1"/>
                <w:sz w:val="16"/>
                <w:szCs w:val="16"/>
              </w:rPr>
              <w:t xml:space="preserve">13</w:t>
            </w:r>
          </w:p>
        </w:tc>
        <w:tc>
          <w:tcPr>
            <w:tcW w:w="464" w:type="pct"/>
            <w:vAlign w:val="center"/>
          </w:tcPr>
          <w:p w14:paraId="26355C13" w14:textId="77777777" w:rsidR="00744EBB" w:rsidRPr="00AE0058" w:rsidRDefault="00744EBB" w:rsidP="00FB2F0D">
            <w:pPr>
              <w:jc w:val="right"/>
              <w:rPr>
                <w:color w:val="000000" w:themeColor="text1"/>
                <w:sz w:val="16"/>
                <w:szCs w:val="16"/>
              </w:rPr>
            </w:pPr>
            <w:r>
              <w:rPr>
                <w:color w:val="000000" w:themeColor="text1"/>
                <w:sz w:val="16"/>
                <w:szCs w:val="16"/>
              </w:rPr>
              <w:t xml:space="preserve">-</w:t>
            </w:r>
          </w:p>
        </w:tc>
        <w:tc>
          <w:tcPr>
            <w:tcW w:w="476" w:type="pct"/>
            <w:gridSpan w:val="2"/>
            <w:vAlign w:val="center"/>
          </w:tcPr>
          <w:p w14:paraId="681A09C2" w14:textId="77777777" w:rsidR="00744EBB" w:rsidRPr="00AE0058" w:rsidRDefault="00744EBB" w:rsidP="00FB2F0D">
            <w:pPr>
              <w:jc w:val="right"/>
              <w:rPr>
                <w:color w:val="000000" w:themeColor="text1"/>
                <w:sz w:val="16"/>
                <w:szCs w:val="16"/>
              </w:rPr>
            </w:pPr>
            <w:r>
              <w:rPr>
                <w:color w:val="000000" w:themeColor="text1"/>
                <w:sz w:val="16"/>
                <w:szCs w:val="16"/>
              </w:rPr>
              <w:t xml:space="preserve">-</w:t>
            </w:r>
          </w:p>
        </w:tc>
        <w:tc>
          <w:tcPr>
            <w:tcW w:w="536" w:type="pct"/>
            <w:tcBorders>
              <w:right w:val="single" w:sz="12" w:space="0" w:color="auto"/>
            </w:tcBorders>
            <w:vAlign w:val="center"/>
          </w:tcPr>
          <w:p w14:paraId="49F554E8" w14:textId="77777777" w:rsidR="00744EBB" w:rsidRPr="00AE0058" w:rsidRDefault="00744EBB" w:rsidP="00FB2F0D">
            <w:pPr>
              <w:jc w:val="right"/>
              <w:rPr>
                <w:color w:val="000000" w:themeColor="text1"/>
                <w:sz w:val="16"/>
                <w:szCs w:val="16"/>
              </w:rPr>
            </w:pPr>
            <w:r>
              <w:rPr>
                <w:color w:val="000000" w:themeColor="text1"/>
                <w:sz w:val="16"/>
                <w:szCs w:val="16"/>
              </w:rPr>
              <w:t xml:space="preserve">-</w:t>
            </w:r>
          </w:p>
        </w:tc>
        <w:tc>
          <w:tcPr>
            <w:tcW w:w="1103" w:type="pct"/>
            <w:tcBorders>
              <w:left w:val="single" w:sz="12" w:space="0" w:color="auto"/>
            </w:tcBorders>
            <w:vAlign w:val="center"/>
          </w:tcPr>
          <w:p w14:paraId="63C724AA" w14:textId="77777777" w:rsidR="00744EBB" w:rsidRPr="00AE0058" w:rsidRDefault="00744EBB" w:rsidP="00FB2F0D">
            <w:pPr>
              <w:jc w:val="right"/>
              <w:rPr>
                <w:color w:val="000000" w:themeColor="text1"/>
                <w:sz w:val="16"/>
                <w:szCs w:val="16"/>
              </w:rPr>
            </w:pPr>
            <w:r>
              <w:rPr>
                <w:color w:val="000000" w:themeColor="text1"/>
                <w:sz w:val="16"/>
                <w:szCs w:val="16"/>
              </w:rPr>
              <w:t xml:space="preserve">13</w:t>
            </w:r>
          </w:p>
        </w:tc>
      </w:tr>
      <w:tr w:rsidR="00744EBB" w:rsidRPr="00AE0058" w14:paraId="4B7D3C69" w14:textId="77777777" w:rsidTr="006C07FA">
        <w:tc>
          <w:tcPr>
            <w:tcW w:w="292" w:type="pct"/>
            <w:vAlign w:val="center"/>
          </w:tcPr>
          <w:p w14:paraId="66DA4A7F" w14:textId="05D3AC72" w:rsidR="00744EBB" w:rsidRPr="00AE0058" w:rsidRDefault="002D10CE" w:rsidP="00FB2F0D">
            <w:pPr>
              <w:rPr>
                <w:color w:val="000000" w:themeColor="text1"/>
                <w:sz w:val="16"/>
                <w:szCs w:val="16"/>
              </w:rPr>
            </w:pPr>
            <w:r>
              <w:rPr>
                <w:color w:val="000000" w:themeColor="text1"/>
                <w:sz w:val="16"/>
                <w:szCs w:val="16"/>
              </w:rPr>
              <w:t xml:space="preserve">10</w:t>
            </w:r>
          </w:p>
        </w:tc>
        <w:tc>
          <w:tcPr>
            <w:tcW w:w="480" w:type="pct"/>
            <w:vAlign w:val="center"/>
          </w:tcPr>
          <w:p w14:paraId="5F68C519" w14:textId="77777777" w:rsidR="00744EBB" w:rsidRPr="00AE0058" w:rsidRDefault="00744EBB" w:rsidP="00FB2F0D">
            <w:pPr>
              <w:rPr>
                <w:color w:val="000000" w:themeColor="text1"/>
                <w:sz w:val="16"/>
                <w:szCs w:val="16"/>
              </w:rPr>
            </w:pPr>
            <w:r>
              <w:rPr>
                <w:color w:val="000000" w:themeColor="text1"/>
                <w:sz w:val="16"/>
                <w:szCs w:val="16"/>
              </w:rPr>
              <w:t xml:space="preserve">Article 12, paragraphe 2 point 4 et paragraphe 1 phrase 2 UStatG</w:t>
            </w:r>
          </w:p>
        </w:tc>
        <w:tc>
          <w:tcPr>
            <w:tcW w:w="1175" w:type="pct"/>
            <w:vAlign w:val="center"/>
          </w:tcPr>
          <w:p w14:paraId="515E3D8D" w14:textId="77777777" w:rsidR="00744EBB" w:rsidRPr="00AE0058" w:rsidRDefault="00744EBB" w:rsidP="00FB2F0D">
            <w:pPr>
              <w:rPr>
                <w:color w:val="000000" w:themeColor="text1"/>
                <w:sz w:val="16"/>
                <w:szCs w:val="16"/>
              </w:rPr>
            </w:pPr>
            <w:r>
              <w:rPr>
                <w:color w:val="000000" w:themeColor="text1"/>
                <w:sz w:val="16"/>
                <w:szCs w:val="16"/>
              </w:rPr>
              <w:t xml:space="preserve">Enquête sur les biens, travaux et services pour la protection de l'environnement</w:t>
            </w:r>
            <w:r>
              <w:rPr>
                <w:color w:val="000000" w:themeColor="text1"/>
                <w:sz w:val="16"/>
                <w:szCs w:val="16"/>
              </w:rPr>
              <w:t xml:space="preserve"> </w:t>
            </w:r>
          </w:p>
        </w:tc>
        <w:tc>
          <w:tcPr>
            <w:tcW w:w="474" w:type="pct"/>
            <w:gridSpan w:val="2"/>
            <w:vAlign w:val="center"/>
          </w:tcPr>
          <w:p w14:paraId="276C3286" w14:textId="77777777" w:rsidR="00744EBB" w:rsidRPr="00AE0058" w:rsidRDefault="00744EBB" w:rsidP="00FB2F0D">
            <w:pPr>
              <w:jc w:val="right"/>
              <w:rPr>
                <w:color w:val="000000" w:themeColor="text1"/>
                <w:sz w:val="16"/>
                <w:szCs w:val="16"/>
              </w:rPr>
            </w:pPr>
            <w:r>
              <w:rPr>
                <w:color w:val="000000" w:themeColor="text1"/>
                <w:sz w:val="16"/>
                <w:szCs w:val="16"/>
              </w:rPr>
              <w:t xml:space="preserve">0,5</w:t>
            </w:r>
          </w:p>
        </w:tc>
        <w:tc>
          <w:tcPr>
            <w:tcW w:w="464" w:type="pct"/>
            <w:vAlign w:val="center"/>
          </w:tcPr>
          <w:p w14:paraId="7CDB1285" w14:textId="77777777" w:rsidR="00744EBB" w:rsidRPr="00AE0058" w:rsidRDefault="00744EBB" w:rsidP="00FB2F0D">
            <w:pPr>
              <w:jc w:val="right"/>
              <w:rPr>
                <w:color w:val="000000" w:themeColor="text1"/>
                <w:sz w:val="16"/>
                <w:szCs w:val="16"/>
              </w:rPr>
            </w:pPr>
            <w:r>
              <w:rPr>
                <w:color w:val="000000" w:themeColor="text1"/>
                <w:sz w:val="16"/>
                <w:szCs w:val="16"/>
              </w:rPr>
              <w:t xml:space="preserve">-</w:t>
            </w:r>
          </w:p>
        </w:tc>
        <w:tc>
          <w:tcPr>
            <w:tcW w:w="476" w:type="pct"/>
            <w:gridSpan w:val="2"/>
            <w:vAlign w:val="center"/>
          </w:tcPr>
          <w:p w14:paraId="7B628255" w14:textId="77777777" w:rsidR="00744EBB" w:rsidRPr="00AE0058" w:rsidRDefault="00744EBB" w:rsidP="00FB2F0D">
            <w:pPr>
              <w:jc w:val="right"/>
              <w:rPr>
                <w:color w:val="000000" w:themeColor="text1"/>
                <w:sz w:val="16"/>
                <w:szCs w:val="16"/>
              </w:rPr>
            </w:pPr>
            <w:r>
              <w:rPr>
                <w:color w:val="000000" w:themeColor="text1"/>
                <w:sz w:val="16"/>
                <w:szCs w:val="16"/>
              </w:rPr>
              <w:t xml:space="preserve">-</w:t>
            </w:r>
          </w:p>
        </w:tc>
        <w:tc>
          <w:tcPr>
            <w:tcW w:w="536" w:type="pct"/>
            <w:tcBorders>
              <w:right w:val="single" w:sz="12" w:space="0" w:color="auto"/>
            </w:tcBorders>
            <w:vAlign w:val="center"/>
          </w:tcPr>
          <w:p w14:paraId="0D2EE733" w14:textId="77777777" w:rsidR="00744EBB" w:rsidRPr="00AE0058" w:rsidRDefault="00744EBB" w:rsidP="00FB2F0D">
            <w:pPr>
              <w:jc w:val="right"/>
              <w:rPr>
                <w:color w:val="000000" w:themeColor="text1"/>
                <w:sz w:val="16"/>
                <w:szCs w:val="16"/>
              </w:rPr>
            </w:pPr>
            <w:r>
              <w:rPr>
                <w:color w:val="000000" w:themeColor="text1"/>
                <w:sz w:val="16"/>
                <w:szCs w:val="16"/>
              </w:rPr>
              <w:t xml:space="preserve">-</w:t>
            </w:r>
          </w:p>
        </w:tc>
        <w:tc>
          <w:tcPr>
            <w:tcW w:w="1103" w:type="pct"/>
            <w:tcBorders>
              <w:left w:val="single" w:sz="12" w:space="0" w:color="auto"/>
            </w:tcBorders>
            <w:vAlign w:val="center"/>
          </w:tcPr>
          <w:p w14:paraId="5B684DCB" w14:textId="77777777" w:rsidR="00744EBB" w:rsidRPr="00AE0058" w:rsidRDefault="00744EBB" w:rsidP="00FB2F0D">
            <w:pPr>
              <w:jc w:val="right"/>
              <w:rPr>
                <w:color w:val="000000" w:themeColor="text1"/>
                <w:sz w:val="16"/>
                <w:szCs w:val="16"/>
              </w:rPr>
            </w:pPr>
            <w:r>
              <w:rPr>
                <w:color w:val="000000" w:themeColor="text1"/>
                <w:sz w:val="16"/>
                <w:szCs w:val="16"/>
              </w:rPr>
              <w:t xml:space="preserve">0,5</w:t>
            </w:r>
          </w:p>
        </w:tc>
      </w:tr>
      <w:tr w:rsidR="00744EBB" w:rsidRPr="00AE0058" w14:paraId="01C002F2" w14:textId="77777777" w:rsidTr="006C07FA">
        <w:tc>
          <w:tcPr>
            <w:tcW w:w="1946" w:type="pct"/>
            <w:gridSpan w:val="3"/>
            <w:shd w:val="clear" w:color="auto" w:fill="D9D9D9" w:themeFill="background1" w:themeFillShade="D9"/>
            <w:vAlign w:val="center"/>
          </w:tcPr>
          <w:p w14:paraId="1E8375EB" w14:textId="77777777" w:rsidR="00744EBB" w:rsidRPr="00AE0058" w:rsidRDefault="00744EBB" w:rsidP="00FB2F0D">
            <w:pPr>
              <w:rPr>
                <w:b/>
                <w:color w:val="000000" w:themeColor="text1"/>
                <w:sz w:val="16"/>
                <w:szCs w:val="16"/>
              </w:rPr>
            </w:pPr>
            <w:r>
              <w:rPr>
                <w:b/>
                <w:color w:val="000000" w:themeColor="text1"/>
                <w:sz w:val="16"/>
                <w:szCs w:val="16"/>
              </w:rPr>
              <w:t xml:space="preserve">Total</w:t>
            </w:r>
          </w:p>
        </w:tc>
        <w:tc>
          <w:tcPr>
            <w:tcW w:w="474" w:type="pct"/>
            <w:gridSpan w:val="2"/>
            <w:shd w:val="clear" w:color="auto" w:fill="D9D9D9" w:themeFill="background1" w:themeFillShade="D9"/>
            <w:vAlign w:val="center"/>
          </w:tcPr>
          <w:p w14:paraId="344F6FD2" w14:textId="77777777" w:rsidR="00744EBB" w:rsidRPr="00AE0058" w:rsidRDefault="00744EBB" w:rsidP="00FB2F0D">
            <w:pPr>
              <w:jc w:val="right"/>
              <w:rPr>
                <w:b/>
                <w:bCs/>
                <w:color w:val="000000" w:themeColor="text1"/>
                <w:sz w:val="16"/>
                <w:szCs w:val="16"/>
              </w:rPr>
            </w:pPr>
            <w:r>
              <w:rPr>
                <w:b/>
                <w:bCs/>
                <w:color w:val="000000" w:themeColor="text1"/>
                <w:sz w:val="16"/>
                <w:szCs w:val="16"/>
              </w:rPr>
              <w:t xml:space="preserve">41</w:t>
            </w:r>
          </w:p>
        </w:tc>
        <w:tc>
          <w:tcPr>
            <w:tcW w:w="464" w:type="pct"/>
            <w:shd w:val="clear" w:color="auto" w:fill="D9D9D9" w:themeFill="background1" w:themeFillShade="D9"/>
            <w:vAlign w:val="center"/>
          </w:tcPr>
          <w:p w14:paraId="66818EA6" w14:textId="77777777" w:rsidR="00744EBB" w:rsidRPr="00AE0058" w:rsidRDefault="00744EBB" w:rsidP="00FB2F0D">
            <w:pPr>
              <w:jc w:val="right"/>
              <w:rPr>
                <w:b/>
                <w:bCs/>
                <w:color w:val="000000" w:themeColor="text1"/>
                <w:sz w:val="16"/>
                <w:szCs w:val="16"/>
              </w:rPr>
            </w:pPr>
            <w:r>
              <w:rPr>
                <w:b/>
                <w:bCs/>
                <w:color w:val="000000" w:themeColor="text1"/>
                <w:sz w:val="16"/>
                <w:szCs w:val="16"/>
              </w:rPr>
              <w:t xml:space="preserve">-</w:t>
            </w:r>
          </w:p>
        </w:tc>
        <w:tc>
          <w:tcPr>
            <w:tcW w:w="476" w:type="pct"/>
            <w:gridSpan w:val="2"/>
            <w:shd w:val="clear" w:color="auto" w:fill="D9D9D9" w:themeFill="background1" w:themeFillShade="D9"/>
            <w:vAlign w:val="center"/>
          </w:tcPr>
          <w:p w14:paraId="134A5B76" w14:textId="77777777" w:rsidR="00744EBB" w:rsidRPr="00AE0058" w:rsidRDefault="00744EBB" w:rsidP="00FB2F0D">
            <w:pPr>
              <w:jc w:val="right"/>
              <w:rPr>
                <w:b/>
                <w:bCs/>
                <w:color w:val="000000" w:themeColor="text1"/>
                <w:sz w:val="16"/>
                <w:szCs w:val="16"/>
              </w:rPr>
            </w:pPr>
            <w:r>
              <w:rPr>
                <w:b/>
                <w:bCs/>
                <w:color w:val="000000" w:themeColor="text1"/>
                <w:sz w:val="16"/>
                <w:szCs w:val="16"/>
              </w:rPr>
              <w:t xml:space="preserve">-</w:t>
            </w:r>
          </w:p>
        </w:tc>
        <w:tc>
          <w:tcPr>
            <w:tcW w:w="536" w:type="pct"/>
            <w:tcBorders>
              <w:right w:val="single" w:sz="12" w:space="0" w:color="auto"/>
            </w:tcBorders>
            <w:shd w:val="clear" w:color="auto" w:fill="D9D9D9" w:themeFill="background1" w:themeFillShade="D9"/>
            <w:vAlign w:val="center"/>
          </w:tcPr>
          <w:p w14:paraId="26A37996" w14:textId="77777777" w:rsidR="00744EBB" w:rsidRPr="00AE0058" w:rsidRDefault="00744EBB" w:rsidP="00FB2F0D">
            <w:pPr>
              <w:jc w:val="right"/>
              <w:rPr>
                <w:b/>
                <w:bCs/>
                <w:color w:val="000000" w:themeColor="text1"/>
                <w:sz w:val="16"/>
                <w:szCs w:val="16"/>
              </w:rPr>
            </w:pPr>
            <w:r>
              <w:rPr>
                <w:b/>
                <w:bCs/>
                <w:color w:val="000000" w:themeColor="text1"/>
                <w:sz w:val="16"/>
                <w:szCs w:val="16"/>
              </w:rPr>
              <w:t xml:space="preserve">-</w:t>
            </w:r>
          </w:p>
        </w:tc>
        <w:tc>
          <w:tcPr>
            <w:tcW w:w="1103" w:type="pct"/>
            <w:tcBorders>
              <w:left w:val="single" w:sz="12" w:space="0" w:color="auto"/>
            </w:tcBorders>
            <w:shd w:val="clear" w:color="auto" w:fill="D9D9D9" w:themeFill="background1" w:themeFillShade="D9"/>
            <w:vAlign w:val="center"/>
          </w:tcPr>
          <w:p w14:paraId="687C406A" w14:textId="77777777" w:rsidR="00744EBB" w:rsidRPr="00AE0058" w:rsidRDefault="00744EBB" w:rsidP="00FB2F0D">
            <w:pPr>
              <w:jc w:val="right"/>
              <w:rPr>
                <w:b/>
                <w:bCs/>
                <w:color w:val="000000" w:themeColor="text1"/>
                <w:sz w:val="16"/>
                <w:szCs w:val="16"/>
              </w:rPr>
            </w:pPr>
            <w:r>
              <w:rPr>
                <w:b/>
                <w:bCs/>
                <w:color w:val="000000" w:themeColor="text1"/>
                <w:sz w:val="16"/>
                <w:szCs w:val="16"/>
              </w:rPr>
              <w:t xml:space="preserve">41</w:t>
            </w:r>
          </w:p>
        </w:tc>
      </w:tr>
    </w:tbl>
    <w:p w14:paraId="6836E27D" w14:textId="77777777" w:rsidR="008A066F" w:rsidRPr="00AE0058" w:rsidRDefault="008A066F" w:rsidP="00C65795">
      <w:pPr>
        <w:pStyle w:val="Heading2"/>
        <w:keepNext w:val="0"/>
        <w:numPr>
          <w:ilvl w:val="1"/>
          <w:numId w:val="7"/>
        </w:numPr>
        <w:rPr>
          <w:rFonts w:eastAsiaTheme="minorHAnsi"/>
          <w:bCs w:val="0"/>
          <w:i w:val="0"/>
          <w:color w:val="000000" w:themeColor="text1"/>
          <w:szCs w:val="22"/>
        </w:rPr>
      </w:pPr>
    </w:p>
    <w:p w14:paraId="6B5C9C42" w14:textId="21A8EA72" w:rsidR="000B2F65" w:rsidRPr="00AE0058" w:rsidRDefault="000B2F65" w:rsidP="00632288">
      <w:pPr>
        <w:pStyle w:val="Heading2"/>
        <w:numPr>
          <w:ilvl w:val="1"/>
          <w:numId w:val="7"/>
        </w:numPr>
        <w:rPr>
          <w:bCs w:val="0"/>
          <w:i w:val="0"/>
          <w:color w:val="000000" w:themeColor="text1"/>
          <w:szCs w:val="22"/>
          <w:rFonts w:eastAsiaTheme="minorHAnsi"/>
        </w:rPr>
      </w:pPr>
      <w:r>
        <w:rPr>
          <w:bCs w:val="0"/>
          <w:i w:val="0"/>
          <w:color w:val="000000" w:themeColor="text1"/>
          <w:szCs w:val="22"/>
        </w:rPr>
        <w:t xml:space="preserve">E.3 Administration</w:t>
      </w:r>
    </w:p>
    <w:p w14:paraId="662923B9" w14:textId="77777777" w:rsidR="00E15DAD" w:rsidRPr="00AE0058" w:rsidRDefault="00E15DAD" w:rsidP="00E15DAD">
      <w:pPr>
        <w:rPr>
          <w:color w:val="000000" w:themeColor="text1"/>
        </w:rPr>
      </w:pPr>
      <w:r>
        <w:rPr>
          <w:color w:val="000000" w:themeColor="text1"/>
        </w:rPr>
        <w:t xml:space="preserve">La figure suivante représente l'estimation de la charge d'exécution administrative d'abord ventilée par organisme administratif (Office fédéral de la statistique (a), Offices statistiques des Länder (b), autres administrations fédérales (c), autres administrations des Länder (c)), puis présentée pour les différentes dispositions.</w:t>
      </w:r>
    </w:p>
    <w:p w14:paraId="1E7E38C8" w14:textId="77777777" w:rsidR="00AD27DC" w:rsidRPr="00AE0058" w:rsidRDefault="00AD27DC" w:rsidP="00C65795">
      <w:pPr>
        <w:pStyle w:val="ListParagraph"/>
        <w:keepNext/>
        <w:numPr>
          <w:ilvl w:val="0"/>
          <w:numId w:val="6"/>
        </w:numPr>
        <w:spacing w:before="240" w:after="120" w:line="360" w:lineRule="auto"/>
        <w:ind w:firstLine="0"/>
        <w:jc w:val="both"/>
        <w:rPr>
          <w:b/>
          <w:color w:val="000000" w:themeColor="text1"/>
          <w:rFonts w:ascii="MetaNormalLF-Roman" w:eastAsia="Times New Roman" w:hAnsi="MetaNormalLF-Roman" w:cs="Times New Roman"/>
        </w:rPr>
      </w:pPr>
      <w:r>
        <w:rPr>
          <w:b/>
          <w:color w:val="000000" w:themeColor="text1"/>
          <w:rFonts w:ascii="MetaNormalLF-Roman" w:hAnsi="MetaNormalLF-Roman"/>
        </w:rPr>
        <w:t xml:space="preserve">Office fédéral de la statistique</w:t>
      </w:r>
    </w:p>
    <w:p w14:paraId="6B550F38" w14:textId="0BE2B94C" w:rsidR="00AD27DC" w:rsidRPr="00AE0058" w:rsidRDefault="00E15DAD" w:rsidP="008A066F">
      <w:pPr>
        <w:spacing w:after="240"/>
        <w:rPr>
          <w:color w:val="000000" w:themeColor="text1"/>
        </w:rPr>
      </w:pPr>
      <w:r>
        <w:rPr>
          <w:color w:val="000000" w:themeColor="text1"/>
        </w:rPr>
        <w:t xml:space="preserve">Pour l'Office fédéral de la statistique, la charge annuelle d'exécution change d'environ 650 000 euros (voir tableau 6) et il existe une charge d'exécution unique d'environ 357 000 euros (voir tableau 7).</w:t>
      </w:r>
      <w:r>
        <w:rPr>
          <w:color w:val="000000" w:themeColor="text1"/>
        </w:rPr>
        <w:t xml:space="preserve"> </w:t>
      </w:r>
    </w:p>
    <w:p w14:paraId="3935CAE2" w14:textId="6F1B2067" w:rsidR="00FB2F0D" w:rsidRPr="00AE0058" w:rsidRDefault="00FB2F0D" w:rsidP="00C65795">
      <w:pPr>
        <w:pStyle w:val="Caption"/>
        <w:keepNext/>
        <w:rPr>
          <w:b/>
          <w:color w:val="000000" w:themeColor="text1"/>
        </w:rPr>
      </w:pPr>
      <w:r>
        <w:rPr>
          <w:b/>
          <w:color w:val="000000" w:themeColor="text1"/>
        </w:rPr>
        <w:t xml:space="preserve">Tableau 4 - Charge administrative d'exécution - charge </w:t>
      </w:r>
      <w:r>
        <w:rPr>
          <w:b/>
          <w:color w:val="000000" w:themeColor="text1"/>
          <w:u w:val="single"/>
        </w:rPr>
        <w:t xml:space="preserve">annuelle</w:t>
      </w:r>
      <w:r>
        <w:rPr>
          <w:b/>
          <w:color w:val="000000" w:themeColor="text1"/>
        </w:rPr>
        <w:t xml:space="preserve"> d'exécution, Office fédéral de la statistique</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7"/>
        <w:gridCol w:w="832"/>
        <w:gridCol w:w="2037"/>
        <w:gridCol w:w="822"/>
        <w:gridCol w:w="817"/>
        <w:gridCol w:w="825"/>
        <w:gridCol w:w="945"/>
        <w:gridCol w:w="1885"/>
      </w:tblGrid>
      <w:tr w:rsidR="009B48F6" w:rsidRPr="00AE0058" w14:paraId="1144A2EF" w14:textId="77777777" w:rsidTr="006C07FA">
        <w:tc>
          <w:tcPr>
            <w:tcW w:w="292" w:type="pct"/>
            <w:shd w:val="clear" w:color="auto" w:fill="D9D9D9" w:themeFill="background1" w:themeFillShade="D9"/>
            <w:vAlign w:val="center"/>
          </w:tcPr>
          <w:p w14:paraId="14622A4B" w14:textId="77777777" w:rsidR="009B48F6" w:rsidRPr="00AE0058" w:rsidRDefault="009B48F6" w:rsidP="00C65795">
            <w:pPr>
              <w:keepNext/>
              <w:rPr>
                <w:rFonts w:eastAsia="Times New Roman" w:cs="Times New Roman"/>
                <w:b/>
                <w:color w:val="000000" w:themeColor="text1"/>
                <w:sz w:val="16"/>
                <w:szCs w:val="16"/>
              </w:rPr>
            </w:pPr>
          </w:p>
        </w:tc>
        <w:tc>
          <w:tcPr>
            <w:tcW w:w="480" w:type="pct"/>
            <w:shd w:val="clear" w:color="auto" w:fill="D9D9D9" w:themeFill="background1" w:themeFillShade="D9"/>
            <w:vAlign w:val="center"/>
          </w:tcPr>
          <w:p w14:paraId="14FD3F03" w14:textId="77777777" w:rsidR="009B48F6" w:rsidRPr="00AE0058" w:rsidRDefault="009B48F6" w:rsidP="00C65795">
            <w:pPr>
              <w:keepNext/>
              <w:rPr>
                <w:rFonts w:eastAsia="Times New Roman" w:cs="Times New Roman"/>
                <w:b/>
                <w:color w:val="000000" w:themeColor="text1"/>
                <w:sz w:val="16"/>
                <w:szCs w:val="16"/>
              </w:rPr>
            </w:pPr>
          </w:p>
        </w:tc>
        <w:tc>
          <w:tcPr>
            <w:tcW w:w="1175" w:type="pct"/>
            <w:shd w:val="clear" w:color="auto" w:fill="D9D9D9" w:themeFill="background1" w:themeFillShade="D9"/>
            <w:vAlign w:val="center"/>
          </w:tcPr>
          <w:p w14:paraId="52671FAB" w14:textId="77777777" w:rsidR="009B48F6" w:rsidRPr="00AE0058" w:rsidRDefault="009B48F6" w:rsidP="00C65795">
            <w:pPr>
              <w:keepNext/>
              <w:rPr>
                <w:rFonts w:eastAsia="Times New Roman" w:cs="Times New Roman"/>
                <w:b/>
                <w:color w:val="000000" w:themeColor="text1"/>
                <w:sz w:val="16"/>
                <w:szCs w:val="16"/>
              </w:rPr>
            </w:pPr>
          </w:p>
        </w:tc>
        <w:tc>
          <w:tcPr>
            <w:tcW w:w="945" w:type="pct"/>
            <w:gridSpan w:val="2"/>
            <w:shd w:val="clear" w:color="auto" w:fill="D9D9D9" w:themeFill="background1" w:themeFillShade="D9"/>
            <w:vAlign w:val="center"/>
          </w:tcPr>
          <w:p w14:paraId="5936CB32" w14:textId="77777777" w:rsidR="009B48F6" w:rsidRPr="00AE0058" w:rsidRDefault="009B48F6" w:rsidP="00C65795">
            <w:pPr>
              <w:keepNext/>
              <w:rPr>
                <w:b/>
                <w:color w:val="000000" w:themeColor="text1"/>
                <w:sz w:val="16"/>
                <w:szCs w:val="16"/>
                <w:rFonts w:eastAsia="Times New Roman" w:cs="Times New Roman"/>
              </w:rPr>
            </w:pPr>
            <w:r>
              <w:rPr>
                <w:b/>
                <w:color w:val="000000" w:themeColor="text1"/>
                <w:sz w:val="16"/>
                <w:szCs w:val="16"/>
              </w:rPr>
              <w:t xml:space="preserve">Supplément de charge annuel</w:t>
            </w:r>
          </w:p>
        </w:tc>
        <w:tc>
          <w:tcPr>
            <w:tcW w:w="1021" w:type="pct"/>
            <w:gridSpan w:val="2"/>
            <w:tcBorders>
              <w:right w:val="single" w:sz="12" w:space="0" w:color="auto"/>
            </w:tcBorders>
            <w:shd w:val="clear" w:color="auto" w:fill="D9D9D9" w:themeFill="background1" w:themeFillShade="D9"/>
            <w:vAlign w:val="center"/>
          </w:tcPr>
          <w:p w14:paraId="261E2278" w14:textId="77777777" w:rsidR="009B48F6" w:rsidRPr="00AE0058" w:rsidRDefault="009B48F6" w:rsidP="00C65795">
            <w:pPr>
              <w:keepNext/>
              <w:rPr>
                <w:b/>
                <w:color w:val="000000" w:themeColor="text1"/>
                <w:sz w:val="16"/>
                <w:szCs w:val="16"/>
                <w:rFonts w:eastAsia="Times New Roman" w:cs="Times New Roman"/>
              </w:rPr>
            </w:pPr>
            <w:r>
              <w:rPr>
                <w:b/>
                <w:color w:val="000000" w:themeColor="text1"/>
                <w:sz w:val="16"/>
                <w:szCs w:val="16"/>
              </w:rPr>
              <w:t xml:space="preserve">Réduction de charge annuelle</w:t>
            </w:r>
          </w:p>
        </w:tc>
        <w:tc>
          <w:tcPr>
            <w:tcW w:w="1087" w:type="pct"/>
            <w:tcBorders>
              <w:left w:val="single" w:sz="12" w:space="0" w:color="auto"/>
            </w:tcBorders>
            <w:shd w:val="clear" w:color="auto" w:fill="D9D9D9" w:themeFill="background1" w:themeFillShade="D9"/>
            <w:vAlign w:val="center"/>
          </w:tcPr>
          <w:p w14:paraId="6D1D1F3F" w14:textId="77777777" w:rsidR="009B48F6" w:rsidRPr="00AE0058" w:rsidRDefault="009B48F6" w:rsidP="00C65795">
            <w:pPr>
              <w:keepNext/>
              <w:rPr>
                <w:b/>
                <w:color w:val="000000" w:themeColor="text1"/>
                <w:sz w:val="16"/>
              </w:rPr>
            </w:pPr>
            <w:r>
              <w:rPr>
                <w:b/>
                <w:color w:val="000000" w:themeColor="text1"/>
                <w:sz w:val="16"/>
              </w:rPr>
              <w:t xml:space="preserve">Charge d'exécution annuelle</w:t>
            </w:r>
          </w:p>
        </w:tc>
      </w:tr>
      <w:tr w:rsidR="009B48F6" w:rsidRPr="00AE0058" w14:paraId="71F0CEA1" w14:textId="77777777" w:rsidTr="006C07FA">
        <w:tc>
          <w:tcPr>
            <w:tcW w:w="292" w:type="pct"/>
            <w:shd w:val="clear" w:color="auto" w:fill="D9D9D9" w:themeFill="background1" w:themeFillShade="D9"/>
            <w:vAlign w:val="center"/>
          </w:tcPr>
          <w:p w14:paraId="112B65CC" w14:textId="77777777" w:rsidR="009B48F6" w:rsidRPr="00AE0058" w:rsidRDefault="009B48F6" w:rsidP="00C65795">
            <w:pPr>
              <w:keepNext/>
              <w:rPr>
                <w:b/>
                <w:color w:val="000000" w:themeColor="text1"/>
                <w:sz w:val="16"/>
              </w:rPr>
            </w:pPr>
            <w:r>
              <w:rPr>
                <w:b/>
                <w:color w:val="000000" w:themeColor="text1"/>
                <w:sz w:val="16"/>
                <w:szCs w:val="16"/>
              </w:rPr>
              <w:t xml:space="preserve">Disposition</w:t>
            </w:r>
          </w:p>
        </w:tc>
        <w:tc>
          <w:tcPr>
            <w:tcW w:w="480" w:type="pct"/>
            <w:shd w:val="clear" w:color="auto" w:fill="D9D9D9" w:themeFill="background1" w:themeFillShade="D9"/>
            <w:vAlign w:val="center"/>
          </w:tcPr>
          <w:p w14:paraId="48ECF4B6" w14:textId="13EB608B" w:rsidR="009B48F6" w:rsidRPr="00AE0058" w:rsidRDefault="009B48F6" w:rsidP="00C65795">
            <w:pPr>
              <w:keepNext/>
              <w:rPr>
                <w:b/>
                <w:color w:val="000000" w:themeColor="text1"/>
                <w:sz w:val="16"/>
              </w:rPr>
            </w:pPr>
            <w:r>
              <w:rPr>
                <w:b/>
                <w:color w:val="000000" w:themeColor="text1"/>
                <w:sz w:val="16"/>
                <w:szCs w:val="16"/>
              </w:rPr>
              <w:t xml:space="preserve">Paragraphe</w:t>
            </w:r>
            <w:r>
              <w:rPr>
                <w:b/>
                <w:color w:val="000000" w:themeColor="text1"/>
                <w:sz w:val="16"/>
                <w:szCs w:val="16"/>
              </w:rPr>
              <w:t xml:space="preserve"> </w:t>
            </w:r>
          </w:p>
        </w:tc>
        <w:tc>
          <w:tcPr>
            <w:tcW w:w="1175" w:type="pct"/>
            <w:shd w:val="clear" w:color="auto" w:fill="D9D9D9" w:themeFill="background1" w:themeFillShade="D9"/>
            <w:vAlign w:val="center"/>
          </w:tcPr>
          <w:p w14:paraId="4574CD66" w14:textId="77777777" w:rsidR="009B48F6" w:rsidRPr="00AE0058" w:rsidRDefault="009B48F6" w:rsidP="00C65795">
            <w:pPr>
              <w:keepNext/>
              <w:rPr>
                <w:b/>
                <w:color w:val="000000" w:themeColor="text1"/>
                <w:sz w:val="16"/>
                <w:szCs w:val="16"/>
                <w:rFonts w:eastAsia="Times New Roman" w:cs="Times New Roman"/>
              </w:rPr>
            </w:pPr>
            <w:r>
              <w:rPr>
                <w:b/>
                <w:color w:val="000000" w:themeColor="text1"/>
                <w:sz w:val="16"/>
                <w:szCs w:val="16"/>
              </w:rPr>
              <w:t xml:space="preserve">Désignation de la disposition</w:t>
            </w:r>
          </w:p>
        </w:tc>
        <w:tc>
          <w:tcPr>
            <w:tcW w:w="474" w:type="pct"/>
            <w:shd w:val="clear" w:color="auto" w:fill="D9D9D9" w:themeFill="background1" w:themeFillShade="D9"/>
            <w:vAlign w:val="center"/>
          </w:tcPr>
          <w:p w14:paraId="2CF88F62" w14:textId="77777777" w:rsidR="009B48F6" w:rsidRPr="00AE0058" w:rsidRDefault="009B48F6" w:rsidP="00C65795">
            <w:pPr>
              <w:keepNext/>
              <w:rPr>
                <w:b/>
                <w:color w:val="000000" w:themeColor="text1"/>
                <w:sz w:val="16"/>
                <w:szCs w:val="16"/>
                <w:rFonts w:eastAsia="Times New Roman" w:cs="Times New Roman"/>
              </w:rPr>
            </w:pPr>
            <w:r>
              <w:rPr>
                <w:b/>
                <w:color w:val="000000" w:themeColor="text1"/>
                <w:sz w:val="16"/>
                <w:szCs w:val="16"/>
              </w:rPr>
              <w:t xml:space="preserve">Frais de personnel</w:t>
            </w:r>
          </w:p>
        </w:tc>
        <w:tc>
          <w:tcPr>
            <w:tcW w:w="471" w:type="pct"/>
            <w:shd w:val="clear" w:color="auto" w:fill="D9D9D9" w:themeFill="background1" w:themeFillShade="D9"/>
            <w:vAlign w:val="center"/>
          </w:tcPr>
          <w:p w14:paraId="56A16776" w14:textId="77777777" w:rsidR="009B48F6" w:rsidRPr="00AE0058" w:rsidRDefault="009B48F6" w:rsidP="00C65795">
            <w:pPr>
              <w:keepNext/>
              <w:rPr>
                <w:b/>
                <w:color w:val="000000" w:themeColor="text1"/>
                <w:sz w:val="16"/>
                <w:szCs w:val="16"/>
                <w:rFonts w:eastAsia="Times New Roman" w:cs="Times New Roman"/>
              </w:rPr>
            </w:pPr>
            <w:r>
              <w:rPr>
                <w:b/>
                <w:color w:val="000000" w:themeColor="text1"/>
                <w:sz w:val="16"/>
                <w:szCs w:val="16"/>
              </w:rPr>
              <w:t xml:space="preserve">Dépenses de matériel</w:t>
            </w:r>
          </w:p>
        </w:tc>
        <w:tc>
          <w:tcPr>
            <w:tcW w:w="476" w:type="pct"/>
            <w:shd w:val="clear" w:color="auto" w:fill="D9D9D9" w:themeFill="background1" w:themeFillShade="D9"/>
            <w:vAlign w:val="center"/>
          </w:tcPr>
          <w:p w14:paraId="090AF0F0" w14:textId="77777777" w:rsidR="009B48F6" w:rsidRPr="00AE0058" w:rsidRDefault="009B48F6" w:rsidP="00C65795">
            <w:pPr>
              <w:keepNext/>
              <w:rPr>
                <w:b/>
                <w:color w:val="000000" w:themeColor="text1"/>
                <w:sz w:val="16"/>
                <w:szCs w:val="16"/>
                <w:rFonts w:eastAsia="Times New Roman" w:cs="Times New Roman"/>
              </w:rPr>
            </w:pPr>
            <w:r>
              <w:rPr>
                <w:b/>
                <w:color w:val="000000" w:themeColor="text1"/>
                <w:sz w:val="16"/>
                <w:szCs w:val="16"/>
              </w:rPr>
              <w:t xml:space="preserve">Frais de personnel</w:t>
            </w:r>
          </w:p>
        </w:tc>
        <w:tc>
          <w:tcPr>
            <w:tcW w:w="545" w:type="pct"/>
            <w:tcBorders>
              <w:right w:val="single" w:sz="12" w:space="0" w:color="auto"/>
            </w:tcBorders>
            <w:shd w:val="clear" w:color="auto" w:fill="D9D9D9" w:themeFill="background1" w:themeFillShade="D9"/>
            <w:vAlign w:val="center"/>
          </w:tcPr>
          <w:p w14:paraId="03C9DD37" w14:textId="77777777" w:rsidR="009B48F6" w:rsidRPr="00AE0058" w:rsidRDefault="009B48F6" w:rsidP="00C65795">
            <w:pPr>
              <w:keepNext/>
              <w:rPr>
                <w:b/>
                <w:color w:val="000000" w:themeColor="text1"/>
                <w:sz w:val="16"/>
                <w:szCs w:val="16"/>
                <w:rFonts w:eastAsia="Times New Roman" w:cs="Times New Roman"/>
              </w:rPr>
            </w:pPr>
            <w:r>
              <w:rPr>
                <w:b/>
                <w:color w:val="000000" w:themeColor="text1"/>
                <w:sz w:val="16"/>
                <w:szCs w:val="16"/>
              </w:rPr>
              <w:t xml:space="preserve">Dépenses de matériel</w:t>
            </w:r>
          </w:p>
        </w:tc>
        <w:tc>
          <w:tcPr>
            <w:tcW w:w="1087" w:type="pct"/>
            <w:tcBorders>
              <w:left w:val="single" w:sz="12" w:space="0" w:color="auto"/>
            </w:tcBorders>
            <w:shd w:val="clear" w:color="auto" w:fill="D9D9D9" w:themeFill="background1" w:themeFillShade="D9"/>
            <w:vAlign w:val="center"/>
          </w:tcPr>
          <w:p w14:paraId="72383908" w14:textId="77777777" w:rsidR="009B48F6" w:rsidRPr="00AE0058" w:rsidRDefault="009B48F6" w:rsidP="00C65795">
            <w:pPr>
              <w:keepNext/>
              <w:rPr>
                <w:b/>
                <w:color w:val="000000" w:themeColor="text1"/>
                <w:sz w:val="16"/>
                <w:szCs w:val="16"/>
                <w:rFonts w:eastAsia="Times New Roman" w:cs="Times New Roman"/>
              </w:rPr>
            </w:pPr>
            <w:r>
              <w:rPr>
                <w:b/>
                <w:color w:val="000000" w:themeColor="text1"/>
                <w:sz w:val="16"/>
                <w:szCs w:val="16"/>
              </w:rPr>
              <w:t xml:space="preserve">Dépenses totales</w:t>
            </w:r>
          </w:p>
        </w:tc>
      </w:tr>
      <w:tr w:rsidR="009B48F6" w:rsidRPr="00AE0058" w14:paraId="04FBB263" w14:textId="77777777" w:rsidTr="006C07FA">
        <w:tc>
          <w:tcPr>
            <w:tcW w:w="292" w:type="pct"/>
            <w:shd w:val="clear" w:color="auto" w:fill="D9D9D9" w:themeFill="background1" w:themeFillShade="D9"/>
            <w:vAlign w:val="center"/>
          </w:tcPr>
          <w:p w14:paraId="3E33F7E4" w14:textId="77777777" w:rsidR="009B48F6" w:rsidRPr="00AE0058" w:rsidRDefault="009B48F6" w:rsidP="00C65795">
            <w:pPr>
              <w:keepNext/>
              <w:rPr>
                <w:rFonts w:eastAsia="Times New Roman" w:cs="Times New Roman"/>
                <w:b/>
                <w:color w:val="000000" w:themeColor="text1"/>
                <w:sz w:val="16"/>
                <w:szCs w:val="16"/>
              </w:rPr>
            </w:pPr>
          </w:p>
        </w:tc>
        <w:tc>
          <w:tcPr>
            <w:tcW w:w="480" w:type="pct"/>
            <w:shd w:val="clear" w:color="auto" w:fill="D9D9D9" w:themeFill="background1" w:themeFillShade="D9"/>
            <w:vAlign w:val="center"/>
          </w:tcPr>
          <w:p w14:paraId="6AB9B3FA" w14:textId="77777777" w:rsidR="009B48F6" w:rsidRPr="00AE0058" w:rsidRDefault="009B48F6" w:rsidP="00C65795">
            <w:pPr>
              <w:keepNext/>
              <w:rPr>
                <w:rFonts w:eastAsia="Times New Roman" w:cs="Times New Roman"/>
                <w:b/>
                <w:color w:val="000000" w:themeColor="text1"/>
                <w:sz w:val="16"/>
                <w:szCs w:val="16"/>
              </w:rPr>
            </w:pPr>
          </w:p>
        </w:tc>
        <w:tc>
          <w:tcPr>
            <w:tcW w:w="1175" w:type="pct"/>
            <w:shd w:val="clear" w:color="auto" w:fill="D9D9D9" w:themeFill="background1" w:themeFillShade="D9"/>
            <w:vAlign w:val="center"/>
          </w:tcPr>
          <w:p w14:paraId="713A68F7" w14:textId="77777777" w:rsidR="009B48F6" w:rsidRPr="00AE0058" w:rsidRDefault="009B48F6" w:rsidP="00C65795">
            <w:pPr>
              <w:keepNext/>
              <w:rPr>
                <w:rFonts w:eastAsia="Times New Roman" w:cs="Times New Roman"/>
                <w:b/>
                <w:color w:val="000000" w:themeColor="text1"/>
                <w:sz w:val="16"/>
                <w:szCs w:val="16"/>
              </w:rPr>
            </w:pPr>
          </w:p>
        </w:tc>
        <w:tc>
          <w:tcPr>
            <w:tcW w:w="3053" w:type="pct"/>
            <w:gridSpan w:val="5"/>
            <w:shd w:val="clear" w:color="auto" w:fill="D9D9D9" w:themeFill="background1" w:themeFillShade="D9"/>
            <w:vAlign w:val="center"/>
          </w:tcPr>
          <w:p w14:paraId="68D9C231" w14:textId="77777777" w:rsidR="009B48F6" w:rsidRPr="00AE0058" w:rsidRDefault="009B48F6" w:rsidP="00C65795">
            <w:pPr>
              <w:keepNext/>
              <w:jc w:val="center"/>
              <w:rPr>
                <w:b/>
                <w:color w:val="000000" w:themeColor="text1"/>
                <w:sz w:val="16"/>
              </w:rPr>
            </w:pPr>
            <w:r>
              <w:rPr>
                <w:b/>
                <w:color w:val="000000" w:themeColor="text1"/>
                <w:sz w:val="16"/>
              </w:rPr>
              <w:t xml:space="preserve">en milliers</w:t>
            </w:r>
            <w:r>
              <w:rPr>
                <w:b/>
                <w:color w:val="000000" w:themeColor="text1"/>
                <w:sz w:val="16"/>
              </w:rPr>
              <w:t xml:space="preserve"> </w:t>
            </w:r>
            <w:r>
              <w:rPr>
                <w:b/>
                <w:color w:val="000000" w:themeColor="text1"/>
                <w:sz w:val="16"/>
                <w:szCs w:val="16"/>
              </w:rPr>
              <w:t xml:space="preserve">d’euros</w:t>
            </w:r>
          </w:p>
        </w:tc>
      </w:tr>
      <w:tr w:rsidR="00D241FE" w:rsidRPr="00AE0058" w14:paraId="453C668A" w14:textId="77777777" w:rsidTr="006C07FA">
        <w:tc>
          <w:tcPr>
            <w:tcW w:w="292" w:type="pct"/>
            <w:shd w:val="clear" w:color="auto" w:fill="auto"/>
            <w:vAlign w:val="center"/>
          </w:tcPr>
          <w:p w14:paraId="46F7389C" w14:textId="77777777" w:rsidR="00D241FE" w:rsidRPr="00AE0058" w:rsidRDefault="00D241FE" w:rsidP="00D241FE">
            <w:pPr>
              <w:rPr>
                <w:color w:val="000000" w:themeColor="text1"/>
                <w:sz w:val="16"/>
                <w:szCs w:val="16"/>
                <w:rFonts w:eastAsia="Times New Roman" w:cs="Times New Roman"/>
              </w:rPr>
            </w:pPr>
            <w:r>
              <w:rPr>
                <w:color w:val="000000" w:themeColor="text1"/>
                <w:sz w:val="16"/>
                <w:szCs w:val="16"/>
              </w:rPr>
              <w:t xml:space="preserve">1</w:t>
            </w:r>
          </w:p>
        </w:tc>
        <w:tc>
          <w:tcPr>
            <w:tcW w:w="480" w:type="pct"/>
            <w:shd w:val="clear" w:color="auto" w:fill="auto"/>
            <w:vAlign w:val="center"/>
          </w:tcPr>
          <w:p w14:paraId="15439ECD" w14:textId="7105BE9D" w:rsidR="00D241FE" w:rsidRPr="00AE0058" w:rsidRDefault="00D241FE" w:rsidP="00D241FE">
            <w:pPr>
              <w:rPr>
                <w:color w:val="000000" w:themeColor="text1"/>
                <w:sz w:val="16"/>
                <w:szCs w:val="16"/>
                <w:rFonts w:eastAsia="Times New Roman" w:cs="Times New Roman"/>
              </w:rPr>
            </w:pPr>
            <w:r>
              <w:rPr>
                <w:color w:val="000000" w:themeColor="text1"/>
                <w:sz w:val="16"/>
                <w:szCs w:val="16"/>
                <w:rFonts w:ascii="MetaNormalLF-Roman" w:hAnsi="MetaNormalLF-Roman"/>
              </w:rPr>
              <w:t xml:space="preserve">Article 3, paragraphe 2, point 2 UStatG</w:t>
            </w:r>
          </w:p>
        </w:tc>
        <w:tc>
          <w:tcPr>
            <w:tcW w:w="1175" w:type="pct"/>
            <w:tcBorders>
              <w:top w:val="single" w:sz="4" w:space="0" w:color="auto"/>
              <w:left w:val="single" w:sz="4" w:space="0" w:color="auto"/>
              <w:bottom w:val="single" w:sz="4" w:space="0" w:color="auto"/>
              <w:right w:val="single" w:sz="8" w:space="0" w:color="auto"/>
            </w:tcBorders>
            <w:shd w:val="clear" w:color="auto" w:fill="auto"/>
            <w:vAlign w:val="center"/>
          </w:tcPr>
          <w:p w14:paraId="5E2FE80D" w14:textId="6F8618CB" w:rsidR="00D241FE" w:rsidRPr="00AE0058" w:rsidRDefault="00D241FE" w:rsidP="00D241FE">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des caractéristiques supplémentaires - Statistiques sur les déchets - Office fédéral de la statistique</w:t>
            </w:r>
          </w:p>
        </w:tc>
        <w:tc>
          <w:tcPr>
            <w:tcW w:w="474" w:type="pct"/>
            <w:shd w:val="clear" w:color="auto" w:fill="auto"/>
            <w:vAlign w:val="center"/>
          </w:tcPr>
          <w:p w14:paraId="6EE622CC"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58</w:t>
            </w:r>
          </w:p>
        </w:tc>
        <w:tc>
          <w:tcPr>
            <w:tcW w:w="471" w:type="pct"/>
            <w:shd w:val="clear" w:color="auto" w:fill="auto"/>
            <w:vAlign w:val="center"/>
          </w:tcPr>
          <w:p w14:paraId="0DD1D16A"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476" w:type="pct"/>
            <w:shd w:val="clear" w:color="auto" w:fill="auto"/>
            <w:vAlign w:val="center"/>
          </w:tcPr>
          <w:p w14:paraId="455B992A"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545" w:type="pct"/>
            <w:tcBorders>
              <w:right w:val="single" w:sz="12" w:space="0" w:color="auto"/>
            </w:tcBorders>
            <w:shd w:val="clear" w:color="auto" w:fill="auto"/>
            <w:vAlign w:val="center"/>
          </w:tcPr>
          <w:p w14:paraId="660FA8F0"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1087" w:type="pct"/>
            <w:tcBorders>
              <w:left w:val="single" w:sz="12" w:space="0" w:color="auto"/>
            </w:tcBorders>
            <w:shd w:val="clear" w:color="auto" w:fill="auto"/>
            <w:vAlign w:val="center"/>
          </w:tcPr>
          <w:p w14:paraId="01D0E060"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58</w:t>
            </w:r>
          </w:p>
        </w:tc>
      </w:tr>
      <w:tr w:rsidR="00D241FE" w:rsidRPr="00AE0058" w14:paraId="3F4CCBE6" w14:textId="77777777" w:rsidTr="006C07FA">
        <w:tc>
          <w:tcPr>
            <w:tcW w:w="292" w:type="pct"/>
            <w:shd w:val="clear" w:color="auto" w:fill="auto"/>
            <w:vAlign w:val="center"/>
          </w:tcPr>
          <w:p w14:paraId="3936A7A8" w14:textId="77777777" w:rsidR="00D241FE" w:rsidRPr="00AE0058" w:rsidRDefault="00D241FE" w:rsidP="00D241FE">
            <w:pPr>
              <w:rPr>
                <w:color w:val="000000" w:themeColor="text1"/>
                <w:sz w:val="16"/>
                <w:szCs w:val="16"/>
                <w:rFonts w:eastAsia="Times New Roman" w:cs="Times New Roman"/>
              </w:rPr>
            </w:pPr>
            <w:r>
              <w:rPr>
                <w:color w:val="000000" w:themeColor="text1"/>
                <w:sz w:val="16"/>
                <w:szCs w:val="16"/>
              </w:rPr>
              <w:t xml:space="preserve">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0CABB9D" w14:textId="3AA7C243" w:rsidR="00D241FE" w:rsidRPr="00AE0058" w:rsidRDefault="00D241FE" w:rsidP="00D241FE">
            <w:pPr>
              <w:rPr>
                <w:color w:val="000000" w:themeColor="text1"/>
                <w:sz w:val="16"/>
                <w:szCs w:val="16"/>
                <w:rFonts w:ascii="MetaNormalLF-Roman" w:hAnsi="MetaNormalLF-Roman" w:cs="Calibri"/>
              </w:rPr>
            </w:pPr>
            <w:r>
              <w:rPr>
                <w:color w:val="000000" w:themeColor="text1"/>
                <w:sz w:val="16"/>
                <w:szCs w:val="16"/>
              </w:rPr>
              <w:t xml:space="preserve">Article 5a UStatG en liaison avec l'article 2, paragraphe 1, point 4 UStatG</w:t>
            </w:r>
          </w:p>
        </w:tc>
        <w:tc>
          <w:tcPr>
            <w:tcW w:w="1175" w:type="pct"/>
            <w:tcBorders>
              <w:top w:val="nil"/>
              <w:left w:val="single" w:sz="4" w:space="0" w:color="auto"/>
              <w:bottom w:val="single" w:sz="4" w:space="0" w:color="auto"/>
              <w:right w:val="single" w:sz="8" w:space="0" w:color="auto"/>
            </w:tcBorders>
            <w:shd w:val="clear" w:color="auto" w:fill="auto"/>
            <w:vAlign w:val="center"/>
          </w:tcPr>
          <w:p w14:paraId="7C8C38DE" w14:textId="302C7F74" w:rsidR="00D241FE" w:rsidRPr="00AE0058" w:rsidRDefault="00D241FE" w:rsidP="00D241FE">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la mise sur le marché et l'élimination de certains produits - Office fédéral de la statistique</w:t>
            </w:r>
          </w:p>
        </w:tc>
        <w:tc>
          <w:tcPr>
            <w:tcW w:w="474" w:type="pct"/>
            <w:shd w:val="clear" w:color="auto" w:fill="auto"/>
            <w:vAlign w:val="center"/>
          </w:tcPr>
          <w:p w14:paraId="2A6E9DC1"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356</w:t>
            </w:r>
          </w:p>
        </w:tc>
        <w:tc>
          <w:tcPr>
            <w:tcW w:w="471" w:type="pct"/>
            <w:shd w:val="clear" w:color="auto" w:fill="auto"/>
            <w:vAlign w:val="center"/>
          </w:tcPr>
          <w:p w14:paraId="70A6B2ED"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476" w:type="pct"/>
            <w:shd w:val="clear" w:color="auto" w:fill="auto"/>
            <w:vAlign w:val="center"/>
          </w:tcPr>
          <w:p w14:paraId="462B28AE"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545" w:type="pct"/>
            <w:tcBorders>
              <w:right w:val="single" w:sz="12" w:space="0" w:color="auto"/>
            </w:tcBorders>
            <w:shd w:val="clear" w:color="auto" w:fill="auto"/>
            <w:vAlign w:val="center"/>
          </w:tcPr>
          <w:p w14:paraId="00C47B59"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1087" w:type="pct"/>
            <w:tcBorders>
              <w:left w:val="single" w:sz="12" w:space="0" w:color="auto"/>
            </w:tcBorders>
            <w:shd w:val="clear" w:color="auto" w:fill="auto"/>
            <w:vAlign w:val="center"/>
          </w:tcPr>
          <w:p w14:paraId="0CBCBA89"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356</w:t>
            </w:r>
          </w:p>
        </w:tc>
      </w:tr>
      <w:tr w:rsidR="00D241FE" w:rsidRPr="00AE0058" w14:paraId="7AE041CF" w14:textId="77777777" w:rsidTr="006C07FA">
        <w:tc>
          <w:tcPr>
            <w:tcW w:w="292" w:type="pct"/>
            <w:shd w:val="clear" w:color="auto" w:fill="auto"/>
            <w:vAlign w:val="center"/>
          </w:tcPr>
          <w:p w14:paraId="00370964" w14:textId="77777777" w:rsidR="00D241FE" w:rsidRPr="00AE0058" w:rsidRDefault="00D241FE" w:rsidP="00D241FE">
            <w:pPr>
              <w:rPr>
                <w:color w:val="000000" w:themeColor="text1"/>
                <w:sz w:val="16"/>
                <w:szCs w:val="16"/>
                <w:rFonts w:eastAsia="Times New Roman" w:cs="Times New Roman"/>
              </w:rPr>
            </w:pPr>
            <w:r>
              <w:rPr>
                <w:color w:val="000000" w:themeColor="text1"/>
                <w:sz w:val="16"/>
                <w:szCs w:val="16"/>
              </w:rPr>
              <w:t xml:space="preserve">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A70006B" w14:textId="225F3364" w:rsidR="00D241FE" w:rsidRPr="00AE0058" w:rsidRDefault="00D241FE" w:rsidP="00D241FE">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5, paragraphe 2 UStatG</w:t>
            </w:r>
          </w:p>
        </w:tc>
        <w:tc>
          <w:tcPr>
            <w:tcW w:w="1175" w:type="pct"/>
            <w:tcBorders>
              <w:top w:val="nil"/>
              <w:left w:val="single" w:sz="4" w:space="0" w:color="auto"/>
              <w:bottom w:val="single" w:sz="4" w:space="0" w:color="auto"/>
              <w:right w:val="single" w:sz="8" w:space="0" w:color="auto"/>
            </w:tcBorders>
            <w:shd w:val="clear" w:color="auto" w:fill="auto"/>
            <w:vAlign w:val="center"/>
          </w:tcPr>
          <w:p w14:paraId="15CCE077" w14:textId="263C498A" w:rsidR="00D241FE" w:rsidRPr="00AE0058" w:rsidRDefault="00D241FE" w:rsidP="00D241FE">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la collecte des emballages de transport et des emballages secondaires - Office fédéral de la statistique</w:t>
            </w:r>
          </w:p>
        </w:tc>
        <w:tc>
          <w:tcPr>
            <w:tcW w:w="474" w:type="pct"/>
            <w:shd w:val="clear" w:color="auto" w:fill="auto"/>
            <w:vAlign w:val="center"/>
          </w:tcPr>
          <w:p w14:paraId="6FCC040D"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471" w:type="pct"/>
            <w:shd w:val="clear" w:color="auto" w:fill="auto"/>
            <w:vAlign w:val="center"/>
          </w:tcPr>
          <w:p w14:paraId="00C46A3A"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476" w:type="pct"/>
            <w:shd w:val="clear" w:color="auto" w:fill="auto"/>
            <w:vAlign w:val="center"/>
          </w:tcPr>
          <w:p w14:paraId="0A2BDE28"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89</w:t>
            </w:r>
          </w:p>
        </w:tc>
        <w:tc>
          <w:tcPr>
            <w:tcW w:w="545" w:type="pct"/>
            <w:tcBorders>
              <w:right w:val="single" w:sz="12" w:space="0" w:color="auto"/>
            </w:tcBorders>
            <w:shd w:val="clear" w:color="auto" w:fill="auto"/>
            <w:vAlign w:val="center"/>
          </w:tcPr>
          <w:p w14:paraId="4FF66904"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1087" w:type="pct"/>
            <w:tcBorders>
              <w:left w:val="single" w:sz="12" w:space="0" w:color="auto"/>
            </w:tcBorders>
            <w:shd w:val="clear" w:color="auto" w:fill="auto"/>
            <w:vAlign w:val="center"/>
          </w:tcPr>
          <w:p w14:paraId="3B27A48B"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-89</w:t>
            </w:r>
          </w:p>
        </w:tc>
      </w:tr>
      <w:tr w:rsidR="00D241FE" w:rsidRPr="00AE0058" w14:paraId="6540DE43" w14:textId="77777777" w:rsidTr="006C07FA">
        <w:tc>
          <w:tcPr>
            <w:tcW w:w="292" w:type="pct"/>
            <w:shd w:val="clear" w:color="auto" w:fill="auto"/>
            <w:vAlign w:val="center"/>
          </w:tcPr>
          <w:p w14:paraId="08498FD3" w14:textId="71683059" w:rsidR="00D241FE" w:rsidRPr="00AE0058" w:rsidRDefault="00D241FE" w:rsidP="00D241FE">
            <w:pPr>
              <w:rPr>
                <w:color w:val="000000" w:themeColor="text1"/>
                <w:sz w:val="16"/>
                <w:szCs w:val="16"/>
                <w:rFonts w:eastAsia="Times New Roman" w:cs="Times New Roman"/>
              </w:rPr>
            </w:pPr>
            <w:r>
              <w:rPr>
                <w:color w:val="000000" w:themeColor="text1"/>
                <w:sz w:val="16"/>
                <w:szCs w:val="16"/>
              </w:rPr>
              <w:t xml:space="preserve">7</w:t>
            </w:r>
          </w:p>
        </w:tc>
        <w:tc>
          <w:tcPr>
            <w:tcW w:w="480" w:type="pct"/>
            <w:tcBorders>
              <w:top w:val="nil"/>
              <w:left w:val="single" w:sz="4" w:space="0" w:color="auto"/>
              <w:bottom w:val="single" w:sz="4" w:space="0" w:color="auto"/>
              <w:right w:val="single" w:sz="4" w:space="0" w:color="auto"/>
            </w:tcBorders>
            <w:shd w:val="clear" w:color="auto" w:fill="auto"/>
            <w:vAlign w:val="center"/>
          </w:tcPr>
          <w:p w14:paraId="091F3B3E" w14:textId="24652539" w:rsidR="00D241FE" w:rsidRPr="00AE0058" w:rsidRDefault="00D241FE" w:rsidP="00D241FE">
            <w:pPr>
              <w:rPr>
                <w:color w:val="000000" w:themeColor="text1"/>
                <w:sz w:val="16"/>
                <w:szCs w:val="16"/>
                <w:rFonts w:ascii="MetaNormalLF-Roman" w:hAnsi="MetaNormalLF-Roman" w:cs="Calibri"/>
              </w:rPr>
            </w:pPr>
            <w:r>
              <w:rPr>
                <w:sz w:val="16"/>
                <w:szCs w:val="16"/>
                <w:color w:val="000000" w:themeColor="text1"/>
                <w:rFonts w:ascii="MetaNormalLF-Roman" w:hAnsi="MetaNormalLF-Roman"/>
              </w:rPr>
              <w:t xml:space="preserve">Article 11, paragraphe 1, phrase 1, point 1 et phrase 2</w:t>
            </w:r>
            <w:r>
              <w:rPr>
                <w:sz w:val="16"/>
                <w:szCs w:val="16"/>
                <w:color w:val="FF0000"/>
                <w:rFonts w:ascii="MetaNormalLF-Roman" w:hAnsi="MetaNormalLF-Roman"/>
              </w:rPr>
              <w:t xml:space="preserve"> </w:t>
            </w:r>
            <w:r>
              <w:rPr>
                <w:sz w:val="16"/>
                <w:szCs w:val="16"/>
                <w:color w:val="000000" w:themeColor="text1"/>
                <w:rFonts w:ascii="MetaNormalLF-Roman" w:hAnsi="MetaNormalLF-Roman"/>
              </w:rPr>
              <w:t xml:space="preserve">UStatG</w:t>
            </w:r>
          </w:p>
        </w:tc>
        <w:tc>
          <w:tcPr>
            <w:tcW w:w="1175" w:type="pct"/>
            <w:tcBorders>
              <w:top w:val="nil"/>
              <w:left w:val="single" w:sz="4" w:space="0" w:color="auto"/>
              <w:bottom w:val="single" w:sz="4" w:space="0" w:color="auto"/>
              <w:right w:val="single" w:sz="8" w:space="0" w:color="auto"/>
            </w:tcBorders>
            <w:shd w:val="clear" w:color="auto" w:fill="auto"/>
            <w:vAlign w:val="center"/>
          </w:tcPr>
          <w:p w14:paraId="0E3065BC" w14:textId="635AAEA4" w:rsidR="00D241FE" w:rsidRPr="00AE0058" w:rsidRDefault="00D241FE" w:rsidP="00D241FE">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les investissements pour la protection de l'environnement - Office fédéral de la statistique</w:t>
            </w:r>
          </w:p>
        </w:tc>
        <w:tc>
          <w:tcPr>
            <w:tcW w:w="474" w:type="pct"/>
            <w:shd w:val="clear" w:color="auto" w:fill="auto"/>
            <w:vAlign w:val="center"/>
          </w:tcPr>
          <w:p w14:paraId="71BB9737" w14:textId="2640D07E"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74</w:t>
            </w:r>
          </w:p>
        </w:tc>
        <w:tc>
          <w:tcPr>
            <w:tcW w:w="471" w:type="pct"/>
            <w:shd w:val="clear" w:color="auto" w:fill="auto"/>
            <w:vAlign w:val="center"/>
          </w:tcPr>
          <w:p w14:paraId="44A5027B" w14:textId="726BE4F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8</w:t>
            </w:r>
          </w:p>
        </w:tc>
        <w:tc>
          <w:tcPr>
            <w:tcW w:w="476" w:type="pct"/>
            <w:shd w:val="clear" w:color="auto" w:fill="auto"/>
            <w:vAlign w:val="center"/>
          </w:tcPr>
          <w:p w14:paraId="095CF8EF"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545" w:type="pct"/>
            <w:tcBorders>
              <w:right w:val="single" w:sz="12" w:space="0" w:color="auto"/>
            </w:tcBorders>
            <w:shd w:val="clear" w:color="auto" w:fill="auto"/>
            <w:vAlign w:val="center"/>
          </w:tcPr>
          <w:p w14:paraId="4EC6B0E8"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1087" w:type="pct"/>
            <w:tcBorders>
              <w:left w:val="single" w:sz="12" w:space="0" w:color="auto"/>
            </w:tcBorders>
            <w:shd w:val="clear" w:color="auto" w:fill="auto"/>
            <w:vAlign w:val="center"/>
          </w:tcPr>
          <w:p w14:paraId="377D8415" w14:textId="7CE952A1"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82</w:t>
            </w:r>
          </w:p>
        </w:tc>
      </w:tr>
      <w:tr w:rsidR="00D241FE" w:rsidRPr="00AE0058" w14:paraId="53916BBA" w14:textId="77777777" w:rsidTr="006C07FA">
        <w:tc>
          <w:tcPr>
            <w:tcW w:w="292" w:type="pct"/>
            <w:shd w:val="clear" w:color="auto" w:fill="auto"/>
            <w:vAlign w:val="center"/>
          </w:tcPr>
          <w:p w14:paraId="049B98DE" w14:textId="1102453B" w:rsidR="00D241FE" w:rsidRPr="00AE0058" w:rsidRDefault="00D241FE" w:rsidP="00D241FE">
            <w:pPr>
              <w:rPr>
                <w:color w:val="000000" w:themeColor="text1"/>
                <w:sz w:val="16"/>
                <w:szCs w:val="16"/>
                <w:rFonts w:eastAsia="Times New Roman" w:cs="Times New Roman"/>
              </w:rPr>
            </w:pPr>
            <w:r>
              <w:rPr>
                <w:color w:val="000000" w:themeColor="text1"/>
                <w:sz w:val="16"/>
                <w:szCs w:val="16"/>
              </w:rPr>
              <w:t xml:space="preserve">8</w:t>
            </w:r>
          </w:p>
        </w:tc>
        <w:tc>
          <w:tcPr>
            <w:tcW w:w="480" w:type="pct"/>
            <w:tcBorders>
              <w:top w:val="nil"/>
              <w:left w:val="single" w:sz="4" w:space="0" w:color="auto"/>
              <w:bottom w:val="single" w:sz="4" w:space="0" w:color="auto"/>
              <w:right w:val="single" w:sz="4" w:space="0" w:color="auto"/>
            </w:tcBorders>
            <w:shd w:val="clear" w:color="auto" w:fill="auto"/>
            <w:vAlign w:val="center"/>
          </w:tcPr>
          <w:p w14:paraId="60443F09" w14:textId="65C382A0" w:rsidR="00D241FE" w:rsidRPr="00AE0058" w:rsidRDefault="00D241FE" w:rsidP="00D241FE">
            <w:pPr>
              <w:rPr>
                <w:color w:val="000000" w:themeColor="text1"/>
                <w:sz w:val="16"/>
                <w:szCs w:val="16"/>
                <w:rFonts w:ascii="MetaNormalLF-Roman" w:hAnsi="MetaNormalLF-Roman" w:cs="Calibri"/>
              </w:rPr>
            </w:pPr>
            <w:r>
              <w:rPr>
                <w:sz w:val="16"/>
                <w:szCs w:val="16"/>
                <w:color w:val="000000" w:themeColor="text1"/>
                <w:rFonts w:ascii="MetaNormalLF-Roman" w:hAnsi="MetaNormalLF-Roman"/>
              </w:rPr>
              <w:t xml:space="preserve">Article 11, paragraphe 1, phrase 1, point 1 et phrase 2</w:t>
            </w:r>
            <w:r>
              <w:rPr>
                <w:sz w:val="16"/>
                <w:szCs w:val="16"/>
                <w:strike/>
                <w:color w:val="FF0000"/>
                <w:rFonts w:ascii="MetaNormalLF-Roman" w:hAnsi="MetaNormalLF-Roman"/>
              </w:rPr>
              <w:t xml:space="preserve"> </w:t>
            </w:r>
            <w:r>
              <w:rPr>
                <w:sz w:val="16"/>
                <w:szCs w:val="16"/>
                <w:color w:val="000000" w:themeColor="text1"/>
                <w:rFonts w:ascii="MetaNormalLF-Roman" w:hAnsi="MetaNormalLF-Roman"/>
              </w:rPr>
              <w:t xml:space="preserve">UStatG</w:t>
            </w:r>
          </w:p>
        </w:tc>
        <w:tc>
          <w:tcPr>
            <w:tcW w:w="1175" w:type="pct"/>
            <w:tcBorders>
              <w:top w:val="nil"/>
              <w:left w:val="single" w:sz="4" w:space="0" w:color="auto"/>
              <w:bottom w:val="single" w:sz="4" w:space="0" w:color="auto"/>
              <w:right w:val="single" w:sz="8" w:space="0" w:color="auto"/>
            </w:tcBorders>
            <w:shd w:val="clear" w:color="auto" w:fill="auto"/>
            <w:vAlign w:val="center"/>
          </w:tcPr>
          <w:p w14:paraId="35331390" w14:textId="1BEBA8D1" w:rsidR="00D241FE" w:rsidRPr="00AE0058" w:rsidRDefault="00D241FE" w:rsidP="00D241FE">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les dépenses courantes pour la protection de l'environnement - Office fédéral de la statistique</w:t>
            </w:r>
          </w:p>
        </w:tc>
        <w:tc>
          <w:tcPr>
            <w:tcW w:w="474" w:type="pct"/>
            <w:shd w:val="clear" w:color="auto" w:fill="auto"/>
            <w:vAlign w:val="center"/>
          </w:tcPr>
          <w:p w14:paraId="0382463F" w14:textId="4AFF3B7B"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69</w:t>
            </w:r>
          </w:p>
        </w:tc>
        <w:tc>
          <w:tcPr>
            <w:tcW w:w="471" w:type="pct"/>
            <w:shd w:val="clear" w:color="auto" w:fill="auto"/>
            <w:vAlign w:val="center"/>
          </w:tcPr>
          <w:p w14:paraId="37CD8494" w14:textId="30F7B8BE"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8</w:t>
            </w:r>
          </w:p>
        </w:tc>
        <w:tc>
          <w:tcPr>
            <w:tcW w:w="476" w:type="pct"/>
            <w:shd w:val="clear" w:color="auto" w:fill="auto"/>
            <w:vAlign w:val="center"/>
          </w:tcPr>
          <w:p w14:paraId="6263E340"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545" w:type="pct"/>
            <w:tcBorders>
              <w:right w:val="single" w:sz="12" w:space="0" w:color="auto"/>
            </w:tcBorders>
            <w:shd w:val="clear" w:color="auto" w:fill="auto"/>
            <w:vAlign w:val="center"/>
          </w:tcPr>
          <w:p w14:paraId="2D120503"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1087" w:type="pct"/>
            <w:tcBorders>
              <w:left w:val="single" w:sz="12" w:space="0" w:color="auto"/>
            </w:tcBorders>
            <w:shd w:val="clear" w:color="auto" w:fill="auto"/>
            <w:vAlign w:val="center"/>
          </w:tcPr>
          <w:p w14:paraId="27571A1C" w14:textId="2C741EC8"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76</w:t>
            </w:r>
          </w:p>
        </w:tc>
      </w:tr>
      <w:tr w:rsidR="00D241FE" w:rsidRPr="00AE0058" w14:paraId="2C0A6B71" w14:textId="77777777" w:rsidTr="006C07FA">
        <w:tc>
          <w:tcPr>
            <w:tcW w:w="292" w:type="pct"/>
            <w:shd w:val="clear" w:color="auto" w:fill="auto"/>
            <w:vAlign w:val="center"/>
          </w:tcPr>
          <w:p w14:paraId="0CDEAA52" w14:textId="12C56CB9" w:rsidR="00D241FE" w:rsidRPr="00AE0058" w:rsidRDefault="00D241FE" w:rsidP="00D241FE">
            <w:pPr>
              <w:rPr>
                <w:color w:val="000000" w:themeColor="text1"/>
                <w:sz w:val="16"/>
                <w:szCs w:val="16"/>
                <w:rFonts w:eastAsia="Times New Roman" w:cs="Times New Roman"/>
              </w:rPr>
            </w:pPr>
            <w:r>
              <w:rPr>
                <w:color w:val="000000" w:themeColor="text1"/>
                <w:sz w:val="16"/>
                <w:szCs w:val="16"/>
              </w:rPr>
              <w:t xml:space="preserve">9</w:t>
            </w:r>
          </w:p>
        </w:tc>
        <w:tc>
          <w:tcPr>
            <w:tcW w:w="480" w:type="pct"/>
            <w:tcBorders>
              <w:top w:val="nil"/>
              <w:left w:val="single" w:sz="4" w:space="0" w:color="auto"/>
              <w:bottom w:val="single" w:sz="4" w:space="0" w:color="auto"/>
              <w:right w:val="single" w:sz="4" w:space="0" w:color="auto"/>
            </w:tcBorders>
            <w:shd w:val="clear" w:color="auto" w:fill="auto"/>
            <w:vAlign w:val="center"/>
          </w:tcPr>
          <w:p w14:paraId="5538C6E8" w14:textId="25222066" w:rsidR="00D241FE" w:rsidRPr="00AE0058" w:rsidRDefault="00D241FE" w:rsidP="00D241FE">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12, paragraphe 2 point 4 et paragraphe 1 phrase 2 UStatG</w:t>
            </w:r>
          </w:p>
        </w:tc>
        <w:tc>
          <w:tcPr>
            <w:tcW w:w="1175" w:type="pct"/>
            <w:tcBorders>
              <w:top w:val="nil"/>
              <w:left w:val="single" w:sz="4" w:space="0" w:color="auto"/>
              <w:bottom w:val="single" w:sz="4" w:space="0" w:color="auto"/>
              <w:right w:val="single" w:sz="8" w:space="0" w:color="auto"/>
            </w:tcBorders>
            <w:shd w:val="clear" w:color="auto" w:fill="auto"/>
            <w:vAlign w:val="center"/>
          </w:tcPr>
          <w:p w14:paraId="7E33982E" w14:textId="22AA7E4D" w:rsidR="00D241FE" w:rsidRPr="00AE0058" w:rsidRDefault="00D241FE" w:rsidP="00D241FE">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les biens, travaux et services pour la protection de l'environnement - Office fédéral de la statistique</w:t>
            </w:r>
          </w:p>
        </w:tc>
        <w:tc>
          <w:tcPr>
            <w:tcW w:w="474" w:type="pct"/>
            <w:shd w:val="clear" w:color="auto" w:fill="auto"/>
            <w:vAlign w:val="center"/>
          </w:tcPr>
          <w:p w14:paraId="1C621E1D" w14:textId="2C150C0F"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159</w:t>
            </w:r>
          </w:p>
        </w:tc>
        <w:tc>
          <w:tcPr>
            <w:tcW w:w="471" w:type="pct"/>
            <w:shd w:val="clear" w:color="auto" w:fill="auto"/>
            <w:vAlign w:val="center"/>
          </w:tcPr>
          <w:p w14:paraId="7B2A0CAF"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8</w:t>
            </w:r>
          </w:p>
        </w:tc>
        <w:tc>
          <w:tcPr>
            <w:tcW w:w="476" w:type="pct"/>
            <w:shd w:val="clear" w:color="auto" w:fill="auto"/>
            <w:vAlign w:val="center"/>
          </w:tcPr>
          <w:p w14:paraId="173580B9"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545" w:type="pct"/>
            <w:tcBorders>
              <w:right w:val="single" w:sz="12" w:space="0" w:color="auto"/>
            </w:tcBorders>
            <w:shd w:val="clear" w:color="auto" w:fill="auto"/>
            <w:vAlign w:val="center"/>
          </w:tcPr>
          <w:p w14:paraId="7A980974"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1087" w:type="pct"/>
            <w:tcBorders>
              <w:left w:val="single" w:sz="12" w:space="0" w:color="auto"/>
            </w:tcBorders>
            <w:shd w:val="clear" w:color="auto" w:fill="auto"/>
            <w:vAlign w:val="center"/>
          </w:tcPr>
          <w:p w14:paraId="35AF9596" w14:textId="4E1DA1DE"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168</w:t>
            </w:r>
          </w:p>
        </w:tc>
      </w:tr>
      <w:tr w:rsidR="00D241FE" w:rsidRPr="00AE0058" w14:paraId="5EF5A86D" w14:textId="77777777" w:rsidTr="006C07FA">
        <w:tc>
          <w:tcPr>
            <w:tcW w:w="292" w:type="pct"/>
            <w:shd w:val="clear" w:color="auto" w:fill="auto"/>
            <w:vAlign w:val="center"/>
          </w:tcPr>
          <w:p w14:paraId="26C8A0A0" w14:textId="26545182" w:rsidR="00D241FE" w:rsidRPr="00AE0058" w:rsidRDefault="00D241FE" w:rsidP="00D241FE">
            <w:pPr>
              <w:rPr>
                <w:color w:val="000000" w:themeColor="text1"/>
                <w:sz w:val="16"/>
                <w:szCs w:val="16"/>
                <w:rFonts w:eastAsia="Times New Roman" w:cs="Times New Roman"/>
              </w:rPr>
            </w:pPr>
            <w:r>
              <w:rPr>
                <w:color w:val="000000" w:themeColor="text1"/>
                <w:sz w:val="16"/>
                <w:szCs w:val="16"/>
              </w:rPr>
              <w:t xml:space="preserve">12</w:t>
            </w:r>
          </w:p>
        </w:tc>
        <w:tc>
          <w:tcPr>
            <w:tcW w:w="480" w:type="pct"/>
            <w:tcBorders>
              <w:top w:val="nil"/>
              <w:left w:val="single" w:sz="4" w:space="0" w:color="auto"/>
              <w:bottom w:val="single" w:sz="4" w:space="0" w:color="auto"/>
              <w:right w:val="single" w:sz="4" w:space="0" w:color="auto"/>
            </w:tcBorders>
            <w:shd w:val="clear" w:color="auto" w:fill="auto"/>
            <w:vAlign w:val="center"/>
          </w:tcPr>
          <w:p w14:paraId="79C6D40B" w14:textId="0F215B84" w:rsidR="00D241FE" w:rsidRPr="00AE0058" w:rsidRDefault="00D241FE" w:rsidP="00D241FE">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Article16 UStatG</w:t>
            </w:r>
          </w:p>
        </w:tc>
        <w:tc>
          <w:tcPr>
            <w:tcW w:w="1175" w:type="pct"/>
            <w:tcBorders>
              <w:top w:val="nil"/>
              <w:left w:val="single" w:sz="4" w:space="0" w:color="auto"/>
              <w:bottom w:val="single" w:sz="4" w:space="0" w:color="auto"/>
              <w:right w:val="single" w:sz="8" w:space="0" w:color="auto"/>
            </w:tcBorders>
            <w:shd w:val="clear" w:color="auto" w:fill="auto"/>
            <w:vAlign w:val="center"/>
          </w:tcPr>
          <w:p w14:paraId="5BC1937E" w14:textId="473D9B8F" w:rsidR="00D241FE" w:rsidRPr="00AE0058" w:rsidRDefault="00D241FE" w:rsidP="00D241FE">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Transmission - Office fédéral de la statistique</w:t>
            </w:r>
          </w:p>
        </w:tc>
        <w:tc>
          <w:tcPr>
            <w:tcW w:w="474" w:type="pct"/>
            <w:shd w:val="clear" w:color="auto" w:fill="auto"/>
            <w:vAlign w:val="center"/>
          </w:tcPr>
          <w:p w14:paraId="2C443F63" w14:textId="6635CEA9" w:rsidR="00D241FE" w:rsidRPr="00AE0058" w:rsidRDefault="00D241FE" w:rsidP="00D241FE">
            <w:pPr>
              <w:jc w:val="right"/>
              <w:rPr>
                <w:rFonts w:eastAsia="Times New Roman" w:cs="Times New Roman"/>
                <w:color w:val="000000" w:themeColor="text1"/>
                <w:sz w:val="16"/>
                <w:szCs w:val="16"/>
              </w:rPr>
            </w:pPr>
          </w:p>
        </w:tc>
        <w:tc>
          <w:tcPr>
            <w:tcW w:w="471" w:type="pct"/>
            <w:shd w:val="clear" w:color="auto" w:fill="auto"/>
            <w:vAlign w:val="center"/>
          </w:tcPr>
          <w:p w14:paraId="5140810C" w14:textId="1367F1F5" w:rsidR="00D241FE" w:rsidRPr="00AE0058" w:rsidRDefault="00D241FE" w:rsidP="00D241FE">
            <w:pPr>
              <w:jc w:val="right"/>
              <w:rPr>
                <w:rFonts w:eastAsia="Times New Roman" w:cs="Times New Roman"/>
                <w:color w:val="000000" w:themeColor="text1"/>
                <w:sz w:val="16"/>
                <w:szCs w:val="16"/>
              </w:rPr>
            </w:pPr>
          </w:p>
        </w:tc>
        <w:tc>
          <w:tcPr>
            <w:tcW w:w="476" w:type="pct"/>
            <w:shd w:val="clear" w:color="auto" w:fill="auto"/>
            <w:vAlign w:val="center"/>
          </w:tcPr>
          <w:p w14:paraId="32A37929"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545" w:type="pct"/>
            <w:tcBorders>
              <w:right w:val="single" w:sz="12" w:space="0" w:color="auto"/>
            </w:tcBorders>
            <w:shd w:val="clear" w:color="auto" w:fill="auto"/>
            <w:vAlign w:val="center"/>
          </w:tcPr>
          <w:p w14:paraId="446BDE87" w14:textId="77777777" w:rsidR="00D241FE" w:rsidRPr="00AE0058" w:rsidRDefault="00D241FE" w:rsidP="00D241FE">
            <w:pPr>
              <w:jc w:val="right"/>
              <w:rPr>
                <w:color w:val="000000" w:themeColor="text1"/>
                <w:sz w:val="16"/>
                <w:szCs w:val="16"/>
                <w:rFonts w:eastAsia="Times New Roman" w:cs="Times New Roman"/>
              </w:rPr>
            </w:pPr>
            <w:r>
              <w:rPr>
                <w:color w:val="000000" w:themeColor="text1"/>
                <w:sz w:val="16"/>
                <w:szCs w:val="16"/>
              </w:rPr>
              <w:t xml:space="preserve">-</w:t>
            </w:r>
          </w:p>
        </w:tc>
        <w:tc>
          <w:tcPr>
            <w:tcW w:w="1087" w:type="pct"/>
            <w:tcBorders>
              <w:left w:val="single" w:sz="12" w:space="0" w:color="auto"/>
            </w:tcBorders>
            <w:shd w:val="clear" w:color="auto" w:fill="auto"/>
            <w:vAlign w:val="center"/>
          </w:tcPr>
          <w:p w14:paraId="7944C991" w14:textId="2E23C080" w:rsidR="00D241FE" w:rsidRPr="00AE0058" w:rsidRDefault="00D241FE" w:rsidP="00D241FE">
            <w:pPr>
              <w:jc w:val="right"/>
              <w:rPr>
                <w:rFonts w:eastAsia="Times New Roman" w:cs="Times New Roman"/>
                <w:color w:val="000000" w:themeColor="text1"/>
                <w:sz w:val="16"/>
                <w:szCs w:val="16"/>
              </w:rPr>
            </w:pPr>
          </w:p>
        </w:tc>
      </w:tr>
      <w:tr w:rsidR="009B48F6" w:rsidRPr="00AE0058" w14:paraId="2E337E62" w14:textId="77777777" w:rsidTr="006C07FA">
        <w:tc>
          <w:tcPr>
            <w:tcW w:w="1947" w:type="pct"/>
            <w:gridSpan w:val="3"/>
            <w:shd w:val="clear" w:color="auto" w:fill="D9D9D9" w:themeFill="background1" w:themeFillShade="D9"/>
            <w:vAlign w:val="center"/>
          </w:tcPr>
          <w:p w14:paraId="14C1E9F0" w14:textId="77777777" w:rsidR="009B48F6" w:rsidRPr="00AE0058" w:rsidRDefault="009B48F6" w:rsidP="005354E9">
            <w:pPr>
              <w:rPr>
                <w:b/>
                <w:color w:val="000000" w:themeColor="text1"/>
                <w:sz w:val="16"/>
                <w:szCs w:val="16"/>
                <w:rFonts w:eastAsia="Times New Roman" w:cs="Times New Roman"/>
              </w:rPr>
            </w:pPr>
            <w:r>
              <w:rPr>
                <w:b/>
                <w:color w:val="000000" w:themeColor="text1"/>
                <w:sz w:val="16"/>
                <w:szCs w:val="16"/>
              </w:rPr>
              <w:t xml:space="preserve">Total</w:t>
            </w:r>
          </w:p>
        </w:tc>
        <w:tc>
          <w:tcPr>
            <w:tcW w:w="474" w:type="pct"/>
            <w:shd w:val="clear" w:color="auto" w:fill="D9D9D9" w:themeFill="background1" w:themeFillShade="D9"/>
            <w:vAlign w:val="center"/>
          </w:tcPr>
          <w:p w14:paraId="6E384997" w14:textId="0FFBAC44" w:rsidR="009B48F6" w:rsidRPr="00AE0058" w:rsidRDefault="00C055B1" w:rsidP="00C055B1">
            <w:pPr>
              <w:jc w:val="right"/>
              <w:rPr>
                <w:b/>
                <w:bCs/>
                <w:color w:val="000000" w:themeColor="text1"/>
                <w:sz w:val="16"/>
                <w:szCs w:val="16"/>
                <w:rFonts w:eastAsia="Times New Roman"/>
              </w:rPr>
            </w:pPr>
            <w:r>
              <w:rPr>
                <w:b/>
                <w:bCs/>
                <w:color w:val="000000" w:themeColor="text1"/>
                <w:sz w:val="16"/>
                <w:szCs w:val="16"/>
              </w:rPr>
              <w:t xml:space="preserve">716</w:t>
            </w:r>
          </w:p>
        </w:tc>
        <w:tc>
          <w:tcPr>
            <w:tcW w:w="471" w:type="pct"/>
            <w:shd w:val="clear" w:color="auto" w:fill="D9D9D9" w:themeFill="background1" w:themeFillShade="D9"/>
            <w:vAlign w:val="center"/>
          </w:tcPr>
          <w:p w14:paraId="006C28E9" w14:textId="77777777" w:rsidR="009B48F6" w:rsidRPr="00AE0058" w:rsidRDefault="009B48F6" w:rsidP="005354E9">
            <w:pPr>
              <w:jc w:val="right"/>
              <w:rPr>
                <w:b/>
                <w:bCs/>
                <w:color w:val="000000" w:themeColor="text1"/>
                <w:sz w:val="16"/>
                <w:szCs w:val="16"/>
                <w:rFonts w:eastAsia="Times New Roman"/>
              </w:rPr>
            </w:pPr>
            <w:r>
              <w:rPr>
                <w:b/>
                <w:bCs/>
                <w:color w:val="000000" w:themeColor="text1"/>
                <w:sz w:val="16"/>
                <w:szCs w:val="16"/>
              </w:rPr>
              <w:t xml:space="preserve">23</w:t>
            </w:r>
          </w:p>
        </w:tc>
        <w:tc>
          <w:tcPr>
            <w:tcW w:w="476" w:type="pct"/>
            <w:shd w:val="clear" w:color="auto" w:fill="D9D9D9" w:themeFill="background1" w:themeFillShade="D9"/>
            <w:vAlign w:val="center"/>
          </w:tcPr>
          <w:p w14:paraId="506A1A48" w14:textId="77777777" w:rsidR="009B48F6" w:rsidRPr="00AE0058" w:rsidRDefault="009B48F6" w:rsidP="005354E9">
            <w:pPr>
              <w:jc w:val="right"/>
              <w:rPr>
                <w:b/>
                <w:bCs/>
                <w:color w:val="000000" w:themeColor="text1"/>
                <w:sz w:val="16"/>
                <w:szCs w:val="16"/>
                <w:rFonts w:eastAsia="Times New Roman"/>
              </w:rPr>
            </w:pPr>
            <w:r>
              <w:rPr>
                <w:b/>
                <w:bCs/>
                <w:color w:val="000000" w:themeColor="text1"/>
                <w:sz w:val="16"/>
                <w:szCs w:val="16"/>
              </w:rPr>
              <w:t xml:space="preserve">89</w:t>
            </w:r>
          </w:p>
        </w:tc>
        <w:tc>
          <w:tcPr>
            <w:tcW w:w="545" w:type="pct"/>
            <w:tcBorders>
              <w:right w:val="single" w:sz="12" w:space="0" w:color="auto"/>
            </w:tcBorders>
            <w:shd w:val="clear" w:color="auto" w:fill="D9D9D9" w:themeFill="background1" w:themeFillShade="D9"/>
            <w:vAlign w:val="center"/>
          </w:tcPr>
          <w:p w14:paraId="117F195F" w14:textId="77777777" w:rsidR="009B48F6" w:rsidRPr="00AE0058" w:rsidRDefault="009B48F6" w:rsidP="005354E9">
            <w:pPr>
              <w:jc w:val="right"/>
              <w:rPr>
                <w:b/>
                <w:bCs/>
                <w:color w:val="000000" w:themeColor="text1"/>
                <w:sz w:val="16"/>
                <w:szCs w:val="16"/>
                <w:rFonts w:eastAsia="Times New Roman"/>
              </w:rPr>
            </w:pPr>
            <w:r>
              <w:rPr>
                <w:b/>
                <w:bCs/>
                <w:color w:val="000000" w:themeColor="text1"/>
                <w:sz w:val="16"/>
                <w:szCs w:val="16"/>
              </w:rPr>
              <w:t xml:space="preserve">-</w:t>
            </w:r>
          </w:p>
        </w:tc>
        <w:tc>
          <w:tcPr>
            <w:tcW w:w="1087" w:type="pct"/>
            <w:tcBorders>
              <w:left w:val="single" w:sz="12" w:space="0" w:color="auto"/>
            </w:tcBorders>
            <w:shd w:val="clear" w:color="auto" w:fill="D9D9D9" w:themeFill="background1" w:themeFillShade="D9"/>
            <w:vAlign w:val="center"/>
          </w:tcPr>
          <w:p w14:paraId="53FD0EF4" w14:textId="45B2D3FA" w:rsidR="009B48F6" w:rsidRPr="00AE0058" w:rsidRDefault="00C055B1" w:rsidP="00C055B1">
            <w:pPr>
              <w:jc w:val="right"/>
              <w:rPr>
                <w:b/>
                <w:bCs/>
                <w:color w:val="000000" w:themeColor="text1"/>
                <w:sz w:val="16"/>
                <w:szCs w:val="16"/>
                <w:rFonts w:eastAsia="Times New Roman"/>
              </w:rPr>
            </w:pPr>
            <w:r>
              <w:rPr>
                <w:b/>
                <w:bCs/>
                <w:color w:val="000000" w:themeColor="text1"/>
                <w:sz w:val="16"/>
                <w:szCs w:val="16"/>
              </w:rPr>
              <w:t xml:space="preserve">650</w:t>
            </w:r>
          </w:p>
        </w:tc>
      </w:tr>
    </w:tbl>
    <w:p w14:paraId="39EE62D8" w14:textId="77777777" w:rsidR="00744EBB" w:rsidRPr="00AE0058" w:rsidRDefault="00744EBB" w:rsidP="000B2F65">
      <w:pPr>
        <w:rPr>
          <w:color w:val="000000" w:themeColor="text1"/>
        </w:rPr>
      </w:pPr>
    </w:p>
    <w:p w14:paraId="0952D65C" w14:textId="1BDB81E1" w:rsidR="00FB2F0D" w:rsidRPr="00AE0058" w:rsidRDefault="00FB2F0D" w:rsidP="00C65795">
      <w:pPr>
        <w:pStyle w:val="Caption"/>
        <w:keepNext/>
        <w:rPr>
          <w:b/>
          <w:color w:val="000000" w:themeColor="text1"/>
        </w:rPr>
      </w:pPr>
      <w:r>
        <w:rPr>
          <w:b/>
          <w:color w:val="000000" w:themeColor="text1"/>
        </w:rPr>
        <w:t xml:space="preserve">Tableau 5 - Charge d'exécution administrative - Charge d'exécution </w:t>
      </w:r>
      <w:r>
        <w:rPr>
          <w:b/>
          <w:color w:val="000000" w:themeColor="text1"/>
          <w:u w:val="single"/>
        </w:rPr>
        <w:t xml:space="preserve">unique</w:t>
      </w:r>
      <w:r>
        <w:rPr>
          <w:b/>
          <w:color w:val="000000" w:themeColor="text1"/>
        </w:rPr>
        <w:t xml:space="preserve">, Office fédéral de la statistique</w:t>
      </w:r>
    </w:p>
    <w:tbl>
      <w:tblPr>
        <w:tblStyle w:val="TableGrid"/>
        <w:tblW w:w="4940" w:type="pct"/>
        <w:tblInd w:w="57" w:type="dxa"/>
        <w:tblLayout w:type="fixed"/>
        <w:tblCellMar>
          <w:left w:w="57" w:type="dxa"/>
          <w:right w:w="57" w:type="dxa"/>
        </w:tblCellMar>
        <w:tblLook w:val="04A0" w:firstRow="1" w:lastRow="0" w:firstColumn="1" w:lastColumn="0" w:noHBand="0" w:noVBand="1"/>
      </w:tblPr>
      <w:tblGrid>
        <w:gridCol w:w="508"/>
        <w:gridCol w:w="833"/>
        <w:gridCol w:w="2035"/>
        <w:gridCol w:w="1638"/>
        <w:gridCol w:w="1629"/>
        <w:gridCol w:w="2031"/>
      </w:tblGrid>
      <w:tr w:rsidR="00AD27DC" w:rsidRPr="00AE0058" w14:paraId="17BEC92B" w14:textId="77777777" w:rsidTr="006C07FA">
        <w:tc>
          <w:tcPr>
            <w:tcW w:w="293" w:type="pct"/>
            <w:shd w:val="clear" w:color="auto" w:fill="D9D9D9" w:themeFill="background1" w:themeFillShade="D9"/>
            <w:vAlign w:val="center"/>
          </w:tcPr>
          <w:p w14:paraId="49F62B63" w14:textId="77777777" w:rsidR="00AD27DC" w:rsidRPr="00AE0058" w:rsidRDefault="00AD27DC" w:rsidP="00C65795">
            <w:pPr>
              <w:keepNext/>
              <w:rPr>
                <w:b/>
                <w:color w:val="000000" w:themeColor="text1"/>
                <w:sz w:val="16"/>
                <w:szCs w:val="16"/>
              </w:rPr>
            </w:pPr>
          </w:p>
        </w:tc>
        <w:tc>
          <w:tcPr>
            <w:tcW w:w="480" w:type="pct"/>
            <w:shd w:val="clear" w:color="auto" w:fill="D9D9D9" w:themeFill="background1" w:themeFillShade="D9"/>
            <w:vAlign w:val="center"/>
          </w:tcPr>
          <w:p w14:paraId="03EB5600" w14:textId="77777777" w:rsidR="00AD27DC" w:rsidRPr="00AE0058" w:rsidRDefault="00AD27DC" w:rsidP="00C65795">
            <w:pPr>
              <w:keepNext/>
              <w:rPr>
                <w:b/>
                <w:color w:val="000000" w:themeColor="text1"/>
                <w:sz w:val="16"/>
                <w:szCs w:val="16"/>
              </w:rPr>
            </w:pPr>
          </w:p>
        </w:tc>
        <w:tc>
          <w:tcPr>
            <w:tcW w:w="1173" w:type="pct"/>
            <w:tcBorders>
              <w:right w:val="single" w:sz="4" w:space="0" w:color="auto"/>
            </w:tcBorders>
            <w:shd w:val="clear" w:color="auto" w:fill="D9D9D9" w:themeFill="background1" w:themeFillShade="D9"/>
            <w:vAlign w:val="center"/>
          </w:tcPr>
          <w:p w14:paraId="764EFA17" w14:textId="77777777" w:rsidR="00AD27DC" w:rsidRPr="00AE0058" w:rsidRDefault="00AD27DC" w:rsidP="00C65795">
            <w:pPr>
              <w:keepNext/>
              <w:rPr>
                <w:b/>
                <w:color w:val="000000" w:themeColor="text1"/>
                <w:sz w:val="16"/>
                <w:szCs w:val="16"/>
              </w:rPr>
            </w:pPr>
          </w:p>
        </w:tc>
        <w:tc>
          <w:tcPr>
            <w:tcW w:w="3054" w:type="pct"/>
            <w:gridSpan w:val="3"/>
            <w:tcBorders>
              <w:left w:val="single" w:sz="4" w:space="0" w:color="auto"/>
            </w:tcBorders>
            <w:shd w:val="clear" w:color="auto" w:fill="D9D9D9" w:themeFill="background1" w:themeFillShade="D9"/>
            <w:vAlign w:val="center"/>
          </w:tcPr>
          <w:p w14:paraId="4EDD381E" w14:textId="77777777" w:rsidR="00AD27DC" w:rsidRPr="00AE0058" w:rsidRDefault="00AD27DC" w:rsidP="00C65795">
            <w:pPr>
              <w:keepNext/>
              <w:rPr>
                <w:b/>
                <w:color w:val="000000" w:themeColor="text1"/>
                <w:sz w:val="16"/>
                <w:szCs w:val="16"/>
              </w:rPr>
            </w:pPr>
            <w:r>
              <w:rPr>
                <w:b/>
                <w:color w:val="000000" w:themeColor="text1"/>
                <w:sz w:val="16"/>
                <w:szCs w:val="16"/>
              </w:rPr>
              <w:t xml:space="preserve">Charge d’exécution unique</w:t>
            </w:r>
          </w:p>
        </w:tc>
      </w:tr>
      <w:tr w:rsidR="00AD27DC" w:rsidRPr="00AE0058" w14:paraId="6207AD23" w14:textId="77777777" w:rsidTr="006C07FA">
        <w:tc>
          <w:tcPr>
            <w:tcW w:w="293" w:type="pct"/>
            <w:shd w:val="clear" w:color="auto" w:fill="D9D9D9" w:themeFill="background1" w:themeFillShade="D9"/>
            <w:vAlign w:val="center"/>
          </w:tcPr>
          <w:p w14:paraId="0D382A2D" w14:textId="77777777" w:rsidR="00AD27DC" w:rsidRPr="00AE0058" w:rsidRDefault="00AD27DC" w:rsidP="00C65795">
            <w:pPr>
              <w:keepNext/>
              <w:rPr>
                <w:b/>
                <w:color w:val="000000" w:themeColor="text1"/>
                <w:sz w:val="16"/>
                <w:szCs w:val="16"/>
              </w:rPr>
            </w:pPr>
            <w:r>
              <w:rPr>
                <w:b/>
                <w:color w:val="000000" w:themeColor="text1"/>
                <w:sz w:val="16"/>
                <w:szCs w:val="16"/>
              </w:rPr>
              <w:t xml:space="preserve">Disposition</w:t>
            </w:r>
          </w:p>
        </w:tc>
        <w:tc>
          <w:tcPr>
            <w:tcW w:w="480" w:type="pct"/>
            <w:shd w:val="clear" w:color="auto" w:fill="D9D9D9" w:themeFill="background1" w:themeFillShade="D9"/>
            <w:vAlign w:val="center"/>
          </w:tcPr>
          <w:p w14:paraId="3EB6B2A0" w14:textId="47E3765C" w:rsidR="00AD27DC" w:rsidRPr="00AE0058" w:rsidRDefault="00AD27DC" w:rsidP="00C65795">
            <w:pPr>
              <w:keepNext/>
              <w:rPr>
                <w:b/>
                <w:color w:val="000000" w:themeColor="text1"/>
                <w:sz w:val="16"/>
                <w:szCs w:val="16"/>
              </w:rPr>
            </w:pPr>
            <w:r>
              <w:rPr>
                <w:b/>
                <w:color w:val="000000" w:themeColor="text1"/>
                <w:sz w:val="16"/>
                <w:szCs w:val="16"/>
              </w:rPr>
              <w:t xml:space="preserve">Paragraphe</w:t>
            </w:r>
            <w:r>
              <w:rPr>
                <w:b/>
                <w:color w:val="000000" w:themeColor="text1"/>
                <w:sz w:val="16"/>
                <w:szCs w:val="16"/>
              </w:rPr>
              <w:t xml:space="preserve"> </w:t>
            </w:r>
          </w:p>
        </w:tc>
        <w:tc>
          <w:tcPr>
            <w:tcW w:w="1173" w:type="pct"/>
            <w:shd w:val="clear" w:color="auto" w:fill="D9D9D9" w:themeFill="background1" w:themeFillShade="D9"/>
            <w:vAlign w:val="center"/>
          </w:tcPr>
          <w:p w14:paraId="01EF7966" w14:textId="77777777" w:rsidR="00AD27DC" w:rsidRPr="00AE0058" w:rsidRDefault="00AD27DC" w:rsidP="00C65795">
            <w:pPr>
              <w:keepNext/>
              <w:rPr>
                <w:b/>
                <w:color w:val="000000" w:themeColor="text1"/>
                <w:sz w:val="16"/>
                <w:szCs w:val="16"/>
              </w:rPr>
            </w:pPr>
            <w:r>
              <w:rPr>
                <w:b/>
                <w:color w:val="000000" w:themeColor="text1"/>
                <w:sz w:val="16"/>
                <w:szCs w:val="16"/>
              </w:rPr>
              <w:t xml:space="preserve">Désignation de la disposition</w:t>
            </w:r>
          </w:p>
        </w:tc>
        <w:tc>
          <w:tcPr>
            <w:tcW w:w="944" w:type="pct"/>
            <w:shd w:val="clear" w:color="auto" w:fill="D9D9D9" w:themeFill="background1" w:themeFillShade="D9"/>
            <w:vAlign w:val="center"/>
          </w:tcPr>
          <w:p w14:paraId="5B10E64A" w14:textId="77777777" w:rsidR="00AD27DC" w:rsidRPr="00AE0058" w:rsidRDefault="00AD27DC" w:rsidP="00C65795">
            <w:pPr>
              <w:keepNext/>
              <w:rPr>
                <w:b/>
                <w:color w:val="000000" w:themeColor="text1"/>
                <w:sz w:val="16"/>
                <w:szCs w:val="16"/>
              </w:rPr>
            </w:pPr>
            <w:r>
              <w:rPr>
                <w:b/>
                <w:color w:val="000000" w:themeColor="text1"/>
                <w:sz w:val="16"/>
                <w:szCs w:val="16"/>
              </w:rPr>
              <w:t xml:space="preserve">Frais de personnel</w:t>
            </w:r>
          </w:p>
        </w:tc>
        <w:tc>
          <w:tcPr>
            <w:tcW w:w="939" w:type="pct"/>
            <w:shd w:val="clear" w:color="auto" w:fill="D9D9D9" w:themeFill="background1" w:themeFillShade="D9"/>
            <w:vAlign w:val="center"/>
          </w:tcPr>
          <w:p w14:paraId="325F937B" w14:textId="77777777" w:rsidR="00AD27DC" w:rsidRPr="00AE0058" w:rsidRDefault="00AD27DC" w:rsidP="00C65795">
            <w:pPr>
              <w:keepNext/>
              <w:rPr>
                <w:b/>
                <w:color w:val="000000" w:themeColor="text1"/>
                <w:sz w:val="16"/>
                <w:szCs w:val="16"/>
              </w:rPr>
            </w:pPr>
            <w:r>
              <w:rPr>
                <w:b/>
                <w:color w:val="000000" w:themeColor="text1"/>
                <w:sz w:val="16"/>
                <w:szCs w:val="16"/>
              </w:rPr>
              <w:t xml:space="preserve">Dépenses de matériel</w:t>
            </w:r>
          </w:p>
        </w:tc>
        <w:tc>
          <w:tcPr>
            <w:tcW w:w="1171" w:type="pct"/>
            <w:tcBorders>
              <w:left w:val="single" w:sz="12" w:space="0" w:color="auto"/>
            </w:tcBorders>
            <w:shd w:val="clear" w:color="auto" w:fill="D9D9D9" w:themeFill="background1" w:themeFillShade="D9"/>
            <w:vAlign w:val="center"/>
          </w:tcPr>
          <w:p w14:paraId="17A9A410" w14:textId="77777777" w:rsidR="00AD27DC" w:rsidRPr="00AE0058" w:rsidRDefault="00AD27DC" w:rsidP="00C65795">
            <w:pPr>
              <w:keepNext/>
              <w:rPr>
                <w:b/>
                <w:color w:val="000000" w:themeColor="text1"/>
                <w:sz w:val="16"/>
                <w:szCs w:val="16"/>
              </w:rPr>
            </w:pPr>
            <w:r>
              <w:rPr>
                <w:b/>
                <w:color w:val="000000" w:themeColor="text1"/>
                <w:sz w:val="16"/>
                <w:szCs w:val="16"/>
              </w:rPr>
              <w:t xml:space="preserve">Dépenses totales</w:t>
            </w:r>
          </w:p>
        </w:tc>
      </w:tr>
      <w:tr w:rsidR="00AD27DC" w:rsidRPr="00AE0058" w14:paraId="433934B3" w14:textId="77777777" w:rsidTr="006C07FA">
        <w:tc>
          <w:tcPr>
            <w:tcW w:w="293" w:type="pct"/>
            <w:shd w:val="clear" w:color="auto" w:fill="D9D9D9" w:themeFill="background1" w:themeFillShade="D9"/>
            <w:vAlign w:val="center"/>
          </w:tcPr>
          <w:p w14:paraId="5B8A01D0" w14:textId="77777777" w:rsidR="00AD27DC" w:rsidRPr="00AE0058" w:rsidRDefault="00AD27DC" w:rsidP="00C65795">
            <w:pPr>
              <w:keepNext/>
              <w:rPr>
                <w:b/>
                <w:color w:val="000000" w:themeColor="text1"/>
                <w:sz w:val="16"/>
                <w:szCs w:val="16"/>
              </w:rPr>
            </w:pPr>
          </w:p>
        </w:tc>
        <w:tc>
          <w:tcPr>
            <w:tcW w:w="480" w:type="pct"/>
            <w:shd w:val="clear" w:color="auto" w:fill="D9D9D9" w:themeFill="background1" w:themeFillShade="D9"/>
            <w:vAlign w:val="center"/>
          </w:tcPr>
          <w:p w14:paraId="58746A31" w14:textId="77777777" w:rsidR="00AD27DC" w:rsidRPr="00AE0058" w:rsidRDefault="00AD27DC" w:rsidP="00C65795">
            <w:pPr>
              <w:keepNext/>
              <w:rPr>
                <w:b/>
                <w:color w:val="000000" w:themeColor="text1"/>
                <w:sz w:val="16"/>
                <w:szCs w:val="16"/>
              </w:rPr>
            </w:pPr>
          </w:p>
        </w:tc>
        <w:tc>
          <w:tcPr>
            <w:tcW w:w="1173" w:type="pct"/>
            <w:shd w:val="clear" w:color="auto" w:fill="D9D9D9" w:themeFill="background1" w:themeFillShade="D9"/>
            <w:vAlign w:val="center"/>
          </w:tcPr>
          <w:p w14:paraId="051ACDA5" w14:textId="77777777" w:rsidR="00AD27DC" w:rsidRPr="00AE0058" w:rsidRDefault="00AD27DC" w:rsidP="00C65795">
            <w:pPr>
              <w:keepNext/>
              <w:rPr>
                <w:b/>
                <w:color w:val="000000" w:themeColor="text1"/>
                <w:sz w:val="16"/>
                <w:szCs w:val="16"/>
              </w:rPr>
            </w:pPr>
          </w:p>
        </w:tc>
        <w:tc>
          <w:tcPr>
            <w:tcW w:w="3054" w:type="pct"/>
            <w:gridSpan w:val="3"/>
            <w:shd w:val="clear" w:color="auto" w:fill="D9D9D9" w:themeFill="background1" w:themeFillShade="D9"/>
            <w:vAlign w:val="center"/>
          </w:tcPr>
          <w:p w14:paraId="704FDF5F" w14:textId="77777777" w:rsidR="00AD27DC" w:rsidRPr="00AE0058" w:rsidRDefault="00AD27DC" w:rsidP="00C65795">
            <w:pPr>
              <w:keepNext/>
              <w:jc w:val="center"/>
              <w:rPr>
                <w:b/>
                <w:color w:val="000000" w:themeColor="text1"/>
                <w:sz w:val="16"/>
                <w:szCs w:val="16"/>
              </w:rPr>
            </w:pPr>
            <w:r>
              <w:rPr>
                <w:b/>
                <w:color w:val="000000" w:themeColor="text1"/>
                <w:sz w:val="16"/>
                <w:szCs w:val="16"/>
              </w:rPr>
              <w:t xml:space="preserve">en milliers</w:t>
            </w:r>
            <w:r>
              <w:rPr>
                <w:b/>
                <w:color w:val="000000" w:themeColor="text1"/>
                <w:sz w:val="16"/>
                <w:szCs w:val="16"/>
              </w:rPr>
              <w:t xml:space="preserve"> </w:t>
            </w:r>
            <w:r>
              <w:rPr>
                <w:b/>
                <w:color w:val="000000" w:themeColor="text1"/>
                <w:sz w:val="16"/>
                <w:szCs w:val="16"/>
              </w:rPr>
              <w:t xml:space="preserve">d’euros</w:t>
            </w:r>
          </w:p>
        </w:tc>
      </w:tr>
      <w:tr w:rsidR="00AD27DC" w:rsidRPr="00AE0058" w14:paraId="18CB94B9" w14:textId="77777777" w:rsidTr="006C07FA">
        <w:tc>
          <w:tcPr>
            <w:tcW w:w="293" w:type="pct"/>
            <w:vAlign w:val="center"/>
          </w:tcPr>
          <w:p w14:paraId="04A7942B" w14:textId="77777777" w:rsidR="00AD27DC" w:rsidRPr="00AE0058" w:rsidRDefault="00AD27DC" w:rsidP="00FB2F0D">
            <w:pPr>
              <w:rPr>
                <w:color w:val="000000" w:themeColor="text1"/>
                <w:sz w:val="16"/>
                <w:szCs w:val="16"/>
              </w:rPr>
            </w:pPr>
            <w:r>
              <w:rPr>
                <w:color w:val="000000" w:themeColor="text1"/>
                <w:sz w:val="16"/>
                <w:szCs w:val="16"/>
              </w:rPr>
              <w:t xml:space="preserve">1</w:t>
            </w:r>
          </w:p>
        </w:tc>
        <w:tc>
          <w:tcPr>
            <w:tcW w:w="480" w:type="pct"/>
            <w:vAlign w:val="center"/>
          </w:tcPr>
          <w:p w14:paraId="2BEBE0A2" w14:textId="77777777" w:rsidR="00AD27DC" w:rsidRPr="00AE0058" w:rsidRDefault="00AD27DC" w:rsidP="00FB2F0D">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3, paragraphe 2, point 2 UStatG</w:t>
            </w:r>
          </w:p>
        </w:tc>
        <w:tc>
          <w:tcPr>
            <w:tcW w:w="1173" w:type="pct"/>
            <w:vAlign w:val="center"/>
          </w:tcPr>
          <w:p w14:paraId="1315645F" w14:textId="4D8FD4F8" w:rsidR="00AD27DC" w:rsidRPr="00AE0058" w:rsidRDefault="00AD27DC" w:rsidP="00FB2F0D">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des caractéristiques supplémentaires - Office fédéral de la statistique</w:t>
            </w:r>
          </w:p>
        </w:tc>
        <w:tc>
          <w:tcPr>
            <w:tcW w:w="944" w:type="pct"/>
            <w:vAlign w:val="center"/>
          </w:tcPr>
          <w:p w14:paraId="36B848DC" w14:textId="77777777" w:rsidR="00AD27DC" w:rsidRPr="00AE0058" w:rsidRDefault="00AD27DC" w:rsidP="00FB2F0D">
            <w:pPr>
              <w:jc w:val="right"/>
              <w:rPr>
                <w:color w:val="000000" w:themeColor="text1"/>
                <w:sz w:val="16"/>
                <w:szCs w:val="16"/>
              </w:rPr>
            </w:pPr>
            <w:r>
              <w:rPr>
                <w:color w:val="000000" w:themeColor="text1"/>
                <w:sz w:val="16"/>
                <w:szCs w:val="16"/>
              </w:rPr>
              <w:t xml:space="preserve">27</w:t>
            </w:r>
          </w:p>
        </w:tc>
        <w:tc>
          <w:tcPr>
            <w:tcW w:w="939" w:type="pct"/>
            <w:vAlign w:val="center"/>
          </w:tcPr>
          <w:p w14:paraId="56CFEA2D" w14:textId="77777777" w:rsidR="00AD27DC" w:rsidRPr="00AE0058" w:rsidRDefault="00AD27DC" w:rsidP="00FB2F0D">
            <w:pPr>
              <w:jc w:val="right"/>
              <w:rPr>
                <w:color w:val="000000" w:themeColor="text1"/>
                <w:sz w:val="16"/>
                <w:szCs w:val="16"/>
              </w:rPr>
            </w:pPr>
            <w:r>
              <w:rPr>
                <w:color w:val="000000" w:themeColor="text1"/>
                <w:sz w:val="16"/>
                <w:szCs w:val="16"/>
              </w:rPr>
              <w:t xml:space="preserve">-</w:t>
            </w:r>
          </w:p>
        </w:tc>
        <w:tc>
          <w:tcPr>
            <w:tcW w:w="1171" w:type="pct"/>
            <w:tcBorders>
              <w:left w:val="single" w:sz="12" w:space="0" w:color="auto"/>
            </w:tcBorders>
            <w:vAlign w:val="center"/>
          </w:tcPr>
          <w:p w14:paraId="01579A6A" w14:textId="77777777" w:rsidR="00AD27DC" w:rsidRPr="00AE0058" w:rsidRDefault="00AD27DC" w:rsidP="00FB2F0D">
            <w:pPr>
              <w:jc w:val="right"/>
              <w:rPr>
                <w:color w:val="000000" w:themeColor="text1"/>
                <w:sz w:val="16"/>
                <w:szCs w:val="16"/>
              </w:rPr>
            </w:pPr>
            <w:r>
              <w:rPr>
                <w:color w:val="000000" w:themeColor="text1"/>
                <w:sz w:val="16"/>
                <w:szCs w:val="16"/>
              </w:rPr>
              <w:t xml:space="preserve">27</w:t>
            </w:r>
          </w:p>
        </w:tc>
      </w:tr>
      <w:tr w:rsidR="00AD27DC" w:rsidRPr="00AE0058" w14:paraId="3EE9E1B8" w14:textId="77777777" w:rsidTr="006C07FA">
        <w:tc>
          <w:tcPr>
            <w:tcW w:w="293" w:type="pct"/>
            <w:vAlign w:val="center"/>
          </w:tcPr>
          <w:p w14:paraId="55154A3C" w14:textId="77777777" w:rsidR="00AD27DC" w:rsidRPr="00AE0058" w:rsidRDefault="00AD27DC" w:rsidP="00FB2F0D">
            <w:pPr>
              <w:rPr>
                <w:color w:val="000000" w:themeColor="text1"/>
                <w:sz w:val="16"/>
                <w:szCs w:val="16"/>
                <w:rFonts w:eastAsia="Times New Roman" w:cs="Times New Roman"/>
              </w:rPr>
            </w:pPr>
            <w:r>
              <w:rPr>
                <w:color w:val="000000" w:themeColor="text1"/>
                <w:sz w:val="16"/>
                <w:szCs w:val="16"/>
              </w:rPr>
              <w:t xml:space="preserve">2</w:t>
            </w:r>
          </w:p>
        </w:tc>
        <w:tc>
          <w:tcPr>
            <w:tcW w:w="480" w:type="pct"/>
            <w:vAlign w:val="center"/>
          </w:tcPr>
          <w:p w14:paraId="2CCDBAA6" w14:textId="77777777" w:rsidR="00AD27DC" w:rsidRPr="00AE0058" w:rsidRDefault="00AD27DC" w:rsidP="00FB2F0D">
            <w:pPr>
              <w:rPr>
                <w:color w:val="000000" w:themeColor="text1"/>
                <w:sz w:val="16"/>
                <w:szCs w:val="16"/>
                <w:rFonts w:ascii="MetaNormalLF-Roman" w:hAnsi="MetaNormalLF-Roman" w:cs="Calibri"/>
              </w:rPr>
            </w:pPr>
            <w:r>
              <w:rPr>
                <w:color w:val="000000" w:themeColor="text1"/>
                <w:sz w:val="16"/>
                <w:szCs w:val="16"/>
              </w:rPr>
              <w:t xml:space="preserve">Article 5a UStatG en liaison avec l'article 2, paragraphe 1, point 4 UStatG</w:t>
            </w:r>
          </w:p>
        </w:tc>
        <w:tc>
          <w:tcPr>
            <w:tcW w:w="1173" w:type="pct"/>
            <w:vAlign w:val="center"/>
          </w:tcPr>
          <w:p w14:paraId="6B7E422D" w14:textId="1539EFB9" w:rsidR="00AD27DC" w:rsidRPr="00AE0058" w:rsidRDefault="00AD27DC" w:rsidP="00FB2F0D">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la mise sur le marché et l'élimination de certains produits - Office fédéral de la statistique</w:t>
            </w:r>
          </w:p>
        </w:tc>
        <w:tc>
          <w:tcPr>
            <w:tcW w:w="944" w:type="pct"/>
            <w:vAlign w:val="center"/>
          </w:tcPr>
          <w:p w14:paraId="65BDAA50" w14:textId="77777777" w:rsidR="00AD27DC" w:rsidRPr="00AE0058" w:rsidRDefault="00AD27DC" w:rsidP="00FB2F0D">
            <w:pPr>
              <w:jc w:val="right"/>
              <w:rPr>
                <w:color w:val="000000" w:themeColor="text1"/>
                <w:sz w:val="16"/>
                <w:szCs w:val="16"/>
              </w:rPr>
            </w:pPr>
            <w:r>
              <w:rPr>
                <w:color w:val="000000" w:themeColor="text1"/>
                <w:sz w:val="16"/>
                <w:szCs w:val="16"/>
              </w:rPr>
              <w:t xml:space="preserve">200</w:t>
            </w:r>
          </w:p>
        </w:tc>
        <w:tc>
          <w:tcPr>
            <w:tcW w:w="939" w:type="pct"/>
            <w:vAlign w:val="center"/>
          </w:tcPr>
          <w:p w14:paraId="383BA38B" w14:textId="77777777" w:rsidR="00AD27DC" w:rsidRPr="00AE0058" w:rsidRDefault="00AD27DC" w:rsidP="00FB2F0D">
            <w:pPr>
              <w:jc w:val="right"/>
              <w:rPr>
                <w:color w:val="000000" w:themeColor="text1"/>
                <w:sz w:val="16"/>
                <w:szCs w:val="16"/>
              </w:rPr>
            </w:pPr>
            <w:r>
              <w:rPr>
                <w:color w:val="000000" w:themeColor="text1"/>
                <w:sz w:val="16"/>
                <w:szCs w:val="16"/>
              </w:rPr>
              <w:t xml:space="preserve">-</w:t>
            </w:r>
          </w:p>
        </w:tc>
        <w:tc>
          <w:tcPr>
            <w:tcW w:w="1171" w:type="pct"/>
            <w:tcBorders>
              <w:left w:val="single" w:sz="12" w:space="0" w:color="auto"/>
            </w:tcBorders>
            <w:vAlign w:val="center"/>
          </w:tcPr>
          <w:p w14:paraId="62FDD539" w14:textId="77777777" w:rsidR="00AD27DC" w:rsidRPr="00AE0058" w:rsidRDefault="00AD27DC" w:rsidP="00FB2F0D">
            <w:pPr>
              <w:jc w:val="right"/>
              <w:rPr>
                <w:color w:val="000000" w:themeColor="text1"/>
                <w:sz w:val="16"/>
                <w:szCs w:val="16"/>
              </w:rPr>
            </w:pPr>
            <w:r>
              <w:rPr>
                <w:color w:val="000000" w:themeColor="text1"/>
                <w:sz w:val="16"/>
                <w:szCs w:val="16"/>
              </w:rPr>
              <w:t xml:space="preserve">200</w:t>
            </w:r>
          </w:p>
        </w:tc>
      </w:tr>
      <w:tr w:rsidR="00AD27DC" w:rsidRPr="00AE0058" w14:paraId="065FFB05" w14:textId="77777777" w:rsidTr="006C07FA">
        <w:tc>
          <w:tcPr>
            <w:tcW w:w="293" w:type="pct"/>
            <w:vAlign w:val="center"/>
          </w:tcPr>
          <w:p w14:paraId="2D852CE8" w14:textId="77777777" w:rsidR="00AD27DC" w:rsidRPr="00AE0058" w:rsidRDefault="00AD27DC" w:rsidP="00FB2F0D">
            <w:pPr>
              <w:rPr>
                <w:color w:val="000000" w:themeColor="text1"/>
                <w:sz w:val="16"/>
                <w:szCs w:val="16"/>
              </w:rPr>
            </w:pPr>
            <w:r>
              <w:rPr>
                <w:color w:val="000000" w:themeColor="text1"/>
                <w:sz w:val="16"/>
                <w:szCs w:val="16"/>
              </w:rPr>
              <w:t xml:space="preserve">4</w:t>
            </w:r>
          </w:p>
        </w:tc>
        <w:tc>
          <w:tcPr>
            <w:tcW w:w="480" w:type="pct"/>
            <w:vAlign w:val="center"/>
          </w:tcPr>
          <w:p w14:paraId="69188AAF" w14:textId="77777777" w:rsidR="00AD27DC" w:rsidRPr="00AE0058" w:rsidRDefault="00AD27DC" w:rsidP="00FB2F0D">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7 UStatG</w:t>
            </w:r>
          </w:p>
        </w:tc>
        <w:tc>
          <w:tcPr>
            <w:tcW w:w="1173" w:type="pct"/>
            <w:vAlign w:val="center"/>
          </w:tcPr>
          <w:p w14:paraId="6D8D4392" w14:textId="5B03F5C7" w:rsidR="00AD27DC" w:rsidRPr="00AE0058" w:rsidRDefault="00AD27DC" w:rsidP="00FB2F0D">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les services publics d'approvisionnement en eau et d'assainissement (approvisionnement en eau, traitement des eaux usées, assainissement des eaux usées, boues d'épuration, approvisionnement et assainissement privés, redevances sur l'eau et les eaux usées) - Office fédéral allemand de la statistique</w:t>
            </w:r>
          </w:p>
        </w:tc>
        <w:tc>
          <w:tcPr>
            <w:tcW w:w="944" w:type="pct"/>
            <w:vAlign w:val="center"/>
          </w:tcPr>
          <w:p w14:paraId="5F663CBC" w14:textId="03DD0B89" w:rsidR="00AD27DC" w:rsidRPr="00AE0058" w:rsidRDefault="00BD2CCF" w:rsidP="00BD2CCF">
            <w:pPr>
              <w:jc w:val="right"/>
              <w:rPr>
                <w:color w:val="000000" w:themeColor="text1"/>
                <w:sz w:val="16"/>
                <w:szCs w:val="16"/>
              </w:rPr>
            </w:pPr>
            <w:r>
              <w:rPr>
                <w:color w:val="000000" w:themeColor="text1"/>
                <w:sz w:val="16"/>
                <w:szCs w:val="16"/>
              </w:rPr>
              <w:t xml:space="preserve">16</w:t>
            </w:r>
          </w:p>
        </w:tc>
        <w:tc>
          <w:tcPr>
            <w:tcW w:w="939" w:type="pct"/>
            <w:vAlign w:val="center"/>
          </w:tcPr>
          <w:p w14:paraId="7034EC82" w14:textId="77777777" w:rsidR="00AD27DC" w:rsidRPr="00AE0058" w:rsidRDefault="00AD27DC" w:rsidP="00FB2F0D">
            <w:pPr>
              <w:jc w:val="right"/>
              <w:rPr>
                <w:color w:val="000000" w:themeColor="text1"/>
                <w:sz w:val="16"/>
                <w:szCs w:val="16"/>
              </w:rPr>
            </w:pPr>
            <w:r>
              <w:rPr>
                <w:color w:val="000000" w:themeColor="text1"/>
                <w:sz w:val="16"/>
                <w:szCs w:val="16"/>
              </w:rPr>
              <w:t xml:space="preserve">-</w:t>
            </w:r>
          </w:p>
        </w:tc>
        <w:tc>
          <w:tcPr>
            <w:tcW w:w="1171" w:type="pct"/>
            <w:tcBorders>
              <w:left w:val="single" w:sz="12" w:space="0" w:color="auto"/>
            </w:tcBorders>
            <w:vAlign w:val="center"/>
          </w:tcPr>
          <w:p w14:paraId="39622CDD" w14:textId="2D8885FB" w:rsidR="00AD27DC" w:rsidRPr="00AE0058" w:rsidRDefault="00BD2CCF" w:rsidP="00BD2CCF">
            <w:pPr>
              <w:jc w:val="right"/>
              <w:rPr>
                <w:color w:val="000000" w:themeColor="text1"/>
                <w:sz w:val="16"/>
                <w:szCs w:val="16"/>
              </w:rPr>
            </w:pPr>
            <w:r>
              <w:rPr>
                <w:color w:val="000000" w:themeColor="text1"/>
                <w:sz w:val="16"/>
                <w:szCs w:val="16"/>
              </w:rPr>
              <w:t xml:space="preserve">16</w:t>
            </w:r>
          </w:p>
        </w:tc>
      </w:tr>
      <w:tr w:rsidR="00AD27DC" w:rsidRPr="00AE0058" w14:paraId="25C738F5" w14:textId="77777777" w:rsidTr="006C07FA">
        <w:tc>
          <w:tcPr>
            <w:tcW w:w="293" w:type="pct"/>
            <w:vAlign w:val="center"/>
          </w:tcPr>
          <w:p w14:paraId="2B2DB567" w14:textId="77777777" w:rsidR="00AD27DC" w:rsidRPr="00AE0058" w:rsidRDefault="00AD27DC" w:rsidP="00FB2F0D">
            <w:pPr>
              <w:rPr>
                <w:color w:val="000000" w:themeColor="text1"/>
                <w:sz w:val="16"/>
                <w:szCs w:val="16"/>
              </w:rPr>
            </w:pPr>
            <w:r>
              <w:rPr>
                <w:color w:val="000000" w:themeColor="text1"/>
                <w:sz w:val="16"/>
                <w:szCs w:val="16"/>
              </w:rPr>
              <w:t xml:space="preserve">5</w:t>
            </w:r>
          </w:p>
        </w:tc>
        <w:tc>
          <w:tcPr>
            <w:tcW w:w="480" w:type="pct"/>
            <w:vAlign w:val="center"/>
          </w:tcPr>
          <w:p w14:paraId="1394E7F1" w14:textId="77777777" w:rsidR="00AD27DC" w:rsidRPr="00AE0058" w:rsidRDefault="00AD27DC" w:rsidP="00FB2F0D">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8 UStatG</w:t>
            </w:r>
          </w:p>
        </w:tc>
        <w:tc>
          <w:tcPr>
            <w:tcW w:w="1173" w:type="pct"/>
            <w:vAlign w:val="center"/>
          </w:tcPr>
          <w:p w14:paraId="5292D2E1" w14:textId="7F866129" w:rsidR="00AD27DC" w:rsidRPr="00AE0058" w:rsidRDefault="00AD27DC" w:rsidP="00FB2F0D">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l'approvisionnement en eau non public et l'assainissement des eaux usées non public (approvisionnement en eau, traitement des eaux usées, assainissement des eaux usées, boues d'épuration) - Office fédéral allemand de la statistique</w:t>
            </w:r>
          </w:p>
        </w:tc>
        <w:tc>
          <w:tcPr>
            <w:tcW w:w="944" w:type="pct"/>
            <w:vAlign w:val="center"/>
          </w:tcPr>
          <w:p w14:paraId="65B0E2C5" w14:textId="77777777" w:rsidR="00AD27DC" w:rsidRPr="00AE0058" w:rsidRDefault="00AD27DC" w:rsidP="00FB2F0D">
            <w:pPr>
              <w:jc w:val="right"/>
              <w:rPr>
                <w:color w:val="000000" w:themeColor="text1"/>
                <w:sz w:val="16"/>
                <w:szCs w:val="16"/>
              </w:rPr>
            </w:pPr>
            <w:r>
              <w:rPr>
                <w:color w:val="000000" w:themeColor="text1"/>
                <w:sz w:val="16"/>
                <w:szCs w:val="16"/>
              </w:rPr>
              <w:t xml:space="preserve">11</w:t>
            </w:r>
          </w:p>
        </w:tc>
        <w:tc>
          <w:tcPr>
            <w:tcW w:w="939" w:type="pct"/>
            <w:vAlign w:val="center"/>
          </w:tcPr>
          <w:p w14:paraId="4DF88206" w14:textId="77777777" w:rsidR="00AD27DC" w:rsidRPr="00AE0058" w:rsidRDefault="00AD27DC" w:rsidP="00FB2F0D">
            <w:pPr>
              <w:jc w:val="right"/>
              <w:rPr>
                <w:color w:val="000000" w:themeColor="text1"/>
                <w:sz w:val="16"/>
                <w:szCs w:val="16"/>
              </w:rPr>
            </w:pPr>
            <w:r>
              <w:rPr>
                <w:color w:val="000000" w:themeColor="text1"/>
                <w:sz w:val="16"/>
                <w:szCs w:val="16"/>
              </w:rPr>
              <w:t xml:space="preserve">-</w:t>
            </w:r>
          </w:p>
        </w:tc>
        <w:tc>
          <w:tcPr>
            <w:tcW w:w="1171" w:type="pct"/>
            <w:tcBorders>
              <w:left w:val="single" w:sz="12" w:space="0" w:color="auto"/>
            </w:tcBorders>
            <w:vAlign w:val="center"/>
          </w:tcPr>
          <w:p w14:paraId="51A0ED94" w14:textId="77777777" w:rsidR="00AD27DC" w:rsidRPr="00AE0058" w:rsidRDefault="00AD27DC" w:rsidP="00FB2F0D">
            <w:pPr>
              <w:jc w:val="right"/>
              <w:rPr>
                <w:color w:val="000000" w:themeColor="text1"/>
                <w:sz w:val="16"/>
                <w:szCs w:val="16"/>
              </w:rPr>
            </w:pPr>
            <w:r>
              <w:rPr>
                <w:color w:val="000000" w:themeColor="text1"/>
                <w:sz w:val="16"/>
                <w:szCs w:val="16"/>
              </w:rPr>
              <w:t xml:space="preserve">11</w:t>
            </w:r>
          </w:p>
        </w:tc>
      </w:tr>
      <w:tr w:rsidR="00BF23C2" w:rsidRPr="00AE0058" w14:paraId="38AAE3C3" w14:textId="77777777" w:rsidTr="006C07FA">
        <w:tc>
          <w:tcPr>
            <w:tcW w:w="293" w:type="pct"/>
            <w:vAlign w:val="center"/>
          </w:tcPr>
          <w:p w14:paraId="681E0A69" w14:textId="5DBC1D24" w:rsidR="00BF23C2" w:rsidRPr="00AE0058" w:rsidRDefault="00BF23C2" w:rsidP="00BF23C2">
            <w:pPr>
              <w:rPr>
                <w:color w:val="000000" w:themeColor="text1"/>
                <w:sz w:val="16"/>
                <w:szCs w:val="16"/>
                <w:rFonts w:eastAsia="Times New Roman" w:cs="Times New Roman"/>
              </w:rPr>
            </w:pPr>
            <w:r>
              <w:rPr>
                <w:color w:val="000000" w:themeColor="text1"/>
                <w:sz w:val="16"/>
                <w:szCs w:val="16"/>
              </w:rPr>
              <w:t xml:space="preserve">6</w:t>
            </w:r>
          </w:p>
        </w:tc>
        <w:tc>
          <w:tcPr>
            <w:tcW w:w="480" w:type="pct"/>
            <w:vAlign w:val="center"/>
          </w:tcPr>
          <w:p w14:paraId="63825940" w14:textId="14B6D183" w:rsidR="00BF23C2" w:rsidRPr="00AE0058" w:rsidRDefault="00BF23C2" w:rsidP="00BF23C2">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10 UStatG</w:t>
            </w:r>
          </w:p>
        </w:tc>
        <w:tc>
          <w:tcPr>
            <w:tcW w:w="1173" w:type="pct"/>
            <w:vAlign w:val="center"/>
          </w:tcPr>
          <w:p w14:paraId="1AA6D6CD" w14:textId="4490437D" w:rsidR="00BF23C2" w:rsidRPr="00AE0058" w:rsidRDefault="00BF23C2" w:rsidP="00BF23C2">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certaines substances ayant un impact sur le climat - Office fédéral de la statistique</w:t>
            </w:r>
          </w:p>
        </w:tc>
        <w:tc>
          <w:tcPr>
            <w:tcW w:w="944" w:type="pct"/>
            <w:vAlign w:val="center"/>
          </w:tcPr>
          <w:p w14:paraId="0D8B3531" w14:textId="6D79F563" w:rsidR="00BF23C2" w:rsidRPr="00AE0058" w:rsidRDefault="00BF23C2" w:rsidP="00BF23C2">
            <w:pPr>
              <w:jc w:val="right"/>
              <w:rPr>
                <w:color w:val="000000" w:themeColor="text1"/>
                <w:sz w:val="16"/>
                <w:szCs w:val="16"/>
              </w:rPr>
            </w:pPr>
            <w:r>
              <w:rPr>
                <w:color w:val="000000" w:themeColor="text1"/>
                <w:sz w:val="16"/>
                <w:szCs w:val="16"/>
              </w:rPr>
              <w:t xml:space="preserve">21</w:t>
            </w:r>
          </w:p>
        </w:tc>
        <w:tc>
          <w:tcPr>
            <w:tcW w:w="939" w:type="pct"/>
            <w:vAlign w:val="center"/>
          </w:tcPr>
          <w:p w14:paraId="30844D8D" w14:textId="7AC7D524" w:rsidR="00BF23C2" w:rsidRPr="00AE0058" w:rsidRDefault="00BF23C2" w:rsidP="00BF23C2">
            <w:pPr>
              <w:jc w:val="right"/>
              <w:rPr>
                <w:color w:val="000000" w:themeColor="text1"/>
                <w:sz w:val="16"/>
                <w:szCs w:val="16"/>
              </w:rPr>
            </w:pPr>
            <w:r>
              <w:rPr>
                <w:color w:val="000000" w:themeColor="text1"/>
                <w:sz w:val="16"/>
                <w:szCs w:val="16"/>
              </w:rPr>
              <w:t xml:space="preserve">-</w:t>
            </w:r>
          </w:p>
        </w:tc>
        <w:tc>
          <w:tcPr>
            <w:tcW w:w="1171" w:type="pct"/>
            <w:tcBorders>
              <w:left w:val="single" w:sz="12" w:space="0" w:color="auto"/>
            </w:tcBorders>
            <w:vAlign w:val="center"/>
          </w:tcPr>
          <w:p w14:paraId="5E9FEF44" w14:textId="5F48C1C8" w:rsidR="00BF23C2" w:rsidRPr="00AE0058" w:rsidRDefault="00BF23C2" w:rsidP="00BF23C2">
            <w:pPr>
              <w:jc w:val="right"/>
              <w:rPr>
                <w:color w:val="000000" w:themeColor="text1"/>
                <w:sz w:val="16"/>
                <w:szCs w:val="16"/>
              </w:rPr>
            </w:pPr>
            <w:r>
              <w:rPr>
                <w:color w:val="000000" w:themeColor="text1"/>
                <w:sz w:val="16"/>
                <w:szCs w:val="16"/>
              </w:rPr>
              <w:t xml:space="preserve">21</w:t>
            </w:r>
          </w:p>
        </w:tc>
      </w:tr>
      <w:tr w:rsidR="00AD27DC" w:rsidRPr="00AE0058" w14:paraId="51BC3721" w14:textId="77777777" w:rsidTr="006C07FA">
        <w:tc>
          <w:tcPr>
            <w:tcW w:w="293" w:type="pct"/>
            <w:vAlign w:val="center"/>
          </w:tcPr>
          <w:p w14:paraId="66E0E1F3" w14:textId="53769975" w:rsidR="00AD27DC" w:rsidRPr="00AE0058" w:rsidRDefault="00BF23C2" w:rsidP="00FB2F0D">
            <w:pPr>
              <w:rPr>
                <w:color w:val="000000" w:themeColor="text1"/>
                <w:sz w:val="16"/>
                <w:szCs w:val="16"/>
                <w:rFonts w:eastAsia="Times New Roman" w:cs="Times New Roman"/>
              </w:rPr>
            </w:pPr>
            <w:r>
              <w:rPr>
                <w:color w:val="000000" w:themeColor="text1"/>
                <w:sz w:val="16"/>
                <w:szCs w:val="16"/>
              </w:rPr>
              <w:t xml:space="preserve">8</w:t>
            </w:r>
          </w:p>
        </w:tc>
        <w:tc>
          <w:tcPr>
            <w:tcW w:w="480" w:type="pct"/>
            <w:vAlign w:val="center"/>
          </w:tcPr>
          <w:p w14:paraId="5C49040A" w14:textId="03BF777C" w:rsidR="00AD27DC" w:rsidRPr="00AE0058" w:rsidRDefault="00AD27DC" w:rsidP="009E13D4">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11, phrase 1, point 2 et phrase 2 UStatG</w:t>
            </w:r>
          </w:p>
        </w:tc>
        <w:tc>
          <w:tcPr>
            <w:tcW w:w="1173" w:type="pct"/>
            <w:vAlign w:val="center"/>
          </w:tcPr>
          <w:p w14:paraId="782CC886" w14:textId="28FCD672" w:rsidR="00AD27DC" w:rsidRPr="00AE0058" w:rsidRDefault="00AD27DC" w:rsidP="00FB2F0D">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les dépenses courantes pour la protection de l'environnement - Office fédéral de la statistique</w:t>
            </w:r>
          </w:p>
        </w:tc>
        <w:tc>
          <w:tcPr>
            <w:tcW w:w="944" w:type="pct"/>
            <w:vAlign w:val="center"/>
          </w:tcPr>
          <w:p w14:paraId="6915B52A" w14:textId="77777777" w:rsidR="00AD27DC" w:rsidRPr="00AE0058" w:rsidRDefault="00AD27DC" w:rsidP="00FB2F0D">
            <w:pPr>
              <w:jc w:val="right"/>
              <w:rPr>
                <w:color w:val="000000" w:themeColor="text1"/>
                <w:sz w:val="16"/>
                <w:szCs w:val="16"/>
              </w:rPr>
            </w:pPr>
            <w:r>
              <w:rPr>
                <w:color w:val="000000" w:themeColor="text1"/>
                <w:sz w:val="16"/>
                <w:szCs w:val="16"/>
              </w:rPr>
              <w:t xml:space="preserve">28</w:t>
            </w:r>
          </w:p>
        </w:tc>
        <w:tc>
          <w:tcPr>
            <w:tcW w:w="939" w:type="pct"/>
            <w:vAlign w:val="center"/>
          </w:tcPr>
          <w:p w14:paraId="00D3E919" w14:textId="77777777" w:rsidR="00AD27DC" w:rsidRPr="00AE0058" w:rsidRDefault="00AD27DC" w:rsidP="00FB2F0D">
            <w:pPr>
              <w:jc w:val="right"/>
              <w:rPr>
                <w:color w:val="000000" w:themeColor="text1"/>
                <w:sz w:val="16"/>
                <w:szCs w:val="16"/>
              </w:rPr>
            </w:pPr>
            <w:r>
              <w:rPr>
                <w:color w:val="000000" w:themeColor="text1"/>
                <w:sz w:val="16"/>
                <w:szCs w:val="16"/>
              </w:rPr>
              <w:t xml:space="preserve">31</w:t>
            </w:r>
          </w:p>
        </w:tc>
        <w:tc>
          <w:tcPr>
            <w:tcW w:w="1171" w:type="pct"/>
            <w:tcBorders>
              <w:left w:val="single" w:sz="12" w:space="0" w:color="auto"/>
            </w:tcBorders>
            <w:vAlign w:val="center"/>
          </w:tcPr>
          <w:p w14:paraId="5CA21994" w14:textId="77777777" w:rsidR="00AD27DC" w:rsidRPr="00AE0058" w:rsidRDefault="00AD27DC" w:rsidP="00FB2F0D">
            <w:pPr>
              <w:jc w:val="right"/>
              <w:rPr>
                <w:color w:val="000000" w:themeColor="text1"/>
                <w:sz w:val="16"/>
                <w:szCs w:val="16"/>
              </w:rPr>
            </w:pPr>
            <w:r>
              <w:rPr>
                <w:color w:val="000000" w:themeColor="text1"/>
                <w:sz w:val="16"/>
                <w:szCs w:val="16"/>
              </w:rPr>
              <w:t xml:space="preserve">59</w:t>
            </w:r>
          </w:p>
        </w:tc>
      </w:tr>
      <w:tr w:rsidR="00AD27DC" w:rsidRPr="00AE0058" w14:paraId="16C65189" w14:textId="77777777" w:rsidTr="006C07FA">
        <w:tc>
          <w:tcPr>
            <w:tcW w:w="293" w:type="pct"/>
            <w:vAlign w:val="center"/>
          </w:tcPr>
          <w:p w14:paraId="3C9BD5AA" w14:textId="4A5CFA78" w:rsidR="00AD27DC" w:rsidRPr="00AE0058" w:rsidRDefault="00BF23C2" w:rsidP="00FB2F0D">
            <w:pPr>
              <w:rPr>
                <w:color w:val="000000" w:themeColor="text1"/>
                <w:sz w:val="16"/>
                <w:szCs w:val="16"/>
                <w:rFonts w:eastAsia="Times New Roman" w:cs="Times New Roman"/>
              </w:rPr>
            </w:pPr>
            <w:r>
              <w:rPr>
                <w:color w:val="000000" w:themeColor="text1"/>
                <w:sz w:val="16"/>
                <w:szCs w:val="16"/>
              </w:rPr>
              <w:t xml:space="preserve">9</w:t>
            </w:r>
          </w:p>
        </w:tc>
        <w:tc>
          <w:tcPr>
            <w:tcW w:w="480" w:type="pct"/>
            <w:vAlign w:val="center"/>
          </w:tcPr>
          <w:p w14:paraId="4160AB15" w14:textId="77777777" w:rsidR="00AD27DC" w:rsidRPr="00AE0058" w:rsidRDefault="00AD27DC" w:rsidP="00FB2F0D">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12, paragraphe 2 point 4 et paragraphe 1, phrase 2 UStatG</w:t>
            </w:r>
          </w:p>
        </w:tc>
        <w:tc>
          <w:tcPr>
            <w:tcW w:w="1173" w:type="pct"/>
            <w:vAlign w:val="center"/>
          </w:tcPr>
          <w:p w14:paraId="349013AE" w14:textId="0311A7A9" w:rsidR="00AD27DC" w:rsidRPr="00AE0058" w:rsidRDefault="00AD27DC" w:rsidP="00FB2F0D">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Enquête sur les biens, travaux et services pour la protection de l'environnement - Office fédéral de la statistique</w:t>
            </w:r>
          </w:p>
        </w:tc>
        <w:tc>
          <w:tcPr>
            <w:tcW w:w="944" w:type="pct"/>
            <w:vAlign w:val="center"/>
          </w:tcPr>
          <w:p w14:paraId="164FC5E4" w14:textId="77777777" w:rsidR="00AD27DC" w:rsidRPr="00AE0058" w:rsidRDefault="00AD27DC" w:rsidP="00FB2F0D">
            <w:pPr>
              <w:jc w:val="right"/>
              <w:rPr>
                <w:color w:val="000000" w:themeColor="text1"/>
                <w:sz w:val="16"/>
                <w:szCs w:val="16"/>
              </w:rPr>
            </w:pPr>
            <w:r>
              <w:rPr>
                <w:color w:val="000000" w:themeColor="text1"/>
                <w:sz w:val="16"/>
                <w:szCs w:val="16"/>
              </w:rPr>
              <w:t xml:space="preserve">8</w:t>
            </w:r>
          </w:p>
        </w:tc>
        <w:tc>
          <w:tcPr>
            <w:tcW w:w="939" w:type="pct"/>
            <w:vAlign w:val="center"/>
          </w:tcPr>
          <w:p w14:paraId="0D6780D7" w14:textId="77777777" w:rsidR="00AD27DC" w:rsidRPr="00AE0058" w:rsidRDefault="00AD27DC" w:rsidP="00FB2F0D">
            <w:pPr>
              <w:jc w:val="right"/>
              <w:rPr>
                <w:color w:val="000000" w:themeColor="text1"/>
                <w:sz w:val="16"/>
                <w:szCs w:val="16"/>
              </w:rPr>
            </w:pPr>
            <w:r>
              <w:rPr>
                <w:color w:val="000000" w:themeColor="text1"/>
                <w:sz w:val="16"/>
                <w:szCs w:val="16"/>
              </w:rPr>
              <w:t xml:space="preserve">8</w:t>
            </w:r>
          </w:p>
        </w:tc>
        <w:tc>
          <w:tcPr>
            <w:tcW w:w="1171" w:type="pct"/>
            <w:tcBorders>
              <w:left w:val="single" w:sz="12" w:space="0" w:color="auto"/>
            </w:tcBorders>
            <w:vAlign w:val="center"/>
          </w:tcPr>
          <w:p w14:paraId="56C676BF" w14:textId="77777777" w:rsidR="00AD27DC" w:rsidRPr="00AE0058" w:rsidRDefault="00AD27DC" w:rsidP="00FB2F0D">
            <w:pPr>
              <w:jc w:val="right"/>
              <w:rPr>
                <w:color w:val="000000" w:themeColor="text1"/>
                <w:sz w:val="16"/>
                <w:szCs w:val="16"/>
              </w:rPr>
            </w:pPr>
            <w:r>
              <w:rPr>
                <w:color w:val="000000" w:themeColor="text1"/>
                <w:sz w:val="16"/>
                <w:szCs w:val="16"/>
              </w:rPr>
              <w:t xml:space="preserve">15</w:t>
            </w:r>
          </w:p>
        </w:tc>
      </w:tr>
      <w:tr w:rsidR="00AD27DC" w:rsidRPr="00AE0058" w14:paraId="0B78FC04" w14:textId="77777777" w:rsidTr="006C07FA">
        <w:tc>
          <w:tcPr>
            <w:tcW w:w="293" w:type="pct"/>
            <w:vAlign w:val="center"/>
          </w:tcPr>
          <w:p w14:paraId="5132A792" w14:textId="663EB58A" w:rsidR="00AD27DC" w:rsidRPr="00AE0058" w:rsidRDefault="00BF23C2" w:rsidP="00FB2F0D">
            <w:pPr>
              <w:rPr>
                <w:color w:val="000000" w:themeColor="text1"/>
                <w:sz w:val="16"/>
                <w:szCs w:val="16"/>
              </w:rPr>
            </w:pPr>
            <w:r>
              <w:rPr>
                <w:color w:val="000000" w:themeColor="text1"/>
                <w:sz w:val="16"/>
                <w:szCs w:val="16"/>
              </w:rPr>
              <w:t xml:space="preserve">10</w:t>
            </w:r>
          </w:p>
        </w:tc>
        <w:tc>
          <w:tcPr>
            <w:tcW w:w="480" w:type="pct"/>
            <w:vAlign w:val="center"/>
          </w:tcPr>
          <w:p w14:paraId="1F536BBA" w14:textId="77777777" w:rsidR="00AD27DC" w:rsidRPr="00AE0058" w:rsidRDefault="00AD27DC" w:rsidP="00FB2F0D">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14 UStatG</w:t>
            </w:r>
          </w:p>
        </w:tc>
        <w:tc>
          <w:tcPr>
            <w:tcW w:w="1173" w:type="pct"/>
            <w:vAlign w:val="center"/>
          </w:tcPr>
          <w:p w14:paraId="5E587052" w14:textId="31F7B6CC" w:rsidR="00AD27DC" w:rsidRPr="00AE0058" w:rsidRDefault="00AD27DC" w:rsidP="00FB2F0D">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Obligation d'information - Office fédéral de la statistique</w:t>
            </w:r>
          </w:p>
        </w:tc>
        <w:tc>
          <w:tcPr>
            <w:tcW w:w="944" w:type="pct"/>
            <w:vAlign w:val="center"/>
          </w:tcPr>
          <w:p w14:paraId="01D9EB03" w14:textId="77777777" w:rsidR="00AD27DC" w:rsidRPr="00AE0058" w:rsidRDefault="00AD27DC" w:rsidP="00FB2F0D">
            <w:pPr>
              <w:jc w:val="right"/>
              <w:rPr>
                <w:color w:val="000000" w:themeColor="text1"/>
                <w:sz w:val="16"/>
                <w:szCs w:val="16"/>
              </w:rPr>
            </w:pPr>
            <w:r>
              <w:rPr>
                <w:color w:val="000000" w:themeColor="text1"/>
                <w:sz w:val="16"/>
                <w:szCs w:val="16"/>
              </w:rPr>
              <w:t xml:space="preserve">3</w:t>
            </w:r>
          </w:p>
        </w:tc>
        <w:tc>
          <w:tcPr>
            <w:tcW w:w="939" w:type="pct"/>
            <w:vAlign w:val="center"/>
          </w:tcPr>
          <w:p w14:paraId="201970D0" w14:textId="77777777" w:rsidR="00AD27DC" w:rsidRPr="00AE0058" w:rsidRDefault="00AD27DC" w:rsidP="00FB2F0D">
            <w:pPr>
              <w:jc w:val="right"/>
              <w:rPr>
                <w:color w:val="000000" w:themeColor="text1"/>
                <w:sz w:val="16"/>
                <w:szCs w:val="16"/>
              </w:rPr>
            </w:pPr>
            <w:r>
              <w:rPr>
                <w:color w:val="000000" w:themeColor="text1"/>
                <w:sz w:val="16"/>
                <w:szCs w:val="16"/>
              </w:rPr>
              <w:t xml:space="preserve">-</w:t>
            </w:r>
          </w:p>
        </w:tc>
        <w:tc>
          <w:tcPr>
            <w:tcW w:w="1171" w:type="pct"/>
            <w:tcBorders>
              <w:left w:val="single" w:sz="12" w:space="0" w:color="auto"/>
            </w:tcBorders>
            <w:vAlign w:val="center"/>
          </w:tcPr>
          <w:p w14:paraId="0B09A12D" w14:textId="77777777" w:rsidR="00AD27DC" w:rsidRPr="00AE0058" w:rsidRDefault="00AD27DC" w:rsidP="00FB2F0D">
            <w:pPr>
              <w:jc w:val="right"/>
              <w:rPr>
                <w:color w:val="000000" w:themeColor="text1"/>
                <w:sz w:val="16"/>
                <w:szCs w:val="16"/>
              </w:rPr>
            </w:pPr>
            <w:r>
              <w:rPr>
                <w:color w:val="000000" w:themeColor="text1"/>
                <w:sz w:val="16"/>
                <w:szCs w:val="16"/>
              </w:rPr>
              <w:t xml:space="preserve">3</w:t>
            </w:r>
          </w:p>
        </w:tc>
      </w:tr>
      <w:tr w:rsidR="00AD27DC" w:rsidRPr="00AE0058" w14:paraId="6BD5C441" w14:textId="77777777" w:rsidTr="006C07FA">
        <w:tc>
          <w:tcPr>
            <w:tcW w:w="293" w:type="pct"/>
            <w:vAlign w:val="center"/>
          </w:tcPr>
          <w:p w14:paraId="3B68CF90" w14:textId="4E79474D" w:rsidR="00AD27DC" w:rsidRPr="00AE0058" w:rsidRDefault="00BF23C2" w:rsidP="00BF23C2">
            <w:pPr>
              <w:rPr>
                <w:color w:val="000000" w:themeColor="text1"/>
                <w:sz w:val="16"/>
                <w:szCs w:val="16"/>
              </w:rPr>
            </w:pPr>
            <w:r>
              <w:rPr>
                <w:color w:val="000000" w:themeColor="text1"/>
                <w:sz w:val="16"/>
                <w:szCs w:val="16"/>
              </w:rPr>
              <w:t xml:space="preserve">11</w:t>
            </w:r>
          </w:p>
        </w:tc>
        <w:tc>
          <w:tcPr>
            <w:tcW w:w="480" w:type="pct"/>
            <w:vAlign w:val="center"/>
          </w:tcPr>
          <w:p w14:paraId="3EEFA44D" w14:textId="77777777" w:rsidR="00AD27DC" w:rsidRPr="00AE0058" w:rsidRDefault="00AD27DC" w:rsidP="00FB2F0D">
            <w:pPr>
              <w:rPr>
                <w:color w:val="000000" w:themeColor="text1"/>
                <w:sz w:val="16"/>
                <w:szCs w:val="16"/>
                <w:rFonts w:ascii="MetaNormalLF-Roman" w:hAnsi="MetaNormalLF-Roman" w:cs="Calibri"/>
              </w:rPr>
            </w:pPr>
            <w:r>
              <w:rPr>
                <w:color w:val="000000" w:themeColor="text1"/>
                <w:sz w:val="16"/>
                <w:szCs w:val="16"/>
                <w:rFonts w:ascii="MetaNormalLF-Roman" w:hAnsi="MetaNormalLF-Roman"/>
              </w:rPr>
              <w:t xml:space="preserve">Article 15 UStatG</w:t>
            </w:r>
          </w:p>
        </w:tc>
        <w:tc>
          <w:tcPr>
            <w:tcW w:w="1173" w:type="pct"/>
            <w:vAlign w:val="center"/>
          </w:tcPr>
          <w:p w14:paraId="0A7EE169" w14:textId="1DB0BC85" w:rsidR="00AD27DC" w:rsidRPr="00AE0058" w:rsidRDefault="00AD27DC" w:rsidP="00FB2F0D">
            <w:pPr>
              <w:rPr>
                <w:color w:val="000000" w:themeColor="text1"/>
                <w:sz w:val="16"/>
                <w:szCs w:val="18"/>
                <w:rFonts w:ascii="MetaNormalLF-Roman" w:hAnsi="MetaNormalLF-Roman" w:cs="Calibri"/>
              </w:rPr>
            </w:pPr>
            <w:r>
              <w:rPr>
                <w:color w:val="000000" w:themeColor="text1"/>
                <w:sz w:val="16"/>
                <w:szCs w:val="18"/>
                <w:rFonts w:ascii="MetaNormalLF-Roman" w:hAnsi="MetaNormalLF-Roman"/>
              </w:rPr>
              <w:t xml:space="preserve">Transmission d'adresses - Office fédéral de la statistique</w:t>
            </w:r>
          </w:p>
        </w:tc>
        <w:tc>
          <w:tcPr>
            <w:tcW w:w="944" w:type="pct"/>
            <w:vAlign w:val="center"/>
          </w:tcPr>
          <w:p w14:paraId="409A3EE7" w14:textId="77777777" w:rsidR="00AD27DC" w:rsidRPr="00AE0058" w:rsidRDefault="00AD27DC" w:rsidP="00FB2F0D">
            <w:pPr>
              <w:jc w:val="right"/>
              <w:rPr>
                <w:color w:val="000000" w:themeColor="text1"/>
                <w:sz w:val="16"/>
                <w:szCs w:val="16"/>
              </w:rPr>
            </w:pPr>
            <w:r>
              <w:rPr>
                <w:color w:val="000000" w:themeColor="text1"/>
                <w:sz w:val="16"/>
                <w:szCs w:val="16"/>
              </w:rPr>
              <w:t xml:space="preserve">3</w:t>
            </w:r>
          </w:p>
        </w:tc>
        <w:tc>
          <w:tcPr>
            <w:tcW w:w="939" w:type="pct"/>
            <w:vAlign w:val="center"/>
          </w:tcPr>
          <w:p w14:paraId="786C01E0" w14:textId="77777777" w:rsidR="00AD27DC" w:rsidRPr="00AE0058" w:rsidRDefault="00AD27DC" w:rsidP="00FB2F0D">
            <w:pPr>
              <w:jc w:val="right"/>
              <w:rPr>
                <w:color w:val="000000" w:themeColor="text1"/>
                <w:sz w:val="16"/>
                <w:szCs w:val="16"/>
              </w:rPr>
            </w:pPr>
            <w:r>
              <w:rPr>
                <w:color w:val="000000" w:themeColor="text1"/>
                <w:sz w:val="16"/>
                <w:szCs w:val="16"/>
              </w:rPr>
              <w:t xml:space="preserve">-</w:t>
            </w:r>
          </w:p>
        </w:tc>
        <w:tc>
          <w:tcPr>
            <w:tcW w:w="1171" w:type="pct"/>
            <w:tcBorders>
              <w:left w:val="single" w:sz="12" w:space="0" w:color="auto"/>
            </w:tcBorders>
            <w:vAlign w:val="center"/>
          </w:tcPr>
          <w:p w14:paraId="6290E609" w14:textId="77777777" w:rsidR="00AD27DC" w:rsidRPr="00AE0058" w:rsidRDefault="00AD27DC" w:rsidP="00FB2F0D">
            <w:pPr>
              <w:jc w:val="right"/>
              <w:rPr>
                <w:color w:val="000000" w:themeColor="text1"/>
                <w:sz w:val="16"/>
                <w:szCs w:val="16"/>
              </w:rPr>
            </w:pPr>
            <w:r>
              <w:rPr>
                <w:color w:val="000000" w:themeColor="text1"/>
                <w:sz w:val="16"/>
                <w:szCs w:val="16"/>
              </w:rPr>
              <w:t xml:space="preserve">3</w:t>
            </w:r>
          </w:p>
        </w:tc>
      </w:tr>
      <w:tr w:rsidR="00AD27DC" w:rsidRPr="00AE0058" w14:paraId="1E3FEFFB" w14:textId="77777777" w:rsidTr="006C07FA">
        <w:tc>
          <w:tcPr>
            <w:tcW w:w="1946" w:type="pct"/>
            <w:gridSpan w:val="3"/>
            <w:shd w:val="clear" w:color="auto" w:fill="D9D9D9" w:themeFill="background1" w:themeFillShade="D9"/>
            <w:vAlign w:val="center"/>
          </w:tcPr>
          <w:p w14:paraId="47CCB83B" w14:textId="77777777" w:rsidR="00AD27DC" w:rsidRPr="00AE0058" w:rsidRDefault="00AD27DC" w:rsidP="00FB2F0D">
            <w:pPr>
              <w:rPr>
                <w:b/>
                <w:color w:val="000000" w:themeColor="text1"/>
                <w:sz w:val="16"/>
                <w:szCs w:val="16"/>
              </w:rPr>
            </w:pPr>
            <w:r>
              <w:rPr>
                <w:b/>
                <w:color w:val="000000" w:themeColor="text1"/>
                <w:sz w:val="16"/>
                <w:szCs w:val="16"/>
              </w:rPr>
              <w:t xml:space="preserve">Total</w:t>
            </w:r>
          </w:p>
        </w:tc>
        <w:tc>
          <w:tcPr>
            <w:tcW w:w="944" w:type="pct"/>
            <w:shd w:val="clear" w:color="auto" w:fill="D9D9D9" w:themeFill="background1" w:themeFillShade="D9"/>
            <w:vAlign w:val="center"/>
          </w:tcPr>
          <w:p w14:paraId="13C49D35" w14:textId="1CC9D0B2" w:rsidR="00AD27DC" w:rsidRPr="00AE0058" w:rsidRDefault="00BF23C2" w:rsidP="00FB2F0D">
            <w:pPr>
              <w:jc w:val="right"/>
              <w:rPr>
                <w:b/>
                <w:bCs/>
                <w:color w:val="000000" w:themeColor="text1"/>
                <w:sz w:val="16"/>
                <w:szCs w:val="16"/>
              </w:rPr>
            </w:pPr>
            <w:r>
              <w:rPr>
                <w:b/>
                <w:bCs/>
                <w:color w:val="000000" w:themeColor="text1"/>
                <w:sz w:val="16"/>
                <w:szCs w:val="16"/>
              </w:rPr>
              <w:t xml:space="preserve">318</w:t>
            </w:r>
          </w:p>
        </w:tc>
        <w:tc>
          <w:tcPr>
            <w:tcW w:w="939" w:type="pct"/>
            <w:shd w:val="clear" w:color="auto" w:fill="D9D9D9" w:themeFill="background1" w:themeFillShade="D9"/>
            <w:vAlign w:val="center"/>
          </w:tcPr>
          <w:p w14:paraId="78CFB1B3" w14:textId="77777777" w:rsidR="00AD27DC" w:rsidRPr="00AE0058" w:rsidRDefault="00AD27DC" w:rsidP="00FB2F0D">
            <w:pPr>
              <w:jc w:val="right"/>
              <w:rPr>
                <w:b/>
                <w:bCs/>
                <w:color w:val="000000" w:themeColor="text1"/>
                <w:sz w:val="16"/>
                <w:szCs w:val="16"/>
              </w:rPr>
            </w:pPr>
            <w:r>
              <w:rPr>
                <w:b/>
                <w:bCs/>
                <w:color w:val="000000" w:themeColor="text1"/>
                <w:sz w:val="16"/>
                <w:szCs w:val="16"/>
              </w:rPr>
              <w:t xml:space="preserve">39</w:t>
            </w:r>
          </w:p>
        </w:tc>
        <w:tc>
          <w:tcPr>
            <w:tcW w:w="1171" w:type="pct"/>
            <w:tcBorders>
              <w:left w:val="single" w:sz="12" w:space="0" w:color="auto"/>
            </w:tcBorders>
            <w:shd w:val="clear" w:color="auto" w:fill="D9D9D9" w:themeFill="background1" w:themeFillShade="D9"/>
            <w:vAlign w:val="center"/>
          </w:tcPr>
          <w:p w14:paraId="52E109C0" w14:textId="66FCCB7F" w:rsidR="00AD27DC" w:rsidRPr="00AE0058" w:rsidRDefault="00BF23C2" w:rsidP="00FB2F0D">
            <w:pPr>
              <w:jc w:val="right"/>
              <w:rPr>
                <w:b/>
                <w:bCs/>
                <w:color w:val="000000" w:themeColor="text1"/>
                <w:sz w:val="16"/>
                <w:szCs w:val="16"/>
              </w:rPr>
            </w:pPr>
            <w:r>
              <w:rPr>
                <w:b/>
                <w:bCs/>
                <w:color w:val="000000" w:themeColor="text1"/>
                <w:sz w:val="16"/>
                <w:szCs w:val="16"/>
              </w:rPr>
              <w:t xml:space="preserve">357</w:t>
            </w:r>
          </w:p>
        </w:tc>
      </w:tr>
    </w:tbl>
    <w:p w14:paraId="15E632DF" w14:textId="77777777" w:rsidR="00AD27DC" w:rsidRPr="00AE0058" w:rsidRDefault="00AD27DC" w:rsidP="000B2F65">
      <w:pPr>
        <w:rPr>
          <w:color w:val="000000" w:themeColor="text1"/>
        </w:rPr>
      </w:pPr>
    </w:p>
    <w:p w14:paraId="3B3A61D0" w14:textId="77777777" w:rsidR="00AD27DC" w:rsidRPr="00AE0058" w:rsidRDefault="00AD27DC" w:rsidP="00C65795">
      <w:pPr>
        <w:pStyle w:val="ListParagraph"/>
        <w:keepNext/>
        <w:numPr>
          <w:ilvl w:val="0"/>
          <w:numId w:val="6"/>
        </w:numPr>
        <w:spacing w:after="120" w:line="360" w:lineRule="auto"/>
        <w:ind w:firstLine="0"/>
        <w:jc w:val="both"/>
        <w:rPr>
          <w:b/>
          <w:color w:val="000000" w:themeColor="text1"/>
          <w:rFonts w:ascii="MetaNormalLF-Roman" w:eastAsia="Times New Roman" w:hAnsi="MetaNormalLF-Roman" w:cs="Times New Roman"/>
        </w:rPr>
      </w:pPr>
      <w:r>
        <w:rPr>
          <w:b/>
          <w:color w:val="000000" w:themeColor="text1"/>
          <w:rFonts w:ascii="MetaNormalLF-Roman" w:hAnsi="MetaNormalLF-Roman"/>
        </w:rPr>
        <w:t xml:space="preserve">Offices statistiques des Länder</w:t>
      </w:r>
    </w:p>
    <w:p w14:paraId="49C7495F" w14:textId="2AE95993" w:rsidR="00AD27DC" w:rsidRPr="00AE0058" w:rsidRDefault="00BA3FBC" w:rsidP="00AD27DC">
      <w:pPr>
        <w:spacing w:line="360" w:lineRule="auto"/>
        <w:rPr>
          <w:i/>
          <w:color w:val="000000" w:themeColor="text1"/>
        </w:rPr>
      </w:pPr>
      <w:r>
        <w:rPr>
          <w:color w:val="000000" w:themeColor="text1"/>
        </w:rPr>
        <w:t xml:space="preserve">Pour les offices statistiques des Länder, la charge annuelle d'exécution change d'environ 897 000 euros (voir tableau 6) et il existe une charge d'exécution unique d'environ 1,9 million d'euros (voir tableau 7).</w:t>
      </w:r>
      <w:r>
        <w:rPr>
          <w:color w:val="000000" w:themeColor="text1"/>
          <w:rFonts w:ascii="MetaNormalLF-Roman" w:hAnsi="MetaNormalLF-Roman"/>
        </w:rPr>
        <w:t xml:space="preserve"> </w:t>
      </w:r>
    </w:p>
    <w:p w14:paraId="7CC4EBBE" w14:textId="3EADA0B0" w:rsidR="007D5C8F" w:rsidRPr="00AE0058" w:rsidRDefault="007D5C8F" w:rsidP="00C65795">
      <w:pPr>
        <w:keepNext/>
        <w:spacing w:after="0" w:line="360" w:lineRule="auto"/>
        <w:rPr>
          <w:b/>
          <w:color w:val="000000" w:themeColor="text1"/>
          <w:highlight w:val="yellow"/>
          <w:rFonts w:ascii="MetaNormalLF-Roman" w:eastAsia="Times New Roman" w:hAnsi="MetaNormalLF-Roman" w:cs="Times New Roman"/>
        </w:rPr>
      </w:pPr>
      <w:r>
        <w:rPr>
          <w:b/>
          <w:color w:val="000000" w:themeColor="text1"/>
          <w:sz w:val="20"/>
          <w:rFonts w:ascii="MetaNormalLF-Roman" w:hAnsi="MetaNormalLF-Roman"/>
        </w:rPr>
        <w:t xml:space="preserve">Tableau 6:</w:t>
      </w:r>
      <w:r>
        <w:rPr>
          <w:b/>
          <w:color w:val="000000" w:themeColor="text1"/>
          <w:sz w:val="20"/>
          <w:rFonts w:ascii="MetaNormalLF-Roman" w:hAnsi="MetaNormalLF-Roman"/>
        </w:rPr>
        <w:t xml:space="preserve"> </w:t>
      </w:r>
      <w:r>
        <w:rPr>
          <w:b/>
          <w:color w:val="000000" w:themeColor="text1"/>
          <w:sz w:val="20"/>
          <w:rFonts w:ascii="MetaNormalLF-Roman" w:hAnsi="MetaNormalLF-Roman"/>
        </w:rPr>
        <w:t xml:space="preserve">Charge administrative d'exécution - charge annuelle d'exécution, offices statistiques des Länder</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7"/>
        <w:gridCol w:w="832"/>
        <w:gridCol w:w="2037"/>
        <w:gridCol w:w="810"/>
        <w:gridCol w:w="12"/>
        <w:gridCol w:w="806"/>
        <w:gridCol w:w="810"/>
        <w:gridCol w:w="16"/>
        <w:gridCol w:w="929"/>
        <w:gridCol w:w="1911"/>
      </w:tblGrid>
      <w:tr w:rsidR="007D5C8F" w:rsidRPr="00AE0058" w14:paraId="64B521D6" w14:textId="77777777" w:rsidTr="006C07FA">
        <w:tc>
          <w:tcPr>
            <w:tcW w:w="292" w:type="pct"/>
            <w:shd w:val="clear" w:color="auto" w:fill="D9D9D9" w:themeFill="background1" w:themeFillShade="D9"/>
            <w:vAlign w:val="center"/>
          </w:tcPr>
          <w:p w14:paraId="2994E45E" w14:textId="77777777" w:rsidR="007D5C8F" w:rsidRPr="00AE0058" w:rsidRDefault="007D5C8F" w:rsidP="00C65795">
            <w:pPr>
              <w:keepNext/>
              <w:rPr>
                <w:rFonts w:eastAsia="Times New Roman" w:cs="Times New Roman"/>
                <w:b/>
                <w:color w:val="000000" w:themeColor="text1"/>
                <w:sz w:val="16"/>
                <w:szCs w:val="16"/>
              </w:rPr>
            </w:pPr>
          </w:p>
        </w:tc>
        <w:tc>
          <w:tcPr>
            <w:tcW w:w="480" w:type="pct"/>
            <w:shd w:val="clear" w:color="auto" w:fill="D9D9D9" w:themeFill="background1" w:themeFillShade="D9"/>
            <w:vAlign w:val="center"/>
          </w:tcPr>
          <w:p w14:paraId="5009A5DE" w14:textId="77777777" w:rsidR="007D5C8F" w:rsidRPr="00AE0058" w:rsidRDefault="007D5C8F" w:rsidP="00C65795">
            <w:pPr>
              <w:keepNext/>
              <w:rPr>
                <w:rFonts w:eastAsia="Times New Roman" w:cs="Times New Roman"/>
                <w:b/>
                <w:color w:val="000000" w:themeColor="text1"/>
                <w:sz w:val="16"/>
                <w:szCs w:val="16"/>
              </w:rPr>
            </w:pPr>
          </w:p>
        </w:tc>
        <w:tc>
          <w:tcPr>
            <w:tcW w:w="1175" w:type="pct"/>
            <w:shd w:val="clear" w:color="auto" w:fill="D9D9D9" w:themeFill="background1" w:themeFillShade="D9"/>
            <w:vAlign w:val="center"/>
          </w:tcPr>
          <w:p w14:paraId="1D2D0693" w14:textId="77777777" w:rsidR="007D5C8F" w:rsidRPr="00AE0058" w:rsidRDefault="007D5C8F" w:rsidP="00C65795">
            <w:pPr>
              <w:keepNext/>
              <w:rPr>
                <w:rFonts w:eastAsia="Times New Roman" w:cs="Times New Roman"/>
                <w:b/>
                <w:color w:val="000000" w:themeColor="text1"/>
                <w:sz w:val="16"/>
                <w:szCs w:val="16"/>
              </w:rPr>
            </w:pPr>
          </w:p>
        </w:tc>
        <w:tc>
          <w:tcPr>
            <w:tcW w:w="939" w:type="pct"/>
            <w:gridSpan w:val="3"/>
            <w:shd w:val="clear" w:color="auto" w:fill="D9D9D9" w:themeFill="background1" w:themeFillShade="D9"/>
            <w:vAlign w:val="center"/>
          </w:tcPr>
          <w:p w14:paraId="6361EF78"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Supplément de charge annuel</w:t>
            </w:r>
          </w:p>
        </w:tc>
        <w:tc>
          <w:tcPr>
            <w:tcW w:w="1012" w:type="pct"/>
            <w:gridSpan w:val="3"/>
            <w:tcBorders>
              <w:right w:val="single" w:sz="12" w:space="0" w:color="auto"/>
            </w:tcBorders>
            <w:shd w:val="clear" w:color="auto" w:fill="D9D9D9" w:themeFill="background1" w:themeFillShade="D9"/>
            <w:vAlign w:val="center"/>
          </w:tcPr>
          <w:p w14:paraId="3F2CC608"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Réduction de charge annuelle</w:t>
            </w:r>
          </w:p>
        </w:tc>
        <w:tc>
          <w:tcPr>
            <w:tcW w:w="1103" w:type="pct"/>
            <w:tcBorders>
              <w:left w:val="single" w:sz="12" w:space="0" w:color="auto"/>
            </w:tcBorders>
            <w:shd w:val="clear" w:color="auto" w:fill="D9D9D9" w:themeFill="background1" w:themeFillShade="D9"/>
            <w:vAlign w:val="center"/>
          </w:tcPr>
          <w:p w14:paraId="33B5E8EA"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Charge d'exécution annuelle</w:t>
            </w:r>
          </w:p>
        </w:tc>
      </w:tr>
      <w:tr w:rsidR="007D5C8F" w:rsidRPr="00AE0058" w14:paraId="4B47C0A9" w14:textId="77777777" w:rsidTr="006C07FA">
        <w:tc>
          <w:tcPr>
            <w:tcW w:w="292" w:type="pct"/>
            <w:shd w:val="clear" w:color="auto" w:fill="D9D9D9" w:themeFill="background1" w:themeFillShade="D9"/>
            <w:vAlign w:val="center"/>
          </w:tcPr>
          <w:p w14:paraId="13DFFDDD"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Disposition</w:t>
            </w:r>
          </w:p>
        </w:tc>
        <w:tc>
          <w:tcPr>
            <w:tcW w:w="480" w:type="pct"/>
            <w:shd w:val="clear" w:color="auto" w:fill="D9D9D9" w:themeFill="background1" w:themeFillShade="D9"/>
            <w:vAlign w:val="center"/>
          </w:tcPr>
          <w:p w14:paraId="131AC913" w14:textId="4FBA6F62"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Paragraphe</w:t>
            </w:r>
            <w:r>
              <w:rPr>
                <w:b/>
                <w:color w:val="000000" w:themeColor="text1"/>
                <w:sz w:val="16"/>
                <w:szCs w:val="16"/>
              </w:rPr>
              <w:t xml:space="preserve"> </w:t>
            </w:r>
          </w:p>
        </w:tc>
        <w:tc>
          <w:tcPr>
            <w:tcW w:w="1175" w:type="pct"/>
            <w:shd w:val="clear" w:color="auto" w:fill="D9D9D9" w:themeFill="background1" w:themeFillShade="D9"/>
            <w:vAlign w:val="center"/>
          </w:tcPr>
          <w:p w14:paraId="05A0A3D0"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Désignation de la disposition</w:t>
            </w:r>
          </w:p>
        </w:tc>
        <w:tc>
          <w:tcPr>
            <w:tcW w:w="467" w:type="pct"/>
            <w:shd w:val="clear" w:color="auto" w:fill="D9D9D9" w:themeFill="background1" w:themeFillShade="D9"/>
            <w:vAlign w:val="center"/>
          </w:tcPr>
          <w:p w14:paraId="7EB92818"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Frais de personnel</w:t>
            </w:r>
          </w:p>
        </w:tc>
        <w:tc>
          <w:tcPr>
            <w:tcW w:w="472" w:type="pct"/>
            <w:gridSpan w:val="2"/>
            <w:shd w:val="clear" w:color="auto" w:fill="D9D9D9" w:themeFill="background1" w:themeFillShade="D9"/>
            <w:vAlign w:val="center"/>
          </w:tcPr>
          <w:p w14:paraId="20441024"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Dépenses de matériel</w:t>
            </w:r>
          </w:p>
        </w:tc>
        <w:tc>
          <w:tcPr>
            <w:tcW w:w="467" w:type="pct"/>
            <w:shd w:val="clear" w:color="auto" w:fill="D9D9D9" w:themeFill="background1" w:themeFillShade="D9"/>
            <w:vAlign w:val="center"/>
          </w:tcPr>
          <w:p w14:paraId="6E2BEC73"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Frais de personnel</w:t>
            </w:r>
          </w:p>
        </w:tc>
        <w:tc>
          <w:tcPr>
            <w:tcW w:w="545" w:type="pct"/>
            <w:gridSpan w:val="2"/>
            <w:tcBorders>
              <w:right w:val="single" w:sz="12" w:space="0" w:color="auto"/>
            </w:tcBorders>
            <w:shd w:val="clear" w:color="auto" w:fill="D9D9D9" w:themeFill="background1" w:themeFillShade="D9"/>
            <w:vAlign w:val="center"/>
          </w:tcPr>
          <w:p w14:paraId="261ADA89"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Dépenses de matériel</w:t>
            </w:r>
          </w:p>
        </w:tc>
        <w:tc>
          <w:tcPr>
            <w:tcW w:w="1103" w:type="pct"/>
            <w:tcBorders>
              <w:left w:val="single" w:sz="12" w:space="0" w:color="auto"/>
            </w:tcBorders>
            <w:shd w:val="clear" w:color="auto" w:fill="D9D9D9" w:themeFill="background1" w:themeFillShade="D9"/>
            <w:vAlign w:val="center"/>
          </w:tcPr>
          <w:p w14:paraId="6F3E7CD4" w14:textId="77777777" w:rsidR="007D5C8F" w:rsidRPr="00AE0058" w:rsidRDefault="007D5C8F" w:rsidP="00C65795">
            <w:pPr>
              <w:keepNext/>
              <w:rPr>
                <w:b/>
                <w:color w:val="000000" w:themeColor="text1"/>
                <w:sz w:val="16"/>
                <w:szCs w:val="16"/>
                <w:rFonts w:eastAsia="Times New Roman" w:cs="Times New Roman"/>
              </w:rPr>
            </w:pPr>
            <w:r>
              <w:rPr>
                <w:b/>
                <w:color w:val="000000" w:themeColor="text1"/>
                <w:sz w:val="16"/>
                <w:szCs w:val="16"/>
              </w:rPr>
              <w:t xml:space="preserve">Dépenses totales</w:t>
            </w:r>
          </w:p>
        </w:tc>
      </w:tr>
      <w:tr w:rsidR="007D5C8F" w:rsidRPr="00AE0058" w14:paraId="458A9235" w14:textId="77777777" w:rsidTr="006C07FA">
        <w:tc>
          <w:tcPr>
            <w:tcW w:w="292" w:type="pct"/>
            <w:shd w:val="clear" w:color="auto" w:fill="D9D9D9" w:themeFill="background1" w:themeFillShade="D9"/>
            <w:vAlign w:val="center"/>
          </w:tcPr>
          <w:p w14:paraId="1AB6DFC0" w14:textId="77777777" w:rsidR="007D5C8F" w:rsidRPr="00AE0058" w:rsidRDefault="007D5C8F" w:rsidP="00C65795">
            <w:pPr>
              <w:keepNext/>
              <w:rPr>
                <w:rFonts w:eastAsia="Times New Roman" w:cs="Times New Roman"/>
                <w:b/>
                <w:color w:val="000000" w:themeColor="text1"/>
                <w:sz w:val="16"/>
                <w:szCs w:val="16"/>
              </w:rPr>
            </w:pPr>
          </w:p>
        </w:tc>
        <w:tc>
          <w:tcPr>
            <w:tcW w:w="480" w:type="pct"/>
            <w:shd w:val="clear" w:color="auto" w:fill="D9D9D9" w:themeFill="background1" w:themeFillShade="D9"/>
            <w:vAlign w:val="center"/>
          </w:tcPr>
          <w:p w14:paraId="74B27FBF" w14:textId="77777777" w:rsidR="007D5C8F" w:rsidRPr="00AE0058" w:rsidRDefault="007D5C8F" w:rsidP="00C65795">
            <w:pPr>
              <w:keepNext/>
              <w:rPr>
                <w:rFonts w:eastAsia="Times New Roman" w:cs="Times New Roman"/>
                <w:b/>
                <w:color w:val="000000" w:themeColor="text1"/>
                <w:sz w:val="16"/>
                <w:szCs w:val="16"/>
              </w:rPr>
            </w:pPr>
          </w:p>
        </w:tc>
        <w:tc>
          <w:tcPr>
            <w:tcW w:w="1175" w:type="pct"/>
            <w:shd w:val="clear" w:color="auto" w:fill="D9D9D9" w:themeFill="background1" w:themeFillShade="D9"/>
            <w:vAlign w:val="center"/>
          </w:tcPr>
          <w:p w14:paraId="7EDBA8A9" w14:textId="77777777" w:rsidR="007D5C8F" w:rsidRPr="00AE0058" w:rsidRDefault="007D5C8F" w:rsidP="00C65795">
            <w:pPr>
              <w:keepNext/>
              <w:rPr>
                <w:rFonts w:eastAsia="Times New Roman" w:cs="Times New Roman"/>
                <w:b/>
                <w:color w:val="000000" w:themeColor="text1"/>
                <w:sz w:val="16"/>
                <w:szCs w:val="16"/>
              </w:rPr>
            </w:pPr>
          </w:p>
        </w:tc>
        <w:tc>
          <w:tcPr>
            <w:tcW w:w="3053" w:type="pct"/>
            <w:gridSpan w:val="7"/>
            <w:shd w:val="clear" w:color="auto" w:fill="D9D9D9" w:themeFill="background1" w:themeFillShade="D9"/>
            <w:vAlign w:val="center"/>
          </w:tcPr>
          <w:p w14:paraId="4BE25959" w14:textId="77777777" w:rsidR="007D5C8F" w:rsidRPr="00AE0058" w:rsidRDefault="007D5C8F" w:rsidP="00C65795">
            <w:pPr>
              <w:keepNext/>
              <w:jc w:val="center"/>
              <w:rPr>
                <w:b/>
                <w:color w:val="000000" w:themeColor="text1"/>
                <w:sz w:val="16"/>
                <w:szCs w:val="16"/>
                <w:rFonts w:eastAsia="Times New Roman" w:cs="Times New Roman"/>
              </w:rPr>
            </w:pPr>
            <w:r>
              <w:rPr>
                <w:b/>
                <w:color w:val="000000" w:themeColor="text1"/>
                <w:sz w:val="16"/>
                <w:szCs w:val="16"/>
              </w:rPr>
              <w:t xml:space="preserve">en milliers</w:t>
            </w:r>
            <w:r>
              <w:rPr>
                <w:b/>
                <w:color w:val="000000" w:themeColor="text1"/>
                <w:sz w:val="16"/>
                <w:szCs w:val="16"/>
              </w:rPr>
              <w:t xml:space="preserve"> </w:t>
            </w:r>
            <w:r>
              <w:rPr>
                <w:b/>
                <w:color w:val="000000" w:themeColor="text1"/>
                <w:sz w:val="16"/>
                <w:szCs w:val="16"/>
              </w:rPr>
              <w:t xml:space="preserve">d’euros</w:t>
            </w:r>
          </w:p>
        </w:tc>
      </w:tr>
      <w:tr w:rsidR="007D5C8F" w:rsidRPr="00AE0058" w14:paraId="32C4F4B8" w14:textId="77777777" w:rsidTr="006C07FA">
        <w:tc>
          <w:tcPr>
            <w:tcW w:w="292" w:type="pct"/>
            <w:shd w:val="clear" w:color="auto" w:fill="auto"/>
            <w:vAlign w:val="center"/>
          </w:tcPr>
          <w:p w14:paraId="7017E427" w14:textId="77777777" w:rsidR="007D5C8F" w:rsidRPr="00AE0058" w:rsidRDefault="007D5C8F" w:rsidP="006805A7">
            <w:pPr>
              <w:rPr>
                <w:color w:val="000000" w:themeColor="text1"/>
                <w:sz w:val="16"/>
                <w:szCs w:val="16"/>
                <w:rFonts w:eastAsia="Times New Roman" w:cs="Times New Roman"/>
              </w:rPr>
            </w:pPr>
            <w:r>
              <w:rPr>
                <w:color w:val="000000" w:themeColor="text1"/>
                <w:sz w:val="16"/>
                <w:szCs w:val="16"/>
              </w:rPr>
              <w:t xml:space="preserve">13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F989165" w14:textId="77777777" w:rsidR="007D5C8F" w:rsidRPr="00AE0058" w:rsidRDefault="007D5C8F" w:rsidP="006805A7">
            <w:pPr>
              <w:rPr>
                <w:color w:val="000000" w:themeColor="text1"/>
                <w:sz w:val="16"/>
                <w:szCs w:val="16"/>
                <w:rFonts w:eastAsia="Times New Roman" w:cs="Times New Roman"/>
              </w:rPr>
            </w:pPr>
            <w:r>
              <w:rPr>
                <w:color w:val="000000" w:themeColor="text1"/>
                <w:sz w:val="16"/>
                <w:szCs w:val="16"/>
              </w:rPr>
              <w:t xml:space="preserve">Article 3 à article 16 UStatG</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7B0EB8D0" w14:textId="77777777" w:rsidR="007D5C8F" w:rsidRPr="00AE0058" w:rsidRDefault="007D5C8F" w:rsidP="006805A7">
            <w:pPr>
              <w:rPr>
                <w:color w:val="000000" w:themeColor="text1"/>
                <w:sz w:val="16"/>
                <w:szCs w:val="16"/>
                <w:rFonts w:eastAsia="Times New Roman" w:cs="Times New Roman"/>
              </w:rPr>
            </w:pPr>
            <w:r>
              <w:rPr>
                <w:color w:val="000000" w:themeColor="text1"/>
                <w:sz w:val="16"/>
                <w:szCs w:val="16"/>
              </w:rPr>
              <w:t xml:space="preserve">Enquêtes des offices statistiques des Länder</w:t>
            </w:r>
          </w:p>
        </w:tc>
        <w:tc>
          <w:tcPr>
            <w:tcW w:w="474" w:type="pct"/>
            <w:gridSpan w:val="2"/>
            <w:tcBorders>
              <w:top w:val="single" w:sz="4" w:space="0" w:color="auto"/>
              <w:left w:val="nil"/>
              <w:bottom w:val="single" w:sz="4" w:space="0" w:color="auto"/>
              <w:right w:val="nil"/>
            </w:tcBorders>
            <w:shd w:val="clear" w:color="auto" w:fill="auto"/>
            <w:vAlign w:val="center"/>
          </w:tcPr>
          <w:p w14:paraId="7ED4FDB1" w14:textId="77777777" w:rsidR="007D5C8F" w:rsidRPr="00AE0058" w:rsidRDefault="007D5C8F" w:rsidP="006805A7">
            <w:pPr>
              <w:jc w:val="right"/>
              <w:rPr>
                <w:color w:val="000000" w:themeColor="text1"/>
                <w:sz w:val="16"/>
                <w:szCs w:val="16"/>
                <w:rFonts w:eastAsia="Times New Roman" w:cs="Times New Roman"/>
              </w:rPr>
            </w:pPr>
            <w:r>
              <w:rPr>
                <w:color w:val="000000" w:themeColor="text1"/>
                <w:sz w:val="16"/>
                <w:szCs w:val="16"/>
              </w:rPr>
              <w:t xml:space="preserve">789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C157280" w14:textId="77777777" w:rsidR="007D5C8F" w:rsidRPr="00AE0058" w:rsidRDefault="007D5C8F" w:rsidP="006805A7">
            <w:pPr>
              <w:jc w:val="right"/>
              <w:rPr>
                <w:color w:val="000000" w:themeColor="text1"/>
                <w:sz w:val="16"/>
                <w:szCs w:val="16"/>
                <w:rFonts w:eastAsia="Times New Roman" w:cs="Times New Roman"/>
              </w:rPr>
            </w:pPr>
            <w:r>
              <w:rPr>
                <w:color w:val="000000" w:themeColor="text1"/>
                <w:sz w:val="16"/>
                <w:szCs w:val="16"/>
              </w:rPr>
              <w:t xml:space="preserve">138</w:t>
            </w:r>
            <w:r>
              <w:rPr>
                <w:color w:val="000000" w:themeColor="text1"/>
                <w:sz w:val="16"/>
                <w:szCs w:val="16"/>
              </w:rPr>
              <w:t xml:space="preserve"> </w:t>
            </w:r>
          </w:p>
        </w:tc>
        <w:tc>
          <w:tcPr>
            <w:tcW w:w="476" w:type="pct"/>
            <w:gridSpan w:val="2"/>
            <w:shd w:val="clear" w:color="auto" w:fill="auto"/>
            <w:vAlign w:val="center"/>
          </w:tcPr>
          <w:p w14:paraId="6DD6746F" w14:textId="77777777" w:rsidR="007D5C8F" w:rsidRPr="00AE0058" w:rsidRDefault="007D5C8F" w:rsidP="006805A7">
            <w:pPr>
              <w:jc w:val="right"/>
              <w:rPr>
                <w:color w:val="000000" w:themeColor="text1"/>
                <w:sz w:val="16"/>
                <w:szCs w:val="16"/>
                <w:rFonts w:eastAsia="Times New Roman" w:cs="Times New Roman"/>
              </w:rPr>
            </w:pPr>
            <w:r>
              <w:rPr>
                <w:color w:val="000000" w:themeColor="text1"/>
                <w:sz w:val="16"/>
                <w:szCs w:val="16"/>
              </w:rPr>
              <w:t xml:space="preserve">20</w:t>
            </w:r>
          </w:p>
        </w:tc>
        <w:tc>
          <w:tcPr>
            <w:tcW w:w="536" w:type="pct"/>
            <w:tcBorders>
              <w:right w:val="single" w:sz="12" w:space="0" w:color="auto"/>
            </w:tcBorders>
            <w:shd w:val="clear" w:color="auto" w:fill="auto"/>
            <w:vAlign w:val="center"/>
          </w:tcPr>
          <w:p w14:paraId="573DC1A8" w14:textId="77777777" w:rsidR="007D5C8F" w:rsidRPr="00AE0058" w:rsidRDefault="007D5C8F" w:rsidP="006805A7">
            <w:pPr>
              <w:jc w:val="right"/>
              <w:rPr>
                <w:color w:val="000000" w:themeColor="text1"/>
                <w:sz w:val="16"/>
                <w:szCs w:val="16"/>
                <w:rFonts w:eastAsia="Times New Roman" w:cs="Times New Roman"/>
              </w:rPr>
            </w:pPr>
            <w:r>
              <w:rPr>
                <w:color w:val="000000" w:themeColor="text1"/>
                <w:sz w:val="16"/>
                <w:szCs w:val="16"/>
              </w:rPr>
              <w:t xml:space="preserve">9</w:t>
            </w:r>
          </w:p>
        </w:tc>
        <w:tc>
          <w:tcPr>
            <w:tcW w:w="1103" w:type="pct"/>
            <w:tcBorders>
              <w:left w:val="single" w:sz="12" w:space="0" w:color="auto"/>
            </w:tcBorders>
            <w:shd w:val="clear" w:color="auto" w:fill="auto"/>
            <w:vAlign w:val="center"/>
          </w:tcPr>
          <w:p w14:paraId="773B2345" w14:textId="77777777" w:rsidR="007D5C8F" w:rsidRPr="00AE0058" w:rsidRDefault="007D5C8F" w:rsidP="006805A7">
            <w:pPr>
              <w:jc w:val="right"/>
              <w:rPr>
                <w:color w:val="000000" w:themeColor="text1"/>
                <w:sz w:val="16"/>
                <w:szCs w:val="16"/>
                <w:rFonts w:eastAsia="Times New Roman" w:cs="Times New Roman"/>
              </w:rPr>
            </w:pPr>
            <w:r>
              <w:rPr>
                <w:color w:val="000000" w:themeColor="text1"/>
                <w:sz w:val="16"/>
                <w:szCs w:val="16"/>
              </w:rPr>
              <w:t xml:space="preserve">+897</w:t>
            </w:r>
          </w:p>
        </w:tc>
      </w:tr>
      <w:tr w:rsidR="007D5C8F" w:rsidRPr="00AE0058" w14:paraId="7D4CAD77" w14:textId="77777777" w:rsidTr="006C07FA">
        <w:tc>
          <w:tcPr>
            <w:tcW w:w="1947" w:type="pct"/>
            <w:gridSpan w:val="3"/>
            <w:shd w:val="clear" w:color="auto" w:fill="D9D9D9" w:themeFill="background1" w:themeFillShade="D9"/>
            <w:vAlign w:val="center"/>
          </w:tcPr>
          <w:p w14:paraId="48ED0AFD" w14:textId="77777777" w:rsidR="007D5C8F" w:rsidRPr="00AE0058" w:rsidRDefault="007D5C8F" w:rsidP="006805A7">
            <w:pPr>
              <w:rPr>
                <w:b/>
                <w:color w:val="000000" w:themeColor="text1"/>
                <w:sz w:val="16"/>
                <w:szCs w:val="16"/>
                <w:rFonts w:eastAsia="Times New Roman" w:cs="Times New Roman"/>
              </w:rPr>
            </w:pPr>
            <w:r>
              <w:rPr>
                <w:b/>
                <w:color w:val="000000" w:themeColor="text1"/>
                <w:sz w:val="16"/>
                <w:szCs w:val="16"/>
              </w:rPr>
              <w:t xml:space="preserve">Total (y compris dépenses informatiques cumulées)</w:t>
            </w:r>
          </w:p>
        </w:tc>
        <w:tc>
          <w:tcPr>
            <w:tcW w:w="474" w:type="pct"/>
            <w:gridSpan w:val="2"/>
            <w:tcBorders>
              <w:top w:val="single" w:sz="4" w:space="0" w:color="auto"/>
            </w:tcBorders>
            <w:shd w:val="clear" w:color="auto" w:fill="D9D9D9" w:themeFill="background1" w:themeFillShade="D9"/>
            <w:vAlign w:val="center"/>
          </w:tcPr>
          <w:p w14:paraId="48CB6513" w14:textId="77777777" w:rsidR="007D5C8F" w:rsidRPr="00AE0058" w:rsidRDefault="007D5C8F" w:rsidP="006805A7">
            <w:pPr>
              <w:jc w:val="right"/>
              <w:rPr>
                <w:b/>
                <w:bCs/>
                <w:color w:val="000000" w:themeColor="text1"/>
                <w:sz w:val="16"/>
                <w:szCs w:val="16"/>
                <w:rFonts w:eastAsia="Times New Roman"/>
              </w:rPr>
            </w:pPr>
            <w:r>
              <w:rPr>
                <w:b/>
                <w:bCs/>
                <w:color w:val="000000" w:themeColor="text1"/>
                <w:sz w:val="16"/>
                <w:szCs w:val="16"/>
              </w:rPr>
              <w:t xml:space="preserve">789</w:t>
            </w:r>
          </w:p>
        </w:tc>
        <w:tc>
          <w:tcPr>
            <w:tcW w:w="464" w:type="pct"/>
            <w:shd w:val="clear" w:color="auto" w:fill="D9D9D9" w:themeFill="background1" w:themeFillShade="D9"/>
            <w:vAlign w:val="center"/>
          </w:tcPr>
          <w:p w14:paraId="3DF16996" w14:textId="77777777" w:rsidR="007D5C8F" w:rsidRPr="00AE0058" w:rsidRDefault="007D5C8F" w:rsidP="006805A7">
            <w:pPr>
              <w:jc w:val="right"/>
              <w:rPr>
                <w:b/>
                <w:bCs/>
                <w:color w:val="000000" w:themeColor="text1"/>
                <w:sz w:val="16"/>
                <w:szCs w:val="16"/>
                <w:rFonts w:eastAsia="Times New Roman"/>
              </w:rPr>
            </w:pPr>
            <w:r>
              <w:rPr>
                <w:b/>
                <w:bCs/>
                <w:color w:val="000000" w:themeColor="text1"/>
                <w:sz w:val="16"/>
                <w:szCs w:val="16"/>
              </w:rPr>
              <w:t xml:space="preserve">138</w:t>
            </w:r>
          </w:p>
        </w:tc>
        <w:tc>
          <w:tcPr>
            <w:tcW w:w="476" w:type="pct"/>
            <w:gridSpan w:val="2"/>
            <w:shd w:val="clear" w:color="auto" w:fill="D9D9D9" w:themeFill="background1" w:themeFillShade="D9"/>
            <w:vAlign w:val="center"/>
          </w:tcPr>
          <w:p w14:paraId="716C779B" w14:textId="77777777" w:rsidR="007D5C8F" w:rsidRPr="00AE0058" w:rsidRDefault="007D5C8F" w:rsidP="006805A7">
            <w:pPr>
              <w:jc w:val="right"/>
              <w:rPr>
                <w:b/>
                <w:bCs/>
                <w:color w:val="000000" w:themeColor="text1"/>
                <w:sz w:val="16"/>
                <w:szCs w:val="16"/>
                <w:rFonts w:eastAsia="Times New Roman"/>
              </w:rPr>
            </w:pPr>
            <w:r>
              <w:rPr>
                <w:b/>
                <w:bCs/>
                <w:color w:val="000000" w:themeColor="text1"/>
                <w:sz w:val="16"/>
                <w:szCs w:val="16"/>
              </w:rPr>
              <w:t xml:space="preserve">20</w:t>
            </w:r>
          </w:p>
        </w:tc>
        <w:tc>
          <w:tcPr>
            <w:tcW w:w="536" w:type="pct"/>
            <w:tcBorders>
              <w:right w:val="single" w:sz="12" w:space="0" w:color="auto"/>
            </w:tcBorders>
            <w:shd w:val="clear" w:color="auto" w:fill="D9D9D9" w:themeFill="background1" w:themeFillShade="D9"/>
            <w:vAlign w:val="center"/>
          </w:tcPr>
          <w:p w14:paraId="69356686" w14:textId="77777777" w:rsidR="007D5C8F" w:rsidRPr="00AE0058" w:rsidRDefault="007D5C8F" w:rsidP="006805A7">
            <w:pPr>
              <w:jc w:val="right"/>
              <w:rPr>
                <w:b/>
                <w:bCs/>
                <w:color w:val="000000" w:themeColor="text1"/>
                <w:sz w:val="16"/>
                <w:szCs w:val="16"/>
                <w:rFonts w:eastAsia="Times New Roman"/>
              </w:rPr>
            </w:pPr>
            <w:r>
              <w:rPr>
                <w:b/>
                <w:bCs/>
                <w:color w:val="000000" w:themeColor="text1"/>
                <w:sz w:val="16"/>
                <w:szCs w:val="16"/>
              </w:rPr>
              <w:t xml:space="preserve">9</w:t>
            </w:r>
          </w:p>
        </w:tc>
        <w:tc>
          <w:tcPr>
            <w:tcW w:w="1103" w:type="pct"/>
            <w:tcBorders>
              <w:left w:val="single" w:sz="12" w:space="0" w:color="auto"/>
            </w:tcBorders>
            <w:shd w:val="clear" w:color="auto" w:fill="D9D9D9" w:themeFill="background1" w:themeFillShade="D9"/>
            <w:vAlign w:val="center"/>
          </w:tcPr>
          <w:p w14:paraId="40AB0E34" w14:textId="77777777" w:rsidR="007D5C8F" w:rsidRPr="00AE0058" w:rsidRDefault="007D5C8F" w:rsidP="006805A7">
            <w:pPr>
              <w:jc w:val="right"/>
              <w:rPr>
                <w:b/>
                <w:bCs/>
                <w:color w:val="000000" w:themeColor="text1"/>
                <w:sz w:val="16"/>
                <w:szCs w:val="16"/>
                <w:rFonts w:eastAsia="Times New Roman"/>
              </w:rPr>
            </w:pPr>
            <w:r>
              <w:rPr>
                <w:b/>
                <w:bCs/>
                <w:color w:val="000000" w:themeColor="text1"/>
                <w:sz w:val="16"/>
                <w:szCs w:val="16"/>
              </w:rPr>
              <w:t xml:space="preserve">+897</w:t>
            </w:r>
          </w:p>
        </w:tc>
      </w:tr>
    </w:tbl>
    <w:p w14:paraId="01A7A080" w14:textId="6E9CB6BB" w:rsidR="007D5C8F" w:rsidRPr="00AE0058" w:rsidRDefault="007D5C8F" w:rsidP="007D5C8F">
      <w:pPr>
        <w:spacing w:line="360" w:lineRule="auto"/>
        <w:rPr>
          <w:rFonts w:ascii="MetaNormalLF-Roman" w:eastAsia="Times New Roman" w:hAnsi="MetaNormalLF-Roman" w:cs="Times New Roman"/>
          <w:b/>
          <w:color w:val="000000" w:themeColor="text1"/>
          <w:highlight w:val="yellow"/>
          <w:lang w:eastAsia="de-DE"/>
        </w:rPr>
      </w:pPr>
    </w:p>
    <w:p w14:paraId="16C50221" w14:textId="5B02CD3C" w:rsidR="007D5C8F" w:rsidRPr="00AE0058" w:rsidRDefault="007D5C8F" w:rsidP="00C65795">
      <w:pPr>
        <w:keepNext/>
        <w:spacing w:after="0" w:line="360" w:lineRule="auto"/>
        <w:rPr>
          <w:b/>
          <w:color w:val="000000" w:themeColor="text1"/>
          <w:highlight w:val="yellow"/>
          <w:rFonts w:ascii="MetaNormalLF-Roman" w:eastAsia="Times New Roman" w:hAnsi="MetaNormalLF-Roman" w:cs="Times New Roman"/>
        </w:rPr>
      </w:pPr>
      <w:r>
        <w:rPr>
          <w:b/>
          <w:color w:val="000000" w:themeColor="text1"/>
          <w:sz w:val="20"/>
          <w:rFonts w:ascii="MetaNormalLF-Roman" w:hAnsi="MetaNormalLF-Roman"/>
        </w:rPr>
        <w:t xml:space="preserve">Tableau 7:</w:t>
      </w:r>
      <w:r>
        <w:rPr>
          <w:b/>
          <w:color w:val="000000" w:themeColor="text1"/>
          <w:sz w:val="20"/>
          <w:rFonts w:ascii="MetaNormalLF-Roman" w:hAnsi="MetaNormalLF-Roman"/>
        </w:rPr>
        <w:t xml:space="preserve"> </w:t>
      </w:r>
      <w:r>
        <w:rPr>
          <w:b/>
          <w:color w:val="000000" w:themeColor="text1"/>
          <w:sz w:val="20"/>
          <w:rFonts w:ascii="MetaNormalLF-Roman" w:hAnsi="MetaNormalLF-Roman"/>
        </w:rPr>
        <w:t xml:space="preserve">Charge administrative d'exécution - Charge d'exécution unique, offices statistiques des Länder</w:t>
      </w:r>
    </w:p>
    <w:tbl>
      <w:tblPr>
        <w:tblStyle w:val="TableGrid"/>
        <w:tblW w:w="4940" w:type="pct"/>
        <w:tblInd w:w="57" w:type="dxa"/>
        <w:tblLayout w:type="fixed"/>
        <w:tblCellMar>
          <w:left w:w="57" w:type="dxa"/>
          <w:right w:w="57" w:type="dxa"/>
        </w:tblCellMar>
        <w:tblLook w:val="04A0" w:firstRow="1" w:lastRow="0" w:firstColumn="1" w:lastColumn="0" w:noHBand="0" w:noVBand="1"/>
      </w:tblPr>
      <w:tblGrid>
        <w:gridCol w:w="509"/>
        <w:gridCol w:w="833"/>
        <w:gridCol w:w="2035"/>
        <w:gridCol w:w="1638"/>
        <w:gridCol w:w="1629"/>
        <w:gridCol w:w="2030"/>
      </w:tblGrid>
      <w:tr w:rsidR="007D5C8F" w:rsidRPr="00AE0058" w14:paraId="3C2B8E74" w14:textId="77777777" w:rsidTr="006C07FA">
        <w:tc>
          <w:tcPr>
            <w:tcW w:w="294" w:type="pct"/>
            <w:shd w:val="clear" w:color="auto" w:fill="D9D9D9" w:themeFill="background1" w:themeFillShade="D9"/>
            <w:vAlign w:val="center"/>
          </w:tcPr>
          <w:p w14:paraId="1EEF653D" w14:textId="77777777" w:rsidR="007D5C8F" w:rsidRPr="00AE0058" w:rsidRDefault="007D5C8F" w:rsidP="00C65795">
            <w:pPr>
              <w:keepNext/>
              <w:rPr>
                <w:b/>
                <w:color w:val="000000" w:themeColor="text1"/>
                <w:sz w:val="16"/>
                <w:szCs w:val="16"/>
              </w:rPr>
            </w:pPr>
          </w:p>
        </w:tc>
        <w:tc>
          <w:tcPr>
            <w:tcW w:w="480" w:type="pct"/>
            <w:shd w:val="clear" w:color="auto" w:fill="D9D9D9" w:themeFill="background1" w:themeFillShade="D9"/>
            <w:vAlign w:val="center"/>
          </w:tcPr>
          <w:p w14:paraId="610B8B72" w14:textId="77777777" w:rsidR="007D5C8F" w:rsidRPr="00AE0058" w:rsidRDefault="007D5C8F" w:rsidP="00C65795">
            <w:pPr>
              <w:keepNext/>
              <w:rPr>
                <w:b/>
                <w:color w:val="000000" w:themeColor="text1"/>
                <w:sz w:val="16"/>
                <w:szCs w:val="16"/>
              </w:rPr>
            </w:pPr>
          </w:p>
        </w:tc>
        <w:tc>
          <w:tcPr>
            <w:tcW w:w="1173" w:type="pct"/>
            <w:tcBorders>
              <w:right w:val="single" w:sz="4" w:space="0" w:color="auto"/>
            </w:tcBorders>
            <w:shd w:val="clear" w:color="auto" w:fill="D9D9D9" w:themeFill="background1" w:themeFillShade="D9"/>
            <w:vAlign w:val="center"/>
          </w:tcPr>
          <w:p w14:paraId="12F1720A" w14:textId="77777777" w:rsidR="007D5C8F" w:rsidRPr="00AE0058" w:rsidRDefault="007D5C8F" w:rsidP="00C65795">
            <w:pPr>
              <w:keepNext/>
              <w:rPr>
                <w:b/>
                <w:color w:val="000000" w:themeColor="text1"/>
                <w:sz w:val="16"/>
                <w:szCs w:val="16"/>
              </w:rPr>
            </w:pPr>
          </w:p>
        </w:tc>
        <w:tc>
          <w:tcPr>
            <w:tcW w:w="3053" w:type="pct"/>
            <w:gridSpan w:val="3"/>
            <w:tcBorders>
              <w:left w:val="single" w:sz="4" w:space="0" w:color="auto"/>
            </w:tcBorders>
            <w:shd w:val="clear" w:color="auto" w:fill="D9D9D9" w:themeFill="background1" w:themeFillShade="D9"/>
            <w:vAlign w:val="center"/>
          </w:tcPr>
          <w:p w14:paraId="53B0AEB7" w14:textId="77777777" w:rsidR="007D5C8F" w:rsidRPr="00AE0058" w:rsidRDefault="007D5C8F" w:rsidP="00C65795">
            <w:pPr>
              <w:keepNext/>
              <w:rPr>
                <w:b/>
                <w:color w:val="000000" w:themeColor="text1"/>
                <w:sz w:val="16"/>
                <w:szCs w:val="16"/>
              </w:rPr>
            </w:pPr>
            <w:r>
              <w:rPr>
                <w:b/>
                <w:color w:val="000000" w:themeColor="text1"/>
                <w:sz w:val="16"/>
                <w:szCs w:val="16"/>
              </w:rPr>
              <w:t xml:space="preserve">Charge d’exécution unique</w:t>
            </w:r>
          </w:p>
        </w:tc>
      </w:tr>
      <w:tr w:rsidR="007D5C8F" w:rsidRPr="00AE0058" w14:paraId="7B50FCE4" w14:textId="77777777" w:rsidTr="006C07FA">
        <w:tc>
          <w:tcPr>
            <w:tcW w:w="294" w:type="pct"/>
            <w:shd w:val="clear" w:color="auto" w:fill="D9D9D9" w:themeFill="background1" w:themeFillShade="D9"/>
            <w:vAlign w:val="center"/>
          </w:tcPr>
          <w:p w14:paraId="6E04C829" w14:textId="77777777" w:rsidR="007D5C8F" w:rsidRPr="00AE0058" w:rsidRDefault="007D5C8F" w:rsidP="00C65795">
            <w:pPr>
              <w:keepNext/>
              <w:rPr>
                <w:b/>
                <w:color w:val="000000" w:themeColor="text1"/>
                <w:sz w:val="16"/>
                <w:szCs w:val="16"/>
              </w:rPr>
            </w:pPr>
            <w:r>
              <w:rPr>
                <w:b/>
                <w:color w:val="000000" w:themeColor="text1"/>
                <w:sz w:val="16"/>
                <w:szCs w:val="16"/>
              </w:rPr>
              <w:t xml:space="preserve">Disposition</w:t>
            </w:r>
          </w:p>
        </w:tc>
        <w:tc>
          <w:tcPr>
            <w:tcW w:w="480" w:type="pct"/>
            <w:shd w:val="clear" w:color="auto" w:fill="D9D9D9" w:themeFill="background1" w:themeFillShade="D9"/>
            <w:vAlign w:val="center"/>
          </w:tcPr>
          <w:p w14:paraId="487FCCCC" w14:textId="3E4FF278" w:rsidR="007D5C8F" w:rsidRPr="00AE0058" w:rsidRDefault="007D5C8F" w:rsidP="00C65795">
            <w:pPr>
              <w:keepNext/>
              <w:rPr>
                <w:b/>
                <w:color w:val="000000" w:themeColor="text1"/>
                <w:sz w:val="16"/>
                <w:szCs w:val="16"/>
              </w:rPr>
            </w:pPr>
            <w:r>
              <w:rPr>
                <w:b/>
                <w:color w:val="000000" w:themeColor="text1"/>
                <w:sz w:val="16"/>
                <w:szCs w:val="16"/>
              </w:rPr>
              <w:t xml:space="preserve">Paragraphe</w:t>
            </w:r>
            <w:r>
              <w:rPr>
                <w:b/>
                <w:color w:val="000000" w:themeColor="text1"/>
                <w:sz w:val="16"/>
                <w:szCs w:val="16"/>
              </w:rPr>
              <w:t xml:space="preserve"> </w:t>
            </w:r>
          </w:p>
        </w:tc>
        <w:tc>
          <w:tcPr>
            <w:tcW w:w="1173" w:type="pct"/>
            <w:shd w:val="clear" w:color="auto" w:fill="D9D9D9" w:themeFill="background1" w:themeFillShade="D9"/>
            <w:vAlign w:val="center"/>
          </w:tcPr>
          <w:p w14:paraId="69E08A58" w14:textId="77777777" w:rsidR="007D5C8F" w:rsidRPr="00AE0058" w:rsidRDefault="007D5C8F" w:rsidP="00C65795">
            <w:pPr>
              <w:keepNext/>
              <w:rPr>
                <w:b/>
                <w:color w:val="000000" w:themeColor="text1"/>
                <w:sz w:val="16"/>
                <w:szCs w:val="16"/>
              </w:rPr>
            </w:pPr>
            <w:r>
              <w:rPr>
                <w:b/>
                <w:color w:val="000000" w:themeColor="text1"/>
                <w:sz w:val="16"/>
                <w:szCs w:val="16"/>
              </w:rPr>
              <w:t xml:space="preserve">Désignation de la disposition</w:t>
            </w:r>
          </w:p>
        </w:tc>
        <w:tc>
          <w:tcPr>
            <w:tcW w:w="944" w:type="pct"/>
            <w:shd w:val="clear" w:color="auto" w:fill="D9D9D9" w:themeFill="background1" w:themeFillShade="D9"/>
            <w:vAlign w:val="center"/>
          </w:tcPr>
          <w:p w14:paraId="662842CF" w14:textId="77777777" w:rsidR="007D5C8F" w:rsidRPr="00AE0058" w:rsidRDefault="007D5C8F" w:rsidP="00C65795">
            <w:pPr>
              <w:keepNext/>
              <w:rPr>
                <w:b/>
                <w:color w:val="000000" w:themeColor="text1"/>
                <w:sz w:val="16"/>
                <w:szCs w:val="16"/>
              </w:rPr>
            </w:pPr>
            <w:r>
              <w:rPr>
                <w:b/>
                <w:color w:val="000000" w:themeColor="text1"/>
                <w:sz w:val="16"/>
                <w:szCs w:val="16"/>
              </w:rPr>
              <w:t xml:space="preserve">Frais de personnel</w:t>
            </w:r>
          </w:p>
        </w:tc>
        <w:tc>
          <w:tcPr>
            <w:tcW w:w="939" w:type="pct"/>
            <w:shd w:val="clear" w:color="auto" w:fill="D9D9D9" w:themeFill="background1" w:themeFillShade="D9"/>
            <w:vAlign w:val="center"/>
          </w:tcPr>
          <w:p w14:paraId="3197EE2B" w14:textId="77777777" w:rsidR="007D5C8F" w:rsidRPr="00AE0058" w:rsidRDefault="007D5C8F" w:rsidP="00C65795">
            <w:pPr>
              <w:keepNext/>
              <w:rPr>
                <w:b/>
                <w:color w:val="000000" w:themeColor="text1"/>
                <w:sz w:val="16"/>
                <w:szCs w:val="16"/>
              </w:rPr>
            </w:pPr>
            <w:r>
              <w:rPr>
                <w:b/>
                <w:color w:val="000000" w:themeColor="text1"/>
                <w:sz w:val="16"/>
                <w:szCs w:val="16"/>
              </w:rPr>
              <w:t xml:space="preserve">Dépenses de matériel</w:t>
            </w:r>
          </w:p>
        </w:tc>
        <w:tc>
          <w:tcPr>
            <w:tcW w:w="1170" w:type="pct"/>
            <w:tcBorders>
              <w:left w:val="single" w:sz="12" w:space="0" w:color="auto"/>
            </w:tcBorders>
            <w:shd w:val="clear" w:color="auto" w:fill="D9D9D9" w:themeFill="background1" w:themeFillShade="D9"/>
            <w:vAlign w:val="center"/>
          </w:tcPr>
          <w:p w14:paraId="2C98C1D6" w14:textId="77777777" w:rsidR="007D5C8F" w:rsidRPr="00AE0058" w:rsidRDefault="007D5C8F" w:rsidP="00C65795">
            <w:pPr>
              <w:keepNext/>
              <w:rPr>
                <w:b/>
                <w:color w:val="000000" w:themeColor="text1"/>
                <w:sz w:val="16"/>
                <w:szCs w:val="16"/>
              </w:rPr>
            </w:pPr>
            <w:r>
              <w:rPr>
                <w:b/>
                <w:color w:val="000000" w:themeColor="text1"/>
                <w:sz w:val="16"/>
                <w:szCs w:val="16"/>
              </w:rPr>
              <w:t xml:space="preserve">Dépenses totales</w:t>
            </w:r>
          </w:p>
        </w:tc>
      </w:tr>
      <w:tr w:rsidR="007D5C8F" w:rsidRPr="00AE0058" w14:paraId="0A8297D7" w14:textId="77777777" w:rsidTr="006C07FA">
        <w:tc>
          <w:tcPr>
            <w:tcW w:w="294" w:type="pct"/>
            <w:shd w:val="clear" w:color="auto" w:fill="D9D9D9" w:themeFill="background1" w:themeFillShade="D9"/>
            <w:vAlign w:val="center"/>
          </w:tcPr>
          <w:p w14:paraId="6D02A1F9" w14:textId="77777777" w:rsidR="007D5C8F" w:rsidRPr="00AE0058" w:rsidRDefault="007D5C8F" w:rsidP="00C65795">
            <w:pPr>
              <w:keepNext/>
              <w:rPr>
                <w:b/>
                <w:color w:val="000000" w:themeColor="text1"/>
                <w:sz w:val="16"/>
                <w:szCs w:val="16"/>
              </w:rPr>
            </w:pPr>
          </w:p>
        </w:tc>
        <w:tc>
          <w:tcPr>
            <w:tcW w:w="480" w:type="pct"/>
            <w:shd w:val="clear" w:color="auto" w:fill="D9D9D9" w:themeFill="background1" w:themeFillShade="D9"/>
            <w:vAlign w:val="center"/>
          </w:tcPr>
          <w:p w14:paraId="190CC412" w14:textId="77777777" w:rsidR="007D5C8F" w:rsidRPr="00AE0058" w:rsidRDefault="007D5C8F" w:rsidP="00C65795">
            <w:pPr>
              <w:keepNext/>
              <w:rPr>
                <w:b/>
                <w:color w:val="000000" w:themeColor="text1"/>
                <w:sz w:val="16"/>
                <w:szCs w:val="16"/>
              </w:rPr>
            </w:pPr>
          </w:p>
        </w:tc>
        <w:tc>
          <w:tcPr>
            <w:tcW w:w="1173" w:type="pct"/>
            <w:shd w:val="clear" w:color="auto" w:fill="D9D9D9" w:themeFill="background1" w:themeFillShade="D9"/>
            <w:vAlign w:val="center"/>
          </w:tcPr>
          <w:p w14:paraId="19CAAEB3" w14:textId="77777777" w:rsidR="007D5C8F" w:rsidRPr="00AE0058" w:rsidRDefault="007D5C8F" w:rsidP="00C65795">
            <w:pPr>
              <w:keepNext/>
              <w:rPr>
                <w:b/>
                <w:color w:val="000000" w:themeColor="text1"/>
                <w:sz w:val="16"/>
                <w:szCs w:val="16"/>
              </w:rPr>
            </w:pPr>
          </w:p>
        </w:tc>
        <w:tc>
          <w:tcPr>
            <w:tcW w:w="3053" w:type="pct"/>
            <w:gridSpan w:val="3"/>
            <w:shd w:val="clear" w:color="auto" w:fill="D9D9D9" w:themeFill="background1" w:themeFillShade="D9"/>
            <w:vAlign w:val="center"/>
          </w:tcPr>
          <w:p w14:paraId="0F9CB96F" w14:textId="77777777" w:rsidR="007D5C8F" w:rsidRPr="00AE0058" w:rsidRDefault="007D5C8F" w:rsidP="00C65795">
            <w:pPr>
              <w:keepNext/>
              <w:jc w:val="center"/>
              <w:rPr>
                <w:b/>
                <w:color w:val="000000" w:themeColor="text1"/>
                <w:sz w:val="16"/>
                <w:szCs w:val="16"/>
              </w:rPr>
            </w:pPr>
            <w:r>
              <w:rPr>
                <w:b/>
                <w:color w:val="000000" w:themeColor="text1"/>
                <w:sz w:val="16"/>
                <w:szCs w:val="16"/>
              </w:rPr>
              <w:t xml:space="preserve">en milliers</w:t>
            </w:r>
            <w:r>
              <w:rPr>
                <w:b/>
                <w:color w:val="000000" w:themeColor="text1"/>
                <w:sz w:val="16"/>
                <w:szCs w:val="16"/>
              </w:rPr>
              <w:t xml:space="preserve"> </w:t>
            </w:r>
            <w:r>
              <w:rPr>
                <w:b/>
                <w:color w:val="000000" w:themeColor="text1"/>
                <w:sz w:val="16"/>
                <w:szCs w:val="16"/>
              </w:rPr>
              <w:t xml:space="preserve">d’euros</w:t>
            </w:r>
          </w:p>
        </w:tc>
      </w:tr>
      <w:tr w:rsidR="007D5C8F" w:rsidRPr="00AE0058" w14:paraId="463AFC3F" w14:textId="77777777" w:rsidTr="006C07FA">
        <w:tc>
          <w:tcPr>
            <w:tcW w:w="294" w:type="pct"/>
            <w:vAlign w:val="center"/>
          </w:tcPr>
          <w:p w14:paraId="4F07D5A4" w14:textId="77777777" w:rsidR="007D5C8F" w:rsidRPr="00AE0058" w:rsidRDefault="007D5C8F" w:rsidP="006805A7">
            <w:pPr>
              <w:rPr>
                <w:color w:val="000000" w:themeColor="text1"/>
                <w:sz w:val="16"/>
                <w:szCs w:val="16"/>
              </w:rPr>
            </w:pPr>
            <w:r>
              <w:rPr>
                <w:color w:val="000000" w:themeColor="text1"/>
                <w:sz w:val="16"/>
                <w:szCs w:val="16"/>
              </w:rPr>
              <w:t xml:space="preserve">13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A9BD9CE" w14:textId="77777777" w:rsidR="007D5C8F" w:rsidRPr="00AE0058" w:rsidRDefault="007D5C8F" w:rsidP="006805A7">
            <w:pPr>
              <w:rPr>
                <w:color w:val="000000" w:themeColor="text1"/>
                <w:sz w:val="16"/>
                <w:szCs w:val="16"/>
                <w:rFonts w:eastAsia="Times New Roman" w:cs="Times New Roman"/>
              </w:rPr>
            </w:pPr>
            <w:r>
              <w:rPr>
                <w:color w:val="000000" w:themeColor="text1"/>
                <w:sz w:val="16"/>
                <w:szCs w:val="16"/>
              </w:rPr>
              <w:t xml:space="preserve">Article 3 à article 16 UStatG</w:t>
            </w:r>
          </w:p>
        </w:tc>
        <w:tc>
          <w:tcPr>
            <w:tcW w:w="1173" w:type="pct"/>
            <w:vAlign w:val="center"/>
          </w:tcPr>
          <w:p w14:paraId="47FF9CE3" w14:textId="77777777" w:rsidR="007D5C8F" w:rsidRPr="00AE0058" w:rsidRDefault="007D5C8F" w:rsidP="006805A7">
            <w:pPr>
              <w:rPr>
                <w:color w:val="000000" w:themeColor="text1"/>
                <w:sz w:val="16"/>
                <w:szCs w:val="18"/>
                <w:rFonts w:ascii="MetaNormalLF-Roman" w:hAnsi="MetaNormalLF-Roman" w:cs="Calibri"/>
              </w:rPr>
            </w:pPr>
            <w:r>
              <w:rPr>
                <w:color w:val="000000" w:themeColor="text1"/>
                <w:sz w:val="16"/>
                <w:szCs w:val="16"/>
              </w:rPr>
              <w:t xml:space="preserve">Enquêtes des offices statistiques des Länder</w:t>
            </w:r>
          </w:p>
        </w:tc>
        <w:tc>
          <w:tcPr>
            <w:tcW w:w="944" w:type="pct"/>
            <w:tcBorders>
              <w:top w:val="single" w:sz="4" w:space="0" w:color="auto"/>
              <w:left w:val="nil"/>
              <w:bottom w:val="single" w:sz="4" w:space="0" w:color="auto"/>
              <w:right w:val="single" w:sz="4" w:space="0" w:color="auto"/>
            </w:tcBorders>
            <w:shd w:val="clear" w:color="auto" w:fill="auto"/>
            <w:vAlign w:val="center"/>
          </w:tcPr>
          <w:p w14:paraId="34327D6B" w14:textId="77777777" w:rsidR="007D5C8F" w:rsidRPr="00AE0058" w:rsidRDefault="007D5C8F" w:rsidP="006805A7">
            <w:pPr>
              <w:jc w:val="right"/>
              <w:rPr>
                <w:color w:val="000000" w:themeColor="text1"/>
                <w:sz w:val="16"/>
                <w:szCs w:val="16"/>
                <w:rFonts w:eastAsia="Times New Roman" w:cs="Times New Roman"/>
              </w:rPr>
            </w:pPr>
            <w:r>
              <w:rPr>
                <w:color w:val="000000" w:themeColor="text1"/>
                <w:sz w:val="16"/>
                <w:szCs w:val="16"/>
              </w:rPr>
              <w:t xml:space="preserve">1 619</w:t>
            </w:r>
          </w:p>
        </w:tc>
        <w:tc>
          <w:tcPr>
            <w:tcW w:w="939" w:type="pct"/>
            <w:tcBorders>
              <w:top w:val="single" w:sz="4" w:space="0" w:color="auto"/>
              <w:left w:val="single" w:sz="4" w:space="0" w:color="auto"/>
              <w:bottom w:val="single" w:sz="4" w:space="0" w:color="auto"/>
              <w:right w:val="single" w:sz="12" w:space="0" w:color="auto"/>
            </w:tcBorders>
            <w:shd w:val="clear" w:color="auto" w:fill="auto"/>
            <w:vAlign w:val="center"/>
          </w:tcPr>
          <w:p w14:paraId="10023A41" w14:textId="77777777" w:rsidR="007D5C8F" w:rsidRPr="00AE0058" w:rsidRDefault="007D5C8F" w:rsidP="006805A7">
            <w:pPr>
              <w:jc w:val="right"/>
              <w:rPr>
                <w:color w:val="000000" w:themeColor="text1"/>
                <w:sz w:val="16"/>
                <w:szCs w:val="16"/>
                <w:rFonts w:eastAsia="Times New Roman" w:cs="Times New Roman"/>
              </w:rPr>
            </w:pPr>
            <w:r>
              <w:rPr>
                <w:sz w:val="16"/>
                <w:szCs w:val="16"/>
                <w:rFonts w:ascii="MetaNormalLF-Roman" w:hAnsi="MetaNormalLF-Roman"/>
              </w:rPr>
              <w:t xml:space="preserve">266</w:t>
            </w:r>
          </w:p>
        </w:tc>
        <w:tc>
          <w:tcPr>
            <w:tcW w:w="1170" w:type="pct"/>
            <w:tcBorders>
              <w:top w:val="single" w:sz="4" w:space="0" w:color="auto"/>
              <w:left w:val="single" w:sz="12" w:space="0" w:color="auto"/>
              <w:bottom w:val="single" w:sz="4" w:space="0" w:color="auto"/>
              <w:right w:val="single" w:sz="4" w:space="0" w:color="auto"/>
            </w:tcBorders>
            <w:shd w:val="clear" w:color="auto" w:fill="auto"/>
            <w:vAlign w:val="center"/>
          </w:tcPr>
          <w:p w14:paraId="408194EC" w14:textId="77777777" w:rsidR="007D5C8F" w:rsidRPr="00AE0058" w:rsidRDefault="007D5C8F" w:rsidP="006805A7">
            <w:pPr>
              <w:jc w:val="right"/>
              <w:rPr>
                <w:color w:val="000000" w:themeColor="text1"/>
                <w:sz w:val="16"/>
                <w:szCs w:val="16"/>
                <w:rFonts w:eastAsia="Times New Roman" w:cs="Times New Roman"/>
              </w:rPr>
            </w:pPr>
            <w:r>
              <w:rPr>
                <w:sz w:val="16"/>
                <w:szCs w:val="16"/>
                <w:rFonts w:ascii="MetaNormalLF-Roman" w:hAnsi="MetaNormalLF-Roman"/>
              </w:rPr>
              <w:t xml:space="preserve">1 885</w:t>
            </w:r>
          </w:p>
        </w:tc>
      </w:tr>
      <w:tr w:rsidR="007D5C8F" w:rsidRPr="00AE0058" w14:paraId="0F3C0A20" w14:textId="77777777" w:rsidTr="006C07FA">
        <w:tc>
          <w:tcPr>
            <w:tcW w:w="1947" w:type="pct"/>
            <w:gridSpan w:val="3"/>
            <w:shd w:val="clear" w:color="auto" w:fill="D9D9D9" w:themeFill="background1" w:themeFillShade="D9"/>
            <w:vAlign w:val="center"/>
          </w:tcPr>
          <w:p w14:paraId="5FEBE6E9" w14:textId="77777777" w:rsidR="007D5C8F" w:rsidRPr="00AE0058" w:rsidRDefault="007D5C8F" w:rsidP="006805A7">
            <w:pPr>
              <w:rPr>
                <w:b/>
                <w:color w:val="000000" w:themeColor="text1"/>
                <w:sz w:val="16"/>
                <w:szCs w:val="16"/>
              </w:rPr>
            </w:pPr>
            <w:r>
              <w:rPr>
                <w:b/>
                <w:color w:val="000000" w:themeColor="text1"/>
                <w:sz w:val="16"/>
                <w:szCs w:val="16"/>
              </w:rPr>
              <w:t xml:space="preserve">Total (y compris dépenses informatiques cumulées)</w:t>
            </w:r>
          </w:p>
        </w:tc>
        <w:tc>
          <w:tcPr>
            <w:tcW w:w="944" w:type="pct"/>
            <w:shd w:val="clear" w:color="auto" w:fill="D9D9D9" w:themeFill="background1" w:themeFillShade="D9"/>
            <w:vAlign w:val="center"/>
          </w:tcPr>
          <w:p w14:paraId="7806534E" w14:textId="77777777" w:rsidR="007D5C8F" w:rsidRPr="00AE0058" w:rsidRDefault="007D5C8F" w:rsidP="006805A7">
            <w:pPr>
              <w:jc w:val="right"/>
              <w:rPr>
                <w:b/>
                <w:bCs/>
                <w:color w:val="000000" w:themeColor="text1"/>
                <w:sz w:val="16"/>
                <w:szCs w:val="16"/>
              </w:rPr>
            </w:pPr>
            <w:r>
              <w:rPr>
                <w:b/>
                <w:bCs/>
                <w:color w:val="000000" w:themeColor="text1"/>
                <w:sz w:val="16"/>
                <w:szCs w:val="16"/>
              </w:rPr>
              <w:t xml:space="preserve">1 619</w:t>
            </w:r>
          </w:p>
        </w:tc>
        <w:tc>
          <w:tcPr>
            <w:tcW w:w="939" w:type="pct"/>
            <w:shd w:val="clear" w:color="auto" w:fill="D9D9D9" w:themeFill="background1" w:themeFillShade="D9"/>
            <w:vAlign w:val="center"/>
          </w:tcPr>
          <w:p w14:paraId="25B6CF4C" w14:textId="77777777" w:rsidR="007D5C8F" w:rsidRPr="00AE0058" w:rsidRDefault="007D5C8F" w:rsidP="006805A7">
            <w:pPr>
              <w:jc w:val="right"/>
              <w:rPr>
                <w:b/>
                <w:bCs/>
                <w:color w:val="000000" w:themeColor="text1"/>
                <w:sz w:val="16"/>
                <w:szCs w:val="16"/>
              </w:rPr>
            </w:pPr>
            <w:r>
              <w:rPr>
                <w:b/>
                <w:bCs/>
                <w:color w:val="000000" w:themeColor="text1"/>
                <w:sz w:val="16"/>
                <w:szCs w:val="16"/>
              </w:rPr>
              <w:t xml:space="preserve">266</w:t>
            </w:r>
          </w:p>
        </w:tc>
        <w:tc>
          <w:tcPr>
            <w:tcW w:w="1170" w:type="pct"/>
            <w:tcBorders>
              <w:left w:val="single" w:sz="12" w:space="0" w:color="auto"/>
            </w:tcBorders>
            <w:shd w:val="clear" w:color="auto" w:fill="D9D9D9" w:themeFill="background1" w:themeFillShade="D9"/>
            <w:vAlign w:val="center"/>
          </w:tcPr>
          <w:p w14:paraId="713B691A" w14:textId="77777777" w:rsidR="007D5C8F" w:rsidRPr="00AE0058" w:rsidRDefault="007D5C8F" w:rsidP="006805A7">
            <w:pPr>
              <w:jc w:val="right"/>
              <w:rPr>
                <w:b/>
                <w:bCs/>
                <w:color w:val="000000" w:themeColor="text1"/>
                <w:sz w:val="16"/>
                <w:szCs w:val="16"/>
              </w:rPr>
            </w:pPr>
            <w:r>
              <w:rPr>
                <w:b/>
                <w:bCs/>
                <w:color w:val="000000" w:themeColor="text1"/>
                <w:sz w:val="16"/>
                <w:szCs w:val="16"/>
              </w:rPr>
              <w:t xml:space="preserve">1 885</w:t>
            </w:r>
          </w:p>
        </w:tc>
      </w:tr>
    </w:tbl>
    <w:p w14:paraId="1AF23D64" w14:textId="77777777" w:rsidR="007D5C8F" w:rsidRPr="00AE0058" w:rsidRDefault="007D5C8F" w:rsidP="00AD27DC">
      <w:pPr>
        <w:spacing w:line="360" w:lineRule="auto"/>
        <w:rPr>
          <w:color w:val="000000" w:themeColor="text1"/>
        </w:rPr>
      </w:pPr>
    </w:p>
    <w:p w14:paraId="7D568F0F" w14:textId="77777777" w:rsidR="00AD27DC" w:rsidRPr="00AE0058" w:rsidRDefault="00AD27DC" w:rsidP="00632288">
      <w:pPr>
        <w:pStyle w:val="ListParagraph"/>
        <w:keepNext/>
        <w:numPr>
          <w:ilvl w:val="0"/>
          <w:numId w:val="6"/>
        </w:numPr>
        <w:spacing w:after="120" w:line="360" w:lineRule="auto"/>
        <w:ind w:firstLine="0"/>
        <w:jc w:val="both"/>
        <w:rPr>
          <w:b/>
          <w:color w:val="000000" w:themeColor="text1"/>
          <w:rFonts w:ascii="MetaNormalLF-Roman" w:eastAsia="Times New Roman" w:hAnsi="MetaNormalLF-Roman" w:cs="Times New Roman"/>
        </w:rPr>
      </w:pPr>
      <w:r>
        <w:rPr>
          <w:b/>
          <w:color w:val="000000" w:themeColor="text1"/>
          <w:rFonts w:ascii="MetaNormalLF-Roman" w:hAnsi="MetaNormalLF-Roman"/>
        </w:rPr>
        <w:t xml:space="preserve">Autres administrations</w:t>
      </w:r>
    </w:p>
    <w:p w14:paraId="7CBB3293" w14:textId="6FA88F7E" w:rsidR="009F66BB" w:rsidRPr="00AE0058" w:rsidRDefault="009F66BB" w:rsidP="009F66BB">
      <w:pPr>
        <w:rPr>
          <w:color w:val="000000" w:themeColor="text1"/>
        </w:rPr>
      </w:pPr>
      <w:r>
        <w:rPr>
          <w:color w:val="000000" w:themeColor="text1"/>
        </w:rPr>
        <w:t xml:space="preserve">Comme l'amendement couvre trois domaines statistiques (statistiques sur les déchets, statistiques sur la gestion de l'eau et les substances ayant un impact sur le climat et statistiques économiques environnementales), ceux-ci sont divisés en groupes de cas.</w:t>
      </w:r>
      <w:r>
        <w:rPr>
          <w:color w:val="000000" w:themeColor="text1"/>
        </w:rPr>
        <w:t xml:space="preserve"> </w:t>
      </w:r>
      <w:r>
        <w:rPr>
          <w:color w:val="000000" w:themeColor="text1"/>
        </w:rPr>
        <w:t xml:space="preserve">Dans le tableau ci-dessous (tableau 10:</w:t>
      </w:r>
      <w:r>
        <w:rPr>
          <w:color w:val="000000" w:themeColor="text1"/>
        </w:rPr>
        <w:t xml:space="preserve"> </w:t>
      </w:r>
      <w:r>
        <w:rPr>
          <w:color w:val="000000" w:themeColor="text1"/>
        </w:rPr>
        <w:t xml:space="preserve">Modification de la charge d'exécution des autres administrations par groupes de cas), les changements dans les statistiques respectives sont d'abord résumés.</w:t>
      </w:r>
      <w:r>
        <w:rPr>
          <w:color w:val="000000" w:themeColor="text1"/>
        </w:rPr>
        <w:t xml:space="preserve"> </w:t>
      </w:r>
      <w:r>
        <w:rPr>
          <w:color w:val="000000" w:themeColor="text1"/>
        </w:rPr>
        <w:t xml:space="preserve">Les groupes de cas sont ensuite présentés et décrits individuellement.</w:t>
      </w:r>
      <w:r>
        <w:rPr>
          <w:color w:val="000000" w:themeColor="text1"/>
        </w:rPr>
        <w:t xml:space="preserve"> </w:t>
      </w:r>
      <w:r>
        <w:rPr>
          <w:color w:val="000000" w:themeColor="text1"/>
        </w:rPr>
        <w:t xml:space="preserve">La charge d'exécution des autres administrations change en moyenne au total de 51 000 euros.</w:t>
      </w:r>
      <w:r>
        <w:rPr>
          <w:color w:val="000000" w:themeColor="text1"/>
        </w:rPr>
        <w:t xml:space="preserve"> </w:t>
      </w:r>
      <w:r>
        <w:rPr>
          <w:color w:val="000000" w:themeColor="text1"/>
        </w:rPr>
        <w:t xml:space="preserve">Sur ce montant, environ 50 000 euros sont engagés au niveau des Länder et environ 70 euros au niveau fédéral.</w:t>
      </w:r>
    </w:p>
    <w:p w14:paraId="3490229F" w14:textId="659D1A6A" w:rsidR="00FB2F0D" w:rsidRPr="00AE0058" w:rsidRDefault="00FB2F0D" w:rsidP="00C65795">
      <w:pPr>
        <w:pStyle w:val="Caption"/>
        <w:keepNext/>
        <w:rPr>
          <w:b/>
          <w:color w:val="000000" w:themeColor="text1"/>
        </w:rPr>
      </w:pPr>
      <w:r>
        <w:rPr>
          <w:b/>
          <w:color w:val="000000" w:themeColor="text1"/>
        </w:rPr>
        <w:t xml:space="preserve">Tableau 8 - Modification de la charge d'exécution des autres administrations par groupes de cas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670"/>
        <w:gridCol w:w="1874"/>
        <w:gridCol w:w="952"/>
        <w:gridCol w:w="938"/>
        <w:gridCol w:w="1075"/>
        <w:gridCol w:w="994"/>
        <w:gridCol w:w="1085"/>
        <w:gridCol w:w="1082"/>
      </w:tblGrid>
      <w:tr w:rsidR="009F66BB" w:rsidRPr="00AE0058" w14:paraId="74612773" w14:textId="77777777" w:rsidTr="006C07FA">
        <w:tc>
          <w:tcPr>
            <w:tcW w:w="386" w:type="pct"/>
            <w:shd w:val="clear" w:color="auto" w:fill="D9D9D9" w:themeFill="background1" w:themeFillShade="D9"/>
            <w:vAlign w:val="center"/>
          </w:tcPr>
          <w:p w14:paraId="188CF2EC" w14:textId="77777777" w:rsidR="009F66BB" w:rsidRPr="00AE0058" w:rsidRDefault="009F66BB" w:rsidP="00C65795">
            <w:pPr>
              <w:keepNext/>
              <w:spacing w:line="360" w:lineRule="auto"/>
              <w:rPr>
                <w:b/>
                <w:color w:val="000000" w:themeColor="text1"/>
                <w:sz w:val="16"/>
                <w:szCs w:val="16"/>
              </w:rPr>
            </w:pPr>
          </w:p>
        </w:tc>
        <w:tc>
          <w:tcPr>
            <w:tcW w:w="1081" w:type="pct"/>
            <w:shd w:val="clear" w:color="auto" w:fill="D9D9D9" w:themeFill="background1" w:themeFillShade="D9"/>
            <w:vAlign w:val="center"/>
          </w:tcPr>
          <w:p w14:paraId="7250144F" w14:textId="77777777" w:rsidR="009F66BB" w:rsidRPr="00AE0058" w:rsidRDefault="009F66BB" w:rsidP="00C65795">
            <w:pPr>
              <w:keepNext/>
              <w:spacing w:line="360" w:lineRule="auto"/>
              <w:rPr>
                <w:b/>
                <w:color w:val="000000" w:themeColor="text1"/>
                <w:sz w:val="16"/>
                <w:szCs w:val="16"/>
              </w:rPr>
            </w:pPr>
          </w:p>
        </w:tc>
        <w:tc>
          <w:tcPr>
            <w:tcW w:w="1710" w:type="pct"/>
            <w:gridSpan w:val="3"/>
            <w:tcBorders>
              <w:right w:val="single" w:sz="12" w:space="0" w:color="auto"/>
            </w:tcBorders>
            <w:shd w:val="clear" w:color="auto" w:fill="D9D9D9" w:themeFill="background1" w:themeFillShade="D9"/>
            <w:vAlign w:val="center"/>
          </w:tcPr>
          <w:p w14:paraId="05280CF8"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Charge d'exécution annuelle</w:t>
            </w:r>
          </w:p>
        </w:tc>
        <w:tc>
          <w:tcPr>
            <w:tcW w:w="1823" w:type="pct"/>
            <w:gridSpan w:val="3"/>
            <w:tcBorders>
              <w:left w:val="single" w:sz="12" w:space="0" w:color="auto"/>
            </w:tcBorders>
            <w:shd w:val="clear" w:color="auto" w:fill="D9D9D9" w:themeFill="background1" w:themeFillShade="D9"/>
            <w:vAlign w:val="center"/>
          </w:tcPr>
          <w:p w14:paraId="6C8639B8"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Charge d’exécution unique</w:t>
            </w:r>
          </w:p>
        </w:tc>
      </w:tr>
      <w:tr w:rsidR="009F66BB" w:rsidRPr="00AE0058" w14:paraId="752093E4" w14:textId="77777777" w:rsidTr="006C07FA">
        <w:tc>
          <w:tcPr>
            <w:tcW w:w="386" w:type="pct"/>
            <w:shd w:val="clear" w:color="auto" w:fill="D9D9D9" w:themeFill="background1" w:themeFillShade="D9"/>
            <w:vAlign w:val="center"/>
          </w:tcPr>
          <w:p w14:paraId="4E335E4A"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Groupe de cas</w:t>
            </w:r>
          </w:p>
        </w:tc>
        <w:tc>
          <w:tcPr>
            <w:tcW w:w="1081" w:type="pct"/>
            <w:shd w:val="clear" w:color="auto" w:fill="D9D9D9" w:themeFill="background1" w:themeFillShade="D9"/>
            <w:vAlign w:val="center"/>
          </w:tcPr>
          <w:p w14:paraId="23B50BEF"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Désignation</w:t>
            </w:r>
            <w:r>
              <w:rPr>
                <w:b/>
                <w:color w:val="000000" w:themeColor="text1"/>
                <w:sz w:val="16"/>
                <w:szCs w:val="16"/>
              </w:rPr>
              <w:t xml:space="preserve"> </w:t>
            </w:r>
          </w:p>
        </w:tc>
        <w:tc>
          <w:tcPr>
            <w:tcW w:w="549" w:type="pct"/>
            <w:shd w:val="clear" w:color="auto" w:fill="D9D9D9" w:themeFill="background1" w:themeFillShade="D9"/>
            <w:vAlign w:val="center"/>
          </w:tcPr>
          <w:p w14:paraId="73979B80"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Frais de personnel</w:t>
            </w:r>
          </w:p>
        </w:tc>
        <w:tc>
          <w:tcPr>
            <w:tcW w:w="541" w:type="pct"/>
            <w:shd w:val="clear" w:color="auto" w:fill="D9D9D9" w:themeFill="background1" w:themeFillShade="D9"/>
            <w:vAlign w:val="center"/>
          </w:tcPr>
          <w:p w14:paraId="1A3568E0"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Dépenses de matériel</w:t>
            </w:r>
          </w:p>
        </w:tc>
        <w:tc>
          <w:tcPr>
            <w:tcW w:w="620" w:type="pct"/>
            <w:tcBorders>
              <w:left w:val="single" w:sz="12" w:space="0" w:color="auto"/>
            </w:tcBorders>
            <w:shd w:val="clear" w:color="auto" w:fill="D9D9D9" w:themeFill="background1" w:themeFillShade="D9"/>
            <w:vAlign w:val="center"/>
          </w:tcPr>
          <w:p w14:paraId="0E051818"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Dépenses totales</w:t>
            </w:r>
          </w:p>
        </w:tc>
        <w:tc>
          <w:tcPr>
            <w:tcW w:w="573" w:type="pct"/>
            <w:tcBorders>
              <w:left w:val="single" w:sz="12" w:space="0" w:color="auto"/>
              <w:right w:val="single" w:sz="4" w:space="0" w:color="auto"/>
            </w:tcBorders>
            <w:shd w:val="clear" w:color="auto" w:fill="D9D9D9" w:themeFill="background1" w:themeFillShade="D9"/>
            <w:vAlign w:val="center"/>
          </w:tcPr>
          <w:p w14:paraId="747A0577"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Frais de personnel</w:t>
            </w:r>
          </w:p>
        </w:tc>
        <w:tc>
          <w:tcPr>
            <w:tcW w:w="626" w:type="pct"/>
            <w:tcBorders>
              <w:left w:val="single" w:sz="4" w:space="0" w:color="auto"/>
              <w:right w:val="single" w:sz="12" w:space="0" w:color="auto"/>
            </w:tcBorders>
            <w:shd w:val="clear" w:color="auto" w:fill="D9D9D9" w:themeFill="background1" w:themeFillShade="D9"/>
            <w:vAlign w:val="center"/>
          </w:tcPr>
          <w:p w14:paraId="0830A1A4"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Dépenses de matériel</w:t>
            </w:r>
          </w:p>
        </w:tc>
        <w:tc>
          <w:tcPr>
            <w:tcW w:w="624" w:type="pct"/>
            <w:tcBorders>
              <w:left w:val="single" w:sz="12" w:space="0" w:color="auto"/>
            </w:tcBorders>
            <w:shd w:val="clear" w:color="auto" w:fill="D9D9D9" w:themeFill="background1" w:themeFillShade="D9"/>
            <w:vAlign w:val="center"/>
          </w:tcPr>
          <w:p w14:paraId="4CB5CA59" w14:textId="77777777"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Dépenses totales</w:t>
            </w:r>
          </w:p>
        </w:tc>
      </w:tr>
      <w:tr w:rsidR="009F66BB" w:rsidRPr="00AE0058" w14:paraId="5CF7FBDE" w14:textId="77777777" w:rsidTr="006C07FA">
        <w:tc>
          <w:tcPr>
            <w:tcW w:w="386" w:type="pct"/>
            <w:shd w:val="clear" w:color="auto" w:fill="D9D9D9" w:themeFill="background1" w:themeFillShade="D9"/>
            <w:vAlign w:val="center"/>
          </w:tcPr>
          <w:p w14:paraId="7DD690AE" w14:textId="77777777" w:rsidR="009F66BB" w:rsidRPr="00AE0058" w:rsidRDefault="009F66BB" w:rsidP="00C65795">
            <w:pPr>
              <w:keepNext/>
              <w:spacing w:line="360" w:lineRule="auto"/>
              <w:rPr>
                <w:b/>
                <w:color w:val="000000" w:themeColor="text1"/>
                <w:sz w:val="16"/>
                <w:szCs w:val="16"/>
              </w:rPr>
            </w:pPr>
          </w:p>
        </w:tc>
        <w:tc>
          <w:tcPr>
            <w:tcW w:w="1081" w:type="pct"/>
            <w:shd w:val="clear" w:color="auto" w:fill="D9D9D9" w:themeFill="background1" w:themeFillShade="D9"/>
            <w:vAlign w:val="center"/>
          </w:tcPr>
          <w:p w14:paraId="2B7950FC" w14:textId="77777777" w:rsidR="009F66BB" w:rsidRPr="00AE0058" w:rsidRDefault="009F66BB" w:rsidP="00C65795">
            <w:pPr>
              <w:keepNext/>
              <w:spacing w:line="360" w:lineRule="auto"/>
              <w:rPr>
                <w:b/>
                <w:color w:val="000000" w:themeColor="text1"/>
                <w:sz w:val="16"/>
                <w:szCs w:val="16"/>
              </w:rPr>
            </w:pPr>
          </w:p>
        </w:tc>
        <w:tc>
          <w:tcPr>
            <w:tcW w:w="3533" w:type="pct"/>
            <w:gridSpan w:val="6"/>
            <w:shd w:val="clear" w:color="auto" w:fill="D9D9D9" w:themeFill="background1" w:themeFillShade="D9"/>
            <w:vAlign w:val="center"/>
          </w:tcPr>
          <w:p w14:paraId="68248B11" w14:textId="77777777" w:rsidR="009F66BB" w:rsidRPr="00AE0058" w:rsidRDefault="009F66BB" w:rsidP="00C65795">
            <w:pPr>
              <w:keepNext/>
              <w:spacing w:line="360" w:lineRule="auto"/>
              <w:jc w:val="center"/>
              <w:rPr>
                <w:b/>
                <w:color w:val="000000" w:themeColor="text1"/>
                <w:sz w:val="16"/>
                <w:szCs w:val="16"/>
              </w:rPr>
            </w:pPr>
            <w:r>
              <w:rPr>
                <w:b/>
                <w:color w:val="000000" w:themeColor="text1"/>
                <w:sz w:val="16"/>
                <w:szCs w:val="16"/>
              </w:rPr>
              <w:t xml:space="preserve">en milliers</w:t>
            </w:r>
            <w:r>
              <w:rPr>
                <w:b/>
                <w:color w:val="000000" w:themeColor="text1"/>
                <w:sz w:val="16"/>
                <w:szCs w:val="16"/>
              </w:rPr>
              <w:t xml:space="preserve"> </w:t>
            </w:r>
            <w:r>
              <w:rPr>
                <w:b/>
                <w:color w:val="000000" w:themeColor="text1"/>
                <w:sz w:val="16"/>
                <w:szCs w:val="16"/>
              </w:rPr>
              <w:t xml:space="preserve">d’euros</w:t>
            </w:r>
          </w:p>
        </w:tc>
      </w:tr>
      <w:tr w:rsidR="009F66BB" w:rsidRPr="00AE0058" w14:paraId="7A31047F" w14:textId="77777777" w:rsidTr="006C07FA">
        <w:tc>
          <w:tcPr>
            <w:tcW w:w="386" w:type="pct"/>
            <w:vAlign w:val="center"/>
          </w:tcPr>
          <w:p w14:paraId="308654AF" w14:textId="77777777" w:rsidR="009F66BB" w:rsidRPr="00AE0058" w:rsidRDefault="009F66BB" w:rsidP="00FB2F0D">
            <w:pPr>
              <w:rPr>
                <w:color w:val="000000" w:themeColor="text1"/>
                <w:sz w:val="16"/>
                <w:szCs w:val="16"/>
              </w:rPr>
            </w:pPr>
            <w:r>
              <w:rPr>
                <w:color w:val="000000" w:themeColor="text1"/>
                <w:sz w:val="16"/>
                <w:szCs w:val="16"/>
              </w:rPr>
              <w:t xml:space="preserve">A</w:t>
            </w:r>
          </w:p>
        </w:tc>
        <w:tc>
          <w:tcPr>
            <w:tcW w:w="1081" w:type="pct"/>
            <w:vAlign w:val="center"/>
          </w:tcPr>
          <w:p w14:paraId="2C6B79AB" w14:textId="77777777" w:rsidR="009F66BB" w:rsidRPr="00AE0058" w:rsidRDefault="009F66BB" w:rsidP="00FB2F0D">
            <w:pPr>
              <w:rPr>
                <w:color w:val="000000" w:themeColor="text1"/>
                <w:sz w:val="16"/>
                <w:szCs w:val="16"/>
              </w:rPr>
            </w:pPr>
            <w:r>
              <w:rPr>
                <w:color w:val="000000" w:themeColor="text1"/>
                <w:sz w:val="16"/>
                <w:szCs w:val="16"/>
              </w:rPr>
              <w:t xml:space="preserve">Statistiques sur les déchets</w:t>
            </w:r>
          </w:p>
        </w:tc>
        <w:tc>
          <w:tcPr>
            <w:tcW w:w="549" w:type="pct"/>
            <w:vAlign w:val="center"/>
          </w:tcPr>
          <w:p w14:paraId="32276286" w14:textId="3AD9A6AE" w:rsidR="009F66BB" w:rsidRPr="00AE0058" w:rsidRDefault="008E5208" w:rsidP="00BF23C2">
            <w:pPr>
              <w:jc w:val="right"/>
              <w:rPr>
                <w:color w:val="000000" w:themeColor="text1"/>
                <w:sz w:val="16"/>
                <w:szCs w:val="16"/>
              </w:rPr>
            </w:pPr>
            <w:r>
              <w:rPr>
                <w:color w:val="000000" w:themeColor="text1"/>
                <w:sz w:val="16"/>
                <w:szCs w:val="16"/>
              </w:rPr>
              <w:t xml:space="preserve">+9</w:t>
            </w:r>
          </w:p>
        </w:tc>
        <w:tc>
          <w:tcPr>
            <w:tcW w:w="541" w:type="pct"/>
            <w:vAlign w:val="center"/>
          </w:tcPr>
          <w:p w14:paraId="2BFB7A82"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620" w:type="pct"/>
            <w:tcBorders>
              <w:left w:val="single" w:sz="12" w:space="0" w:color="auto"/>
            </w:tcBorders>
            <w:vAlign w:val="center"/>
          </w:tcPr>
          <w:p w14:paraId="6997A02C" w14:textId="4BFC5546" w:rsidR="009F66BB" w:rsidRPr="00AE0058" w:rsidRDefault="008E5208" w:rsidP="00BF23C2">
            <w:pPr>
              <w:jc w:val="right"/>
              <w:rPr>
                <w:color w:val="000000" w:themeColor="text1"/>
                <w:sz w:val="16"/>
                <w:szCs w:val="16"/>
              </w:rPr>
            </w:pPr>
            <w:r>
              <w:rPr>
                <w:color w:val="000000" w:themeColor="text1"/>
                <w:sz w:val="16"/>
                <w:szCs w:val="16"/>
              </w:rPr>
              <w:t xml:space="preserve">+9</w:t>
            </w:r>
          </w:p>
        </w:tc>
        <w:tc>
          <w:tcPr>
            <w:tcW w:w="573" w:type="pct"/>
            <w:tcBorders>
              <w:left w:val="single" w:sz="12" w:space="0" w:color="auto"/>
              <w:right w:val="single" w:sz="4" w:space="0" w:color="auto"/>
            </w:tcBorders>
            <w:vAlign w:val="center"/>
          </w:tcPr>
          <w:p w14:paraId="78E894BE"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626" w:type="pct"/>
            <w:tcBorders>
              <w:left w:val="single" w:sz="4" w:space="0" w:color="auto"/>
            </w:tcBorders>
            <w:vAlign w:val="center"/>
          </w:tcPr>
          <w:p w14:paraId="0D9F3849"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624" w:type="pct"/>
            <w:tcBorders>
              <w:left w:val="single" w:sz="12" w:space="0" w:color="auto"/>
            </w:tcBorders>
            <w:vAlign w:val="center"/>
          </w:tcPr>
          <w:p w14:paraId="303EF45B"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r>
      <w:tr w:rsidR="009F66BB" w:rsidRPr="00AE0058" w14:paraId="04ADE9CD" w14:textId="77777777" w:rsidTr="006C07FA">
        <w:tc>
          <w:tcPr>
            <w:tcW w:w="386" w:type="pct"/>
            <w:vAlign w:val="center"/>
          </w:tcPr>
          <w:p w14:paraId="45867A3E" w14:textId="77777777" w:rsidR="009F66BB" w:rsidRPr="00AE0058" w:rsidRDefault="009F66BB" w:rsidP="00FB2F0D">
            <w:pPr>
              <w:rPr>
                <w:color w:val="000000" w:themeColor="text1"/>
                <w:sz w:val="16"/>
                <w:szCs w:val="16"/>
              </w:rPr>
            </w:pPr>
            <w:r>
              <w:rPr>
                <w:color w:val="000000" w:themeColor="text1"/>
                <w:sz w:val="16"/>
                <w:szCs w:val="16"/>
              </w:rPr>
              <w:t xml:space="preserve">B</w:t>
            </w:r>
          </w:p>
        </w:tc>
        <w:tc>
          <w:tcPr>
            <w:tcW w:w="1081" w:type="pct"/>
            <w:vAlign w:val="center"/>
          </w:tcPr>
          <w:p w14:paraId="530C6AF9" w14:textId="77777777" w:rsidR="009F66BB" w:rsidRPr="00AE0058" w:rsidRDefault="009F66BB" w:rsidP="00FB2F0D">
            <w:pPr>
              <w:rPr>
                <w:color w:val="000000" w:themeColor="text1"/>
                <w:sz w:val="16"/>
                <w:szCs w:val="16"/>
              </w:rPr>
            </w:pPr>
            <w:r>
              <w:rPr>
                <w:color w:val="000000" w:themeColor="text1"/>
                <w:sz w:val="16"/>
                <w:szCs w:val="16"/>
              </w:rPr>
              <w:t xml:space="preserve">Statistiques sur l'eau</w:t>
            </w:r>
          </w:p>
        </w:tc>
        <w:tc>
          <w:tcPr>
            <w:tcW w:w="549" w:type="pct"/>
            <w:vAlign w:val="center"/>
          </w:tcPr>
          <w:p w14:paraId="1E70B31E" w14:textId="77777777" w:rsidR="009F66BB" w:rsidRPr="00AE0058" w:rsidRDefault="009F66BB" w:rsidP="00FB2F0D">
            <w:pPr>
              <w:jc w:val="right"/>
              <w:rPr>
                <w:color w:val="000000" w:themeColor="text1"/>
                <w:sz w:val="16"/>
                <w:szCs w:val="16"/>
              </w:rPr>
            </w:pPr>
            <w:r>
              <w:rPr>
                <w:color w:val="000000" w:themeColor="text1"/>
                <w:sz w:val="16"/>
                <w:szCs w:val="16"/>
              </w:rPr>
              <w:t xml:space="preserve">+41</w:t>
            </w:r>
          </w:p>
        </w:tc>
        <w:tc>
          <w:tcPr>
            <w:tcW w:w="541" w:type="pct"/>
            <w:vAlign w:val="center"/>
          </w:tcPr>
          <w:p w14:paraId="64944583"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620" w:type="pct"/>
            <w:tcBorders>
              <w:left w:val="single" w:sz="12" w:space="0" w:color="auto"/>
            </w:tcBorders>
            <w:vAlign w:val="center"/>
          </w:tcPr>
          <w:p w14:paraId="273B9499" w14:textId="77777777" w:rsidR="009F66BB" w:rsidRPr="00AE0058" w:rsidRDefault="009F66BB" w:rsidP="00FB2F0D">
            <w:pPr>
              <w:jc w:val="right"/>
              <w:rPr>
                <w:color w:val="000000" w:themeColor="text1"/>
                <w:sz w:val="16"/>
                <w:szCs w:val="16"/>
              </w:rPr>
            </w:pPr>
            <w:r>
              <w:rPr>
                <w:color w:val="000000" w:themeColor="text1"/>
                <w:sz w:val="16"/>
                <w:szCs w:val="16"/>
              </w:rPr>
              <w:t xml:space="preserve">+41</w:t>
            </w:r>
          </w:p>
        </w:tc>
        <w:tc>
          <w:tcPr>
            <w:tcW w:w="573" w:type="pct"/>
            <w:tcBorders>
              <w:left w:val="single" w:sz="12" w:space="0" w:color="auto"/>
              <w:right w:val="single" w:sz="4" w:space="0" w:color="auto"/>
            </w:tcBorders>
            <w:vAlign w:val="center"/>
          </w:tcPr>
          <w:p w14:paraId="33C07B8A"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626" w:type="pct"/>
            <w:tcBorders>
              <w:left w:val="single" w:sz="4" w:space="0" w:color="auto"/>
            </w:tcBorders>
            <w:vAlign w:val="center"/>
          </w:tcPr>
          <w:p w14:paraId="7A501B52"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624" w:type="pct"/>
            <w:tcBorders>
              <w:left w:val="single" w:sz="12" w:space="0" w:color="auto"/>
            </w:tcBorders>
            <w:vAlign w:val="center"/>
          </w:tcPr>
          <w:p w14:paraId="6E350FD9"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r>
      <w:tr w:rsidR="009F66BB" w:rsidRPr="00AE0058" w14:paraId="6DB6CC69" w14:textId="77777777" w:rsidTr="006C07FA">
        <w:tc>
          <w:tcPr>
            <w:tcW w:w="386" w:type="pct"/>
            <w:vAlign w:val="center"/>
          </w:tcPr>
          <w:p w14:paraId="1EEF1B97" w14:textId="77777777" w:rsidR="009F66BB" w:rsidRPr="00AE0058" w:rsidRDefault="009F66BB" w:rsidP="00FB2F0D">
            <w:pPr>
              <w:rPr>
                <w:color w:val="000000" w:themeColor="text1"/>
                <w:sz w:val="16"/>
                <w:szCs w:val="16"/>
              </w:rPr>
            </w:pPr>
            <w:r>
              <w:rPr>
                <w:color w:val="000000" w:themeColor="text1"/>
                <w:sz w:val="16"/>
                <w:szCs w:val="16"/>
              </w:rPr>
              <w:t xml:space="preserve">C</w:t>
            </w:r>
          </w:p>
        </w:tc>
        <w:tc>
          <w:tcPr>
            <w:tcW w:w="1081" w:type="pct"/>
            <w:vAlign w:val="center"/>
          </w:tcPr>
          <w:p w14:paraId="56023995" w14:textId="77777777" w:rsidR="009F66BB" w:rsidRPr="00AE0058" w:rsidRDefault="009F66BB" w:rsidP="00FB2F0D">
            <w:pPr>
              <w:rPr>
                <w:color w:val="000000" w:themeColor="text1"/>
                <w:sz w:val="16"/>
                <w:szCs w:val="16"/>
              </w:rPr>
            </w:pPr>
            <w:r>
              <w:rPr>
                <w:color w:val="000000" w:themeColor="text1"/>
                <w:sz w:val="16"/>
                <w:szCs w:val="16"/>
              </w:rPr>
              <w:t xml:space="preserve">Statistiques économiques et environnementales</w:t>
            </w:r>
          </w:p>
        </w:tc>
        <w:tc>
          <w:tcPr>
            <w:tcW w:w="549" w:type="pct"/>
            <w:vAlign w:val="center"/>
          </w:tcPr>
          <w:p w14:paraId="2E67FF24"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541" w:type="pct"/>
            <w:vAlign w:val="center"/>
          </w:tcPr>
          <w:p w14:paraId="66B3E523"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620" w:type="pct"/>
            <w:tcBorders>
              <w:left w:val="single" w:sz="12" w:space="0" w:color="auto"/>
            </w:tcBorders>
            <w:vAlign w:val="center"/>
          </w:tcPr>
          <w:p w14:paraId="1E6A607C"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573" w:type="pct"/>
            <w:tcBorders>
              <w:left w:val="single" w:sz="12" w:space="0" w:color="auto"/>
              <w:right w:val="single" w:sz="4" w:space="0" w:color="auto"/>
            </w:tcBorders>
            <w:vAlign w:val="center"/>
          </w:tcPr>
          <w:p w14:paraId="720436AE"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626" w:type="pct"/>
            <w:tcBorders>
              <w:left w:val="single" w:sz="4" w:space="0" w:color="auto"/>
            </w:tcBorders>
            <w:vAlign w:val="center"/>
          </w:tcPr>
          <w:p w14:paraId="26B2B5E9"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624" w:type="pct"/>
            <w:tcBorders>
              <w:left w:val="single" w:sz="12" w:space="0" w:color="auto"/>
            </w:tcBorders>
            <w:vAlign w:val="center"/>
          </w:tcPr>
          <w:p w14:paraId="30F9797F"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r>
      <w:tr w:rsidR="009F66BB" w:rsidRPr="00AE0058" w14:paraId="3EE0C514" w14:textId="77777777" w:rsidTr="006C07FA">
        <w:tc>
          <w:tcPr>
            <w:tcW w:w="1467" w:type="pct"/>
            <w:gridSpan w:val="2"/>
            <w:shd w:val="clear" w:color="auto" w:fill="F2F2F2" w:themeFill="background1" w:themeFillShade="F2"/>
            <w:vAlign w:val="center"/>
          </w:tcPr>
          <w:p w14:paraId="18CCB8BB" w14:textId="77777777" w:rsidR="009F66BB" w:rsidRPr="00AE0058" w:rsidRDefault="009F66BB" w:rsidP="00FB2F0D">
            <w:pPr>
              <w:spacing w:line="360" w:lineRule="auto"/>
              <w:rPr>
                <w:color w:val="000000" w:themeColor="text1"/>
                <w:sz w:val="16"/>
                <w:szCs w:val="16"/>
              </w:rPr>
            </w:pPr>
            <w:r>
              <w:rPr>
                <w:color w:val="000000" w:themeColor="text1"/>
                <w:sz w:val="16"/>
                <w:szCs w:val="16"/>
              </w:rPr>
              <w:t xml:space="preserve">Total dû à la transposition du droit communautaire</w:t>
            </w:r>
          </w:p>
        </w:tc>
        <w:tc>
          <w:tcPr>
            <w:tcW w:w="549" w:type="pct"/>
            <w:shd w:val="clear" w:color="auto" w:fill="F2F2F2" w:themeFill="background1" w:themeFillShade="F2"/>
            <w:vAlign w:val="center"/>
          </w:tcPr>
          <w:p w14:paraId="00D796A9" w14:textId="6BF839BC" w:rsidR="009F66BB" w:rsidRPr="00AE0058" w:rsidRDefault="008E5208" w:rsidP="00BF23C2">
            <w:pPr>
              <w:spacing w:line="360" w:lineRule="auto"/>
              <w:jc w:val="right"/>
              <w:rPr>
                <w:bCs/>
                <w:color w:val="000000" w:themeColor="text1"/>
                <w:sz w:val="16"/>
                <w:szCs w:val="16"/>
              </w:rPr>
            </w:pPr>
            <w:r>
              <w:rPr>
                <w:bCs/>
                <w:color w:val="000000" w:themeColor="text1"/>
                <w:sz w:val="16"/>
                <w:szCs w:val="16"/>
              </w:rPr>
              <w:t xml:space="preserve">+51</w:t>
            </w:r>
          </w:p>
        </w:tc>
        <w:tc>
          <w:tcPr>
            <w:tcW w:w="541" w:type="pct"/>
            <w:shd w:val="clear" w:color="auto" w:fill="F2F2F2" w:themeFill="background1" w:themeFillShade="F2"/>
            <w:vAlign w:val="center"/>
          </w:tcPr>
          <w:p w14:paraId="69BB71C3"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c>
          <w:tcPr>
            <w:tcW w:w="620" w:type="pct"/>
            <w:tcBorders>
              <w:left w:val="single" w:sz="12" w:space="0" w:color="auto"/>
            </w:tcBorders>
            <w:shd w:val="clear" w:color="auto" w:fill="F2F2F2" w:themeFill="background1" w:themeFillShade="F2"/>
            <w:vAlign w:val="center"/>
          </w:tcPr>
          <w:p w14:paraId="570831A9" w14:textId="2CB44BFD" w:rsidR="009F66BB" w:rsidRPr="00AE0058" w:rsidRDefault="008E5208" w:rsidP="00BF23C2">
            <w:pPr>
              <w:spacing w:line="360" w:lineRule="auto"/>
              <w:jc w:val="right"/>
              <w:rPr>
                <w:bCs/>
                <w:color w:val="000000" w:themeColor="text1"/>
                <w:sz w:val="16"/>
                <w:szCs w:val="16"/>
              </w:rPr>
            </w:pPr>
            <w:r>
              <w:rPr>
                <w:bCs/>
                <w:color w:val="000000" w:themeColor="text1"/>
                <w:sz w:val="16"/>
                <w:szCs w:val="16"/>
              </w:rPr>
              <w:t xml:space="preserve">+51</w:t>
            </w:r>
          </w:p>
        </w:tc>
        <w:tc>
          <w:tcPr>
            <w:tcW w:w="573" w:type="pct"/>
            <w:tcBorders>
              <w:left w:val="single" w:sz="12" w:space="0" w:color="auto"/>
              <w:right w:val="single" w:sz="4" w:space="0" w:color="auto"/>
            </w:tcBorders>
            <w:shd w:val="clear" w:color="auto" w:fill="F2F2F2" w:themeFill="background1" w:themeFillShade="F2"/>
            <w:vAlign w:val="center"/>
          </w:tcPr>
          <w:p w14:paraId="7066144E"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c>
          <w:tcPr>
            <w:tcW w:w="626" w:type="pct"/>
            <w:tcBorders>
              <w:left w:val="single" w:sz="4" w:space="0" w:color="auto"/>
            </w:tcBorders>
            <w:shd w:val="clear" w:color="auto" w:fill="F2F2F2" w:themeFill="background1" w:themeFillShade="F2"/>
            <w:vAlign w:val="center"/>
          </w:tcPr>
          <w:p w14:paraId="1725F477"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c>
          <w:tcPr>
            <w:tcW w:w="624" w:type="pct"/>
            <w:tcBorders>
              <w:left w:val="single" w:sz="12" w:space="0" w:color="auto"/>
            </w:tcBorders>
            <w:shd w:val="clear" w:color="auto" w:fill="F2F2F2" w:themeFill="background1" w:themeFillShade="F2"/>
            <w:vAlign w:val="center"/>
          </w:tcPr>
          <w:p w14:paraId="26204416"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r>
      <w:tr w:rsidR="009F66BB" w:rsidRPr="00AE0058" w14:paraId="5AC7E0D8" w14:textId="77777777" w:rsidTr="006C07FA">
        <w:tc>
          <w:tcPr>
            <w:tcW w:w="1467" w:type="pct"/>
            <w:gridSpan w:val="2"/>
            <w:shd w:val="clear" w:color="auto" w:fill="F2F2F2" w:themeFill="background1" w:themeFillShade="F2"/>
            <w:vAlign w:val="center"/>
          </w:tcPr>
          <w:p w14:paraId="4FF555E0" w14:textId="77777777" w:rsidR="009F66BB" w:rsidRPr="00AE0058" w:rsidRDefault="009F66BB" w:rsidP="00FB2F0D">
            <w:pPr>
              <w:spacing w:line="360" w:lineRule="auto"/>
              <w:jc w:val="right"/>
              <w:rPr>
                <w:color w:val="000000" w:themeColor="text1"/>
                <w:sz w:val="16"/>
                <w:szCs w:val="16"/>
              </w:rPr>
            </w:pPr>
            <w:r>
              <w:rPr>
                <w:color w:val="000000" w:themeColor="text1"/>
                <w:sz w:val="16"/>
                <w:szCs w:val="16"/>
              </w:rPr>
              <w:t xml:space="preserve">dont au niveau fédéral</w:t>
            </w:r>
          </w:p>
        </w:tc>
        <w:tc>
          <w:tcPr>
            <w:tcW w:w="549" w:type="pct"/>
            <w:shd w:val="clear" w:color="auto" w:fill="F2F2F2" w:themeFill="background1" w:themeFillShade="F2"/>
            <w:vAlign w:val="center"/>
          </w:tcPr>
          <w:p w14:paraId="11EC4267" w14:textId="77777777" w:rsidR="009F66BB" w:rsidRPr="00AE0058" w:rsidRDefault="008E5208" w:rsidP="00FB2F0D">
            <w:pPr>
              <w:spacing w:line="360" w:lineRule="auto"/>
              <w:jc w:val="right"/>
              <w:rPr>
                <w:bCs/>
                <w:color w:val="000000" w:themeColor="text1"/>
                <w:sz w:val="16"/>
                <w:szCs w:val="16"/>
              </w:rPr>
            </w:pPr>
            <w:r>
              <w:rPr>
                <w:bCs/>
                <w:color w:val="000000" w:themeColor="text1"/>
                <w:sz w:val="16"/>
                <w:szCs w:val="16"/>
              </w:rPr>
              <w:t xml:space="preserve">+0,07</w:t>
            </w:r>
          </w:p>
        </w:tc>
        <w:tc>
          <w:tcPr>
            <w:tcW w:w="541" w:type="pct"/>
            <w:shd w:val="clear" w:color="auto" w:fill="F2F2F2" w:themeFill="background1" w:themeFillShade="F2"/>
            <w:vAlign w:val="center"/>
          </w:tcPr>
          <w:p w14:paraId="2FBC1C98"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c>
          <w:tcPr>
            <w:tcW w:w="620" w:type="pct"/>
            <w:tcBorders>
              <w:left w:val="single" w:sz="12" w:space="0" w:color="auto"/>
            </w:tcBorders>
            <w:shd w:val="clear" w:color="auto" w:fill="F2F2F2" w:themeFill="background1" w:themeFillShade="F2"/>
            <w:vAlign w:val="center"/>
          </w:tcPr>
          <w:p w14:paraId="5EA1CF61" w14:textId="77777777" w:rsidR="009F66BB" w:rsidRPr="00AE0058" w:rsidRDefault="008E5208" w:rsidP="00FB2F0D">
            <w:pPr>
              <w:spacing w:line="360" w:lineRule="auto"/>
              <w:jc w:val="right"/>
              <w:rPr>
                <w:bCs/>
                <w:color w:val="000000" w:themeColor="text1"/>
                <w:sz w:val="16"/>
                <w:szCs w:val="16"/>
              </w:rPr>
            </w:pPr>
            <w:r>
              <w:rPr>
                <w:bCs/>
                <w:color w:val="000000" w:themeColor="text1"/>
                <w:sz w:val="16"/>
                <w:szCs w:val="16"/>
              </w:rPr>
              <w:t xml:space="preserve">+0,07</w:t>
            </w:r>
          </w:p>
        </w:tc>
        <w:tc>
          <w:tcPr>
            <w:tcW w:w="573" w:type="pct"/>
            <w:tcBorders>
              <w:left w:val="single" w:sz="12" w:space="0" w:color="auto"/>
              <w:right w:val="single" w:sz="4" w:space="0" w:color="auto"/>
            </w:tcBorders>
            <w:shd w:val="clear" w:color="auto" w:fill="F2F2F2" w:themeFill="background1" w:themeFillShade="F2"/>
            <w:vAlign w:val="center"/>
          </w:tcPr>
          <w:p w14:paraId="009DA61E"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c>
          <w:tcPr>
            <w:tcW w:w="626" w:type="pct"/>
            <w:tcBorders>
              <w:left w:val="single" w:sz="4" w:space="0" w:color="auto"/>
            </w:tcBorders>
            <w:shd w:val="clear" w:color="auto" w:fill="F2F2F2" w:themeFill="background1" w:themeFillShade="F2"/>
            <w:vAlign w:val="center"/>
          </w:tcPr>
          <w:p w14:paraId="3AFA7343"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c>
          <w:tcPr>
            <w:tcW w:w="624" w:type="pct"/>
            <w:tcBorders>
              <w:left w:val="single" w:sz="12" w:space="0" w:color="auto"/>
            </w:tcBorders>
            <w:shd w:val="clear" w:color="auto" w:fill="F2F2F2" w:themeFill="background1" w:themeFillShade="F2"/>
            <w:vAlign w:val="center"/>
          </w:tcPr>
          <w:p w14:paraId="3524AB2E"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r>
      <w:tr w:rsidR="009F66BB" w:rsidRPr="00AE0058" w14:paraId="4E3564FC" w14:textId="77777777" w:rsidTr="006C07FA">
        <w:tc>
          <w:tcPr>
            <w:tcW w:w="1467" w:type="pct"/>
            <w:gridSpan w:val="2"/>
            <w:shd w:val="clear" w:color="auto" w:fill="F2F2F2" w:themeFill="background1" w:themeFillShade="F2"/>
            <w:vAlign w:val="center"/>
          </w:tcPr>
          <w:p w14:paraId="4109B634" w14:textId="77777777" w:rsidR="009F66BB" w:rsidRPr="00AE0058" w:rsidRDefault="009F66BB" w:rsidP="00FB2F0D">
            <w:pPr>
              <w:spacing w:line="360" w:lineRule="auto"/>
              <w:jc w:val="right"/>
              <w:rPr>
                <w:color w:val="000000" w:themeColor="text1"/>
                <w:sz w:val="16"/>
                <w:szCs w:val="16"/>
              </w:rPr>
            </w:pPr>
            <w:r>
              <w:rPr>
                <w:color w:val="000000" w:themeColor="text1"/>
                <w:sz w:val="16"/>
                <w:szCs w:val="16"/>
              </w:rPr>
              <w:t xml:space="preserve">dont au niveau des Länder</w:t>
            </w:r>
          </w:p>
        </w:tc>
        <w:tc>
          <w:tcPr>
            <w:tcW w:w="549" w:type="pct"/>
            <w:shd w:val="clear" w:color="auto" w:fill="F2F2F2" w:themeFill="background1" w:themeFillShade="F2"/>
            <w:vAlign w:val="center"/>
          </w:tcPr>
          <w:p w14:paraId="2C9FCCC6" w14:textId="2DFC1965" w:rsidR="009F66BB" w:rsidRPr="00AE0058" w:rsidRDefault="008E5208" w:rsidP="00BF23C2">
            <w:pPr>
              <w:spacing w:line="360" w:lineRule="auto"/>
              <w:jc w:val="right"/>
              <w:rPr>
                <w:bCs/>
                <w:color w:val="000000" w:themeColor="text1"/>
                <w:sz w:val="16"/>
                <w:szCs w:val="16"/>
              </w:rPr>
            </w:pPr>
            <w:r>
              <w:rPr>
                <w:bCs/>
                <w:color w:val="000000" w:themeColor="text1"/>
                <w:sz w:val="16"/>
                <w:szCs w:val="16"/>
              </w:rPr>
              <w:t xml:space="preserve">+50</w:t>
            </w:r>
          </w:p>
        </w:tc>
        <w:tc>
          <w:tcPr>
            <w:tcW w:w="541" w:type="pct"/>
            <w:shd w:val="clear" w:color="auto" w:fill="F2F2F2" w:themeFill="background1" w:themeFillShade="F2"/>
            <w:vAlign w:val="center"/>
          </w:tcPr>
          <w:p w14:paraId="097F8048"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c>
          <w:tcPr>
            <w:tcW w:w="620" w:type="pct"/>
            <w:tcBorders>
              <w:left w:val="single" w:sz="12" w:space="0" w:color="auto"/>
            </w:tcBorders>
            <w:shd w:val="clear" w:color="auto" w:fill="F2F2F2" w:themeFill="background1" w:themeFillShade="F2"/>
            <w:vAlign w:val="center"/>
          </w:tcPr>
          <w:p w14:paraId="7B68EE0B" w14:textId="1AFE1074" w:rsidR="009F66BB" w:rsidRPr="00AE0058" w:rsidRDefault="008E5208" w:rsidP="00BF23C2">
            <w:pPr>
              <w:spacing w:line="360" w:lineRule="auto"/>
              <w:jc w:val="right"/>
              <w:rPr>
                <w:bCs/>
                <w:color w:val="000000" w:themeColor="text1"/>
                <w:sz w:val="16"/>
                <w:szCs w:val="16"/>
              </w:rPr>
            </w:pPr>
            <w:r>
              <w:rPr>
                <w:bCs/>
                <w:color w:val="000000" w:themeColor="text1"/>
                <w:sz w:val="16"/>
                <w:szCs w:val="16"/>
              </w:rPr>
              <w:t xml:space="preserve">+50</w:t>
            </w:r>
          </w:p>
        </w:tc>
        <w:tc>
          <w:tcPr>
            <w:tcW w:w="573" w:type="pct"/>
            <w:tcBorders>
              <w:left w:val="single" w:sz="12" w:space="0" w:color="auto"/>
              <w:right w:val="single" w:sz="4" w:space="0" w:color="auto"/>
            </w:tcBorders>
            <w:shd w:val="clear" w:color="auto" w:fill="F2F2F2" w:themeFill="background1" w:themeFillShade="F2"/>
            <w:vAlign w:val="center"/>
          </w:tcPr>
          <w:p w14:paraId="03811C6D"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c>
          <w:tcPr>
            <w:tcW w:w="626" w:type="pct"/>
            <w:tcBorders>
              <w:left w:val="single" w:sz="4" w:space="0" w:color="auto"/>
            </w:tcBorders>
            <w:shd w:val="clear" w:color="auto" w:fill="F2F2F2" w:themeFill="background1" w:themeFillShade="F2"/>
            <w:vAlign w:val="center"/>
          </w:tcPr>
          <w:p w14:paraId="0B2C41F7"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c>
          <w:tcPr>
            <w:tcW w:w="624" w:type="pct"/>
            <w:tcBorders>
              <w:left w:val="single" w:sz="12" w:space="0" w:color="auto"/>
            </w:tcBorders>
            <w:shd w:val="clear" w:color="auto" w:fill="F2F2F2" w:themeFill="background1" w:themeFillShade="F2"/>
            <w:vAlign w:val="center"/>
          </w:tcPr>
          <w:p w14:paraId="3BEB5555" w14:textId="77777777" w:rsidR="009F66BB" w:rsidRPr="00AE0058" w:rsidRDefault="009F66BB" w:rsidP="00FB2F0D">
            <w:pPr>
              <w:spacing w:line="360" w:lineRule="auto"/>
              <w:jc w:val="right"/>
              <w:rPr>
                <w:bCs/>
                <w:color w:val="000000" w:themeColor="text1"/>
                <w:sz w:val="16"/>
                <w:szCs w:val="16"/>
              </w:rPr>
            </w:pPr>
            <w:r>
              <w:rPr>
                <w:bCs/>
                <w:color w:val="000000" w:themeColor="text1"/>
                <w:sz w:val="16"/>
                <w:szCs w:val="16"/>
              </w:rPr>
              <w:t xml:space="preserve">-</w:t>
            </w:r>
          </w:p>
        </w:tc>
      </w:tr>
    </w:tbl>
    <w:p w14:paraId="716FFFD8" w14:textId="4AA79D2A" w:rsidR="00AD27DC" w:rsidRPr="00AE0058" w:rsidRDefault="00AD27DC" w:rsidP="00AD27DC">
      <w:pPr>
        <w:spacing w:line="360" w:lineRule="auto"/>
        <w:rPr>
          <w:rFonts w:ascii="MetaNormalLF-Roman" w:eastAsia="Times New Roman" w:hAnsi="MetaNormalLF-Roman" w:cs="Times New Roman"/>
          <w:color w:val="000000" w:themeColor="text1"/>
          <w:lang w:eastAsia="de-DE"/>
        </w:rPr>
      </w:pPr>
    </w:p>
    <w:p w14:paraId="70B6FBAD" w14:textId="77777777" w:rsidR="009F66BB" w:rsidRPr="00AE0058" w:rsidRDefault="009F66BB" w:rsidP="00C65795">
      <w:pPr>
        <w:pStyle w:val="Text"/>
        <w:keepNext/>
        <w:rPr>
          <w:i/>
          <w:color w:val="000000" w:themeColor="text1"/>
          <w:u w:val="single"/>
          <w:rFonts w:ascii="MetaNormalLF-Roman" w:hAnsi="MetaNormalLF-Roman"/>
        </w:rPr>
      </w:pPr>
      <w:r>
        <w:rPr>
          <w:i/>
          <w:color w:val="000000" w:themeColor="text1"/>
          <w:u w:val="single"/>
          <w:rFonts w:ascii="MetaNormalLF-Roman" w:hAnsi="MetaNormalLF-Roman"/>
        </w:rPr>
        <w:t xml:space="preserve">Groupe de cas A:</w:t>
      </w:r>
      <w:r>
        <w:rPr>
          <w:i/>
          <w:color w:val="000000" w:themeColor="text1"/>
          <w:u w:val="single"/>
          <w:rFonts w:ascii="MetaNormalLF-Roman" w:hAnsi="MetaNormalLF-Roman"/>
        </w:rPr>
        <w:t xml:space="preserve"> </w:t>
      </w:r>
      <w:r>
        <w:rPr>
          <w:i/>
          <w:color w:val="000000" w:themeColor="text1"/>
          <w:u w:val="single"/>
          <w:rFonts w:ascii="MetaNormalLF-Roman" w:hAnsi="MetaNormalLF-Roman"/>
        </w:rPr>
        <w:t xml:space="preserve">Statistiques sur les déchets</w:t>
      </w:r>
    </w:p>
    <w:p w14:paraId="36E1FF94" w14:textId="7E08A445" w:rsidR="009F66BB" w:rsidRPr="00AE0058" w:rsidRDefault="009F66BB" w:rsidP="009F66BB">
      <w:pPr>
        <w:pStyle w:val="Text"/>
        <w:rPr>
          <w:rStyle w:val="Marker"/>
          <w:color w:val="000000" w:themeColor="text1"/>
        </w:rPr>
      </w:pPr>
      <w:r>
        <w:rPr>
          <w:rStyle w:val="Marker"/>
          <w:color w:val="000000" w:themeColor="text1"/>
        </w:rPr>
        <w:t xml:space="preserve">Les modifications des statistiques sur les déchets entrainent une modification de la charge d'exécution annuelle de 9 000 euros</w:t>
      </w:r>
      <w:r>
        <w:rPr>
          <w:rStyle w:val="Marker"/>
          <w:color w:val="000000" w:themeColor="text1"/>
        </w:rPr>
        <w:t xml:space="preserve">.</w:t>
      </w:r>
      <w:r>
        <w:rPr>
          <w:rStyle w:val="Marker"/>
          <w:color w:val="000000" w:themeColor="text1"/>
        </w:rPr>
        <w:t xml:space="preserve"> </w:t>
      </w:r>
      <w:r>
        <w:rPr>
          <w:rStyle w:val="Marker"/>
          <w:color w:val="000000" w:themeColor="text1"/>
        </w:rPr>
        <w:t xml:space="preserve">La figure suivante représente le groupe de cas A - Statistiques sur les déchets pour le destinataire Administration (autres administrations) en fonction des différentes dispositions.</w:t>
      </w:r>
    </w:p>
    <w:p w14:paraId="5A42DD80" w14:textId="6344D4FE" w:rsidR="00FB2F0D" w:rsidRPr="00AE0058" w:rsidRDefault="00FB2F0D" w:rsidP="00C65795">
      <w:pPr>
        <w:pStyle w:val="Caption"/>
        <w:keepNext/>
        <w:rPr>
          <w:b/>
          <w:color w:val="000000" w:themeColor="text1"/>
        </w:rPr>
      </w:pPr>
      <w:r>
        <w:rPr>
          <w:b/>
          <w:color w:val="000000" w:themeColor="text1"/>
        </w:rPr>
        <w:t xml:space="preserve">Tableau 9 - Groupe de cas A - Statistiques sur les déchets; charge d'exécution </w:t>
      </w:r>
      <w:r>
        <w:rPr>
          <w:b/>
          <w:color w:val="000000" w:themeColor="text1"/>
          <w:u w:val="single"/>
        </w:rPr>
        <w:t xml:space="preserve">annuelle</w:t>
      </w:r>
      <w:r>
        <w:rPr>
          <w:b/>
          <w:color w:val="000000" w:themeColor="text1"/>
        </w:rPr>
        <w:t xml:space="preserve"> pour les autres administrations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4"/>
        <w:gridCol w:w="568"/>
        <w:gridCol w:w="1417"/>
        <w:gridCol w:w="888"/>
        <w:gridCol w:w="810"/>
        <w:gridCol w:w="12"/>
        <w:gridCol w:w="805"/>
        <w:gridCol w:w="810"/>
        <w:gridCol w:w="16"/>
        <w:gridCol w:w="929"/>
        <w:gridCol w:w="1911"/>
      </w:tblGrid>
      <w:tr w:rsidR="009F66BB" w:rsidRPr="00AE0058" w14:paraId="665CD14F" w14:textId="77777777" w:rsidTr="006C07FA">
        <w:tc>
          <w:tcPr>
            <w:tcW w:w="291" w:type="pct"/>
            <w:shd w:val="clear" w:color="auto" w:fill="D9D9D9" w:themeFill="background1" w:themeFillShade="D9"/>
            <w:vAlign w:val="center"/>
          </w:tcPr>
          <w:p w14:paraId="52384CB1" w14:textId="77777777" w:rsidR="009F66BB" w:rsidRPr="00AE0058" w:rsidRDefault="009F66BB" w:rsidP="00C65795">
            <w:pPr>
              <w:keepNext/>
              <w:rPr>
                <w:b/>
                <w:color w:val="000000" w:themeColor="text1"/>
                <w:sz w:val="16"/>
                <w:szCs w:val="16"/>
              </w:rPr>
            </w:pPr>
          </w:p>
        </w:tc>
        <w:tc>
          <w:tcPr>
            <w:tcW w:w="328" w:type="pct"/>
            <w:shd w:val="clear" w:color="auto" w:fill="D9D9D9" w:themeFill="background1" w:themeFillShade="D9"/>
            <w:vAlign w:val="center"/>
          </w:tcPr>
          <w:p w14:paraId="54E3104B" w14:textId="77777777" w:rsidR="009F66BB" w:rsidRPr="00AE0058" w:rsidRDefault="009F66BB" w:rsidP="00C65795">
            <w:pPr>
              <w:keepNext/>
              <w:rPr>
                <w:b/>
                <w:color w:val="000000" w:themeColor="text1"/>
                <w:sz w:val="16"/>
                <w:szCs w:val="16"/>
              </w:rPr>
            </w:pPr>
          </w:p>
        </w:tc>
        <w:tc>
          <w:tcPr>
            <w:tcW w:w="817" w:type="pct"/>
            <w:shd w:val="clear" w:color="auto" w:fill="D9D9D9" w:themeFill="background1" w:themeFillShade="D9"/>
            <w:vAlign w:val="center"/>
          </w:tcPr>
          <w:p w14:paraId="25F4FFF7" w14:textId="77777777" w:rsidR="009F66BB" w:rsidRPr="00AE0058" w:rsidRDefault="009F66BB" w:rsidP="00C65795">
            <w:pPr>
              <w:keepNext/>
              <w:rPr>
                <w:b/>
                <w:color w:val="000000" w:themeColor="text1"/>
                <w:sz w:val="16"/>
                <w:szCs w:val="16"/>
              </w:rPr>
            </w:pPr>
          </w:p>
        </w:tc>
        <w:tc>
          <w:tcPr>
            <w:tcW w:w="512" w:type="pct"/>
            <w:shd w:val="clear" w:color="auto" w:fill="D9D9D9" w:themeFill="background1" w:themeFillShade="D9"/>
            <w:vAlign w:val="center"/>
          </w:tcPr>
          <w:p w14:paraId="430C5DBA" w14:textId="77777777" w:rsidR="009F66BB" w:rsidRPr="00AE0058" w:rsidRDefault="009F66BB" w:rsidP="00C65795">
            <w:pPr>
              <w:keepNext/>
              <w:rPr>
                <w:b/>
                <w:color w:val="000000" w:themeColor="text1"/>
                <w:sz w:val="16"/>
                <w:szCs w:val="16"/>
              </w:rPr>
            </w:pPr>
          </w:p>
        </w:tc>
        <w:tc>
          <w:tcPr>
            <w:tcW w:w="938" w:type="pct"/>
            <w:gridSpan w:val="3"/>
            <w:shd w:val="clear" w:color="auto" w:fill="D9D9D9" w:themeFill="background1" w:themeFillShade="D9"/>
            <w:vAlign w:val="center"/>
          </w:tcPr>
          <w:p w14:paraId="4C748ED9" w14:textId="77777777" w:rsidR="009F66BB" w:rsidRPr="00AE0058" w:rsidRDefault="009F66BB" w:rsidP="00C65795">
            <w:pPr>
              <w:keepNext/>
              <w:rPr>
                <w:b/>
                <w:color w:val="000000" w:themeColor="text1"/>
                <w:sz w:val="16"/>
                <w:szCs w:val="16"/>
              </w:rPr>
            </w:pPr>
            <w:r>
              <w:rPr>
                <w:b/>
                <w:color w:val="000000" w:themeColor="text1"/>
                <w:sz w:val="16"/>
                <w:szCs w:val="16"/>
              </w:rPr>
              <w:t xml:space="preserve">Supplément de charge annuel</w:t>
            </w:r>
          </w:p>
        </w:tc>
        <w:tc>
          <w:tcPr>
            <w:tcW w:w="1012" w:type="pct"/>
            <w:gridSpan w:val="3"/>
            <w:tcBorders>
              <w:right w:val="single" w:sz="12" w:space="0" w:color="auto"/>
            </w:tcBorders>
            <w:shd w:val="clear" w:color="auto" w:fill="D9D9D9" w:themeFill="background1" w:themeFillShade="D9"/>
            <w:vAlign w:val="center"/>
          </w:tcPr>
          <w:p w14:paraId="2E98F25A" w14:textId="77777777" w:rsidR="009F66BB" w:rsidRPr="00AE0058" w:rsidRDefault="009F66BB" w:rsidP="00C65795">
            <w:pPr>
              <w:keepNext/>
              <w:rPr>
                <w:b/>
                <w:color w:val="000000" w:themeColor="text1"/>
                <w:sz w:val="16"/>
                <w:szCs w:val="16"/>
              </w:rPr>
            </w:pPr>
            <w:r>
              <w:rPr>
                <w:b/>
                <w:color w:val="000000" w:themeColor="text1"/>
                <w:sz w:val="16"/>
                <w:szCs w:val="16"/>
              </w:rPr>
              <w:t xml:space="preserve">Réduction de charge annuelle</w:t>
            </w:r>
          </w:p>
        </w:tc>
        <w:tc>
          <w:tcPr>
            <w:tcW w:w="1102" w:type="pct"/>
            <w:tcBorders>
              <w:left w:val="single" w:sz="12" w:space="0" w:color="auto"/>
            </w:tcBorders>
            <w:shd w:val="clear" w:color="auto" w:fill="D9D9D9" w:themeFill="background1" w:themeFillShade="D9"/>
            <w:vAlign w:val="center"/>
          </w:tcPr>
          <w:p w14:paraId="3C96202A" w14:textId="77777777" w:rsidR="009F66BB" w:rsidRPr="00AE0058" w:rsidRDefault="009F66BB" w:rsidP="00C65795">
            <w:pPr>
              <w:keepNext/>
              <w:rPr>
                <w:b/>
                <w:color w:val="000000" w:themeColor="text1"/>
                <w:sz w:val="16"/>
                <w:szCs w:val="16"/>
              </w:rPr>
            </w:pPr>
            <w:r>
              <w:rPr>
                <w:b/>
                <w:color w:val="000000" w:themeColor="text1"/>
                <w:sz w:val="16"/>
                <w:szCs w:val="16"/>
              </w:rPr>
              <w:t xml:space="preserve">Modification de la charge d'exécution annuelle</w:t>
            </w:r>
          </w:p>
        </w:tc>
      </w:tr>
      <w:tr w:rsidR="009F66BB" w:rsidRPr="00AE0058" w14:paraId="3E65493F" w14:textId="77777777" w:rsidTr="006C07FA">
        <w:tc>
          <w:tcPr>
            <w:tcW w:w="291" w:type="pct"/>
            <w:shd w:val="clear" w:color="auto" w:fill="D9D9D9" w:themeFill="background1" w:themeFillShade="D9"/>
            <w:vAlign w:val="center"/>
          </w:tcPr>
          <w:p w14:paraId="11D6ACAD" w14:textId="77777777" w:rsidR="009F66BB" w:rsidRPr="00AE0058" w:rsidRDefault="009F66BB" w:rsidP="00C65795">
            <w:pPr>
              <w:keepNext/>
              <w:rPr>
                <w:b/>
                <w:color w:val="000000" w:themeColor="text1"/>
                <w:sz w:val="16"/>
                <w:szCs w:val="16"/>
              </w:rPr>
            </w:pPr>
            <w:r>
              <w:rPr>
                <w:b/>
                <w:color w:val="000000" w:themeColor="text1"/>
                <w:sz w:val="16"/>
                <w:szCs w:val="16"/>
              </w:rPr>
              <w:t xml:space="preserve">Disposition</w:t>
            </w:r>
          </w:p>
        </w:tc>
        <w:tc>
          <w:tcPr>
            <w:tcW w:w="328" w:type="pct"/>
            <w:shd w:val="clear" w:color="auto" w:fill="D9D9D9" w:themeFill="background1" w:themeFillShade="D9"/>
            <w:vAlign w:val="center"/>
          </w:tcPr>
          <w:p w14:paraId="73AB2EAE" w14:textId="77777777" w:rsidR="009F66BB" w:rsidRPr="00AE0058" w:rsidRDefault="009F66BB" w:rsidP="00C65795">
            <w:pPr>
              <w:keepNext/>
              <w:rPr>
                <w:b/>
                <w:color w:val="000000" w:themeColor="text1"/>
                <w:sz w:val="16"/>
                <w:szCs w:val="16"/>
              </w:rPr>
            </w:pPr>
            <w:r>
              <w:rPr>
                <w:b/>
                <w:color w:val="000000" w:themeColor="text1"/>
                <w:sz w:val="16"/>
                <w:szCs w:val="16"/>
              </w:rPr>
              <w:t xml:space="preserve">Paragraphe</w:t>
            </w:r>
          </w:p>
        </w:tc>
        <w:tc>
          <w:tcPr>
            <w:tcW w:w="817" w:type="pct"/>
            <w:shd w:val="clear" w:color="auto" w:fill="D9D9D9" w:themeFill="background1" w:themeFillShade="D9"/>
            <w:vAlign w:val="center"/>
          </w:tcPr>
          <w:p w14:paraId="092AAE25" w14:textId="77777777" w:rsidR="009F66BB" w:rsidRPr="00AE0058" w:rsidRDefault="009F66BB" w:rsidP="00C65795">
            <w:pPr>
              <w:keepNext/>
              <w:rPr>
                <w:b/>
                <w:color w:val="000000" w:themeColor="text1"/>
                <w:sz w:val="16"/>
                <w:szCs w:val="16"/>
              </w:rPr>
            </w:pPr>
            <w:r>
              <w:rPr>
                <w:b/>
                <w:color w:val="000000" w:themeColor="text1"/>
                <w:sz w:val="16"/>
                <w:szCs w:val="16"/>
              </w:rPr>
              <w:t xml:space="preserve">Désignation de la disposition</w:t>
            </w:r>
          </w:p>
        </w:tc>
        <w:tc>
          <w:tcPr>
            <w:tcW w:w="512" w:type="pct"/>
            <w:shd w:val="clear" w:color="auto" w:fill="D9D9D9" w:themeFill="background1" w:themeFillShade="D9"/>
            <w:vAlign w:val="center"/>
          </w:tcPr>
          <w:p w14:paraId="45676854" w14:textId="77777777" w:rsidR="009F66BB" w:rsidRPr="00AE0058" w:rsidRDefault="009F66BB" w:rsidP="00C65795">
            <w:pPr>
              <w:keepNext/>
              <w:rPr>
                <w:b/>
                <w:color w:val="000000" w:themeColor="text1"/>
                <w:sz w:val="16"/>
                <w:szCs w:val="16"/>
              </w:rPr>
            </w:pPr>
            <w:r>
              <w:rPr>
                <w:b/>
                <w:color w:val="000000" w:themeColor="text1"/>
                <w:sz w:val="16"/>
                <w:szCs w:val="16"/>
              </w:rPr>
              <w:t xml:space="preserve">Niveau hiérarchique</w:t>
            </w:r>
          </w:p>
        </w:tc>
        <w:tc>
          <w:tcPr>
            <w:tcW w:w="467" w:type="pct"/>
            <w:shd w:val="clear" w:color="auto" w:fill="D9D9D9" w:themeFill="background1" w:themeFillShade="D9"/>
            <w:vAlign w:val="center"/>
          </w:tcPr>
          <w:p w14:paraId="2B1A42C5" w14:textId="77777777" w:rsidR="009F66BB" w:rsidRPr="00AE0058" w:rsidRDefault="009F66BB" w:rsidP="00C65795">
            <w:pPr>
              <w:keepNext/>
              <w:rPr>
                <w:b/>
                <w:color w:val="000000" w:themeColor="text1"/>
                <w:sz w:val="16"/>
                <w:szCs w:val="16"/>
              </w:rPr>
            </w:pPr>
            <w:r>
              <w:rPr>
                <w:b/>
                <w:color w:val="000000" w:themeColor="text1"/>
                <w:sz w:val="16"/>
                <w:szCs w:val="16"/>
              </w:rPr>
              <w:t xml:space="preserve">Frais de personnel</w:t>
            </w:r>
          </w:p>
        </w:tc>
        <w:tc>
          <w:tcPr>
            <w:tcW w:w="471" w:type="pct"/>
            <w:gridSpan w:val="2"/>
            <w:shd w:val="clear" w:color="auto" w:fill="D9D9D9" w:themeFill="background1" w:themeFillShade="D9"/>
            <w:vAlign w:val="center"/>
          </w:tcPr>
          <w:p w14:paraId="29805AC1" w14:textId="77777777" w:rsidR="009F66BB" w:rsidRPr="00AE0058" w:rsidRDefault="009F66BB" w:rsidP="00C65795">
            <w:pPr>
              <w:keepNext/>
              <w:rPr>
                <w:b/>
                <w:color w:val="000000" w:themeColor="text1"/>
                <w:sz w:val="16"/>
                <w:szCs w:val="16"/>
              </w:rPr>
            </w:pPr>
            <w:r>
              <w:rPr>
                <w:b/>
                <w:color w:val="000000" w:themeColor="text1"/>
                <w:sz w:val="16"/>
                <w:szCs w:val="16"/>
              </w:rPr>
              <w:t xml:space="preserve">Dépenses de matériel</w:t>
            </w:r>
          </w:p>
        </w:tc>
        <w:tc>
          <w:tcPr>
            <w:tcW w:w="467" w:type="pct"/>
            <w:shd w:val="clear" w:color="auto" w:fill="D9D9D9" w:themeFill="background1" w:themeFillShade="D9"/>
            <w:vAlign w:val="center"/>
          </w:tcPr>
          <w:p w14:paraId="3C267A20" w14:textId="77777777" w:rsidR="009F66BB" w:rsidRPr="00AE0058" w:rsidRDefault="009F66BB" w:rsidP="00C65795">
            <w:pPr>
              <w:keepNext/>
              <w:rPr>
                <w:b/>
                <w:color w:val="000000" w:themeColor="text1"/>
                <w:sz w:val="16"/>
                <w:szCs w:val="16"/>
              </w:rPr>
            </w:pPr>
            <w:r>
              <w:rPr>
                <w:b/>
                <w:color w:val="000000" w:themeColor="text1"/>
                <w:sz w:val="16"/>
                <w:szCs w:val="16"/>
              </w:rPr>
              <w:t xml:space="preserve">Frais de personnel</w:t>
            </w:r>
          </w:p>
        </w:tc>
        <w:tc>
          <w:tcPr>
            <w:tcW w:w="545" w:type="pct"/>
            <w:gridSpan w:val="2"/>
            <w:tcBorders>
              <w:right w:val="single" w:sz="12" w:space="0" w:color="auto"/>
            </w:tcBorders>
            <w:shd w:val="clear" w:color="auto" w:fill="D9D9D9" w:themeFill="background1" w:themeFillShade="D9"/>
            <w:vAlign w:val="center"/>
          </w:tcPr>
          <w:p w14:paraId="2B27F990" w14:textId="77777777" w:rsidR="009F66BB" w:rsidRPr="00AE0058" w:rsidRDefault="009F66BB" w:rsidP="00C65795">
            <w:pPr>
              <w:keepNext/>
              <w:rPr>
                <w:b/>
                <w:color w:val="000000" w:themeColor="text1"/>
                <w:sz w:val="16"/>
                <w:szCs w:val="16"/>
              </w:rPr>
            </w:pPr>
            <w:r>
              <w:rPr>
                <w:b/>
                <w:color w:val="000000" w:themeColor="text1"/>
                <w:sz w:val="16"/>
                <w:szCs w:val="16"/>
              </w:rPr>
              <w:t xml:space="preserve">Dépenses de matériel</w:t>
            </w:r>
          </w:p>
        </w:tc>
        <w:tc>
          <w:tcPr>
            <w:tcW w:w="1102" w:type="pct"/>
            <w:tcBorders>
              <w:left w:val="single" w:sz="12" w:space="0" w:color="auto"/>
            </w:tcBorders>
            <w:shd w:val="clear" w:color="auto" w:fill="D9D9D9" w:themeFill="background1" w:themeFillShade="D9"/>
            <w:vAlign w:val="center"/>
          </w:tcPr>
          <w:p w14:paraId="379DDE48" w14:textId="77777777" w:rsidR="009F66BB" w:rsidRPr="00AE0058" w:rsidRDefault="009F66BB" w:rsidP="00C65795">
            <w:pPr>
              <w:keepNext/>
              <w:rPr>
                <w:b/>
                <w:color w:val="000000" w:themeColor="text1"/>
                <w:sz w:val="16"/>
                <w:szCs w:val="16"/>
              </w:rPr>
            </w:pPr>
            <w:r>
              <w:rPr>
                <w:b/>
                <w:color w:val="000000" w:themeColor="text1"/>
                <w:sz w:val="16"/>
                <w:szCs w:val="16"/>
              </w:rPr>
              <w:t xml:space="preserve">Dépenses totales</w:t>
            </w:r>
          </w:p>
        </w:tc>
      </w:tr>
      <w:tr w:rsidR="009F66BB" w:rsidRPr="00AE0058" w14:paraId="430ED2C5" w14:textId="77777777" w:rsidTr="006C07FA">
        <w:tc>
          <w:tcPr>
            <w:tcW w:w="291" w:type="pct"/>
            <w:shd w:val="clear" w:color="auto" w:fill="D9D9D9" w:themeFill="background1" w:themeFillShade="D9"/>
            <w:vAlign w:val="center"/>
          </w:tcPr>
          <w:p w14:paraId="4EB7CE9A" w14:textId="77777777" w:rsidR="009F66BB" w:rsidRPr="00AE0058" w:rsidRDefault="009F66BB" w:rsidP="00C65795">
            <w:pPr>
              <w:keepNext/>
              <w:rPr>
                <w:b/>
                <w:color w:val="000000" w:themeColor="text1"/>
                <w:sz w:val="16"/>
                <w:szCs w:val="16"/>
              </w:rPr>
            </w:pPr>
          </w:p>
        </w:tc>
        <w:tc>
          <w:tcPr>
            <w:tcW w:w="328" w:type="pct"/>
            <w:shd w:val="clear" w:color="auto" w:fill="D9D9D9" w:themeFill="background1" w:themeFillShade="D9"/>
            <w:vAlign w:val="center"/>
          </w:tcPr>
          <w:p w14:paraId="7C7DC62E" w14:textId="77777777" w:rsidR="009F66BB" w:rsidRPr="00AE0058" w:rsidRDefault="009F66BB" w:rsidP="00C65795">
            <w:pPr>
              <w:keepNext/>
              <w:rPr>
                <w:b/>
                <w:color w:val="000000" w:themeColor="text1"/>
                <w:sz w:val="16"/>
                <w:szCs w:val="16"/>
              </w:rPr>
            </w:pPr>
          </w:p>
        </w:tc>
        <w:tc>
          <w:tcPr>
            <w:tcW w:w="817" w:type="pct"/>
            <w:shd w:val="clear" w:color="auto" w:fill="D9D9D9" w:themeFill="background1" w:themeFillShade="D9"/>
            <w:vAlign w:val="center"/>
          </w:tcPr>
          <w:p w14:paraId="0028C38F" w14:textId="77777777" w:rsidR="009F66BB" w:rsidRPr="00AE0058" w:rsidRDefault="009F66BB" w:rsidP="00C65795">
            <w:pPr>
              <w:keepNext/>
              <w:rPr>
                <w:b/>
                <w:color w:val="000000" w:themeColor="text1"/>
                <w:sz w:val="16"/>
                <w:szCs w:val="16"/>
              </w:rPr>
            </w:pPr>
          </w:p>
        </w:tc>
        <w:tc>
          <w:tcPr>
            <w:tcW w:w="512" w:type="pct"/>
            <w:shd w:val="clear" w:color="auto" w:fill="D9D9D9" w:themeFill="background1" w:themeFillShade="D9"/>
            <w:vAlign w:val="center"/>
          </w:tcPr>
          <w:p w14:paraId="36E2E758" w14:textId="77777777" w:rsidR="009F66BB" w:rsidRPr="00AE0058" w:rsidRDefault="009F66BB" w:rsidP="00C65795">
            <w:pPr>
              <w:keepNext/>
              <w:rPr>
                <w:b/>
                <w:color w:val="000000" w:themeColor="text1"/>
                <w:sz w:val="16"/>
                <w:szCs w:val="16"/>
              </w:rPr>
            </w:pPr>
          </w:p>
        </w:tc>
        <w:tc>
          <w:tcPr>
            <w:tcW w:w="3052" w:type="pct"/>
            <w:gridSpan w:val="7"/>
            <w:shd w:val="clear" w:color="auto" w:fill="D9D9D9" w:themeFill="background1" w:themeFillShade="D9"/>
            <w:vAlign w:val="center"/>
          </w:tcPr>
          <w:p w14:paraId="39D1DCC2" w14:textId="77777777" w:rsidR="009F66BB" w:rsidRPr="00AE0058" w:rsidRDefault="009F66BB" w:rsidP="00C65795">
            <w:pPr>
              <w:keepNext/>
              <w:jc w:val="center"/>
              <w:rPr>
                <w:b/>
                <w:color w:val="000000" w:themeColor="text1"/>
                <w:sz w:val="16"/>
                <w:szCs w:val="16"/>
              </w:rPr>
            </w:pPr>
            <w:r>
              <w:rPr>
                <w:b/>
                <w:color w:val="000000" w:themeColor="text1"/>
                <w:sz w:val="16"/>
                <w:szCs w:val="16"/>
              </w:rPr>
              <w:t xml:space="preserve">en milliers</w:t>
            </w:r>
            <w:r>
              <w:rPr>
                <w:b/>
                <w:color w:val="000000" w:themeColor="text1"/>
                <w:sz w:val="16"/>
                <w:szCs w:val="16"/>
              </w:rPr>
              <w:t xml:space="preserve"> </w:t>
            </w:r>
            <w:r>
              <w:rPr>
                <w:b/>
                <w:color w:val="000000" w:themeColor="text1"/>
                <w:sz w:val="16"/>
                <w:szCs w:val="16"/>
              </w:rPr>
              <w:t xml:space="preserve">d’euros</w:t>
            </w:r>
          </w:p>
        </w:tc>
      </w:tr>
      <w:tr w:rsidR="009F66BB" w:rsidRPr="00AE0058" w14:paraId="774F2C9A" w14:textId="77777777" w:rsidTr="006C07FA">
        <w:tc>
          <w:tcPr>
            <w:tcW w:w="291" w:type="pct"/>
            <w:vAlign w:val="center"/>
          </w:tcPr>
          <w:p w14:paraId="2AB8B6AB" w14:textId="424AA65B" w:rsidR="009F66BB" w:rsidRPr="00AE0058" w:rsidRDefault="007D5C8F" w:rsidP="007D5C8F">
            <w:pPr>
              <w:keepNext/>
              <w:rPr>
                <w:color w:val="000000" w:themeColor="text1"/>
                <w:sz w:val="16"/>
                <w:szCs w:val="16"/>
              </w:rPr>
            </w:pPr>
            <w:r>
              <w:rPr>
                <w:color w:val="000000" w:themeColor="text1"/>
                <w:sz w:val="16"/>
                <w:szCs w:val="16"/>
              </w:rPr>
              <w:t xml:space="preserve">14</w:t>
            </w:r>
          </w:p>
        </w:tc>
        <w:tc>
          <w:tcPr>
            <w:tcW w:w="328" w:type="pct"/>
            <w:vAlign w:val="center"/>
          </w:tcPr>
          <w:p w14:paraId="0B449591" w14:textId="77777777" w:rsidR="009F66BB" w:rsidRPr="00AE0058" w:rsidRDefault="009F66BB" w:rsidP="007E4C79">
            <w:pPr>
              <w:keepNext/>
              <w:rPr>
                <w:color w:val="000000" w:themeColor="text1"/>
                <w:sz w:val="16"/>
                <w:szCs w:val="16"/>
              </w:rPr>
            </w:pPr>
            <w:r>
              <w:rPr>
                <w:color w:val="000000" w:themeColor="text1"/>
                <w:sz w:val="16"/>
                <w:szCs w:val="16"/>
              </w:rPr>
              <w:t xml:space="preserve">Article 5a, paragraphe 1 UStatG</w:t>
            </w:r>
          </w:p>
        </w:tc>
        <w:tc>
          <w:tcPr>
            <w:tcW w:w="817" w:type="pct"/>
            <w:shd w:val="clear" w:color="auto" w:fill="auto"/>
            <w:vAlign w:val="center"/>
          </w:tcPr>
          <w:p w14:paraId="612A8E2D" w14:textId="77777777" w:rsidR="009F66BB" w:rsidRPr="00AE0058" w:rsidRDefault="009F66BB" w:rsidP="007E4C79">
            <w:pPr>
              <w:keepNext/>
              <w:rPr>
                <w:color w:val="000000" w:themeColor="text1"/>
                <w:sz w:val="16"/>
                <w:szCs w:val="16"/>
              </w:rPr>
            </w:pPr>
            <w:r>
              <w:rPr>
                <w:color w:val="000000" w:themeColor="text1"/>
                <w:sz w:val="16"/>
                <w:szCs w:val="16"/>
              </w:rPr>
              <w:t xml:space="preserve">Enquête sur la mise sur le marché et l'élimination de certains produits - Office central du registre des emballages</w:t>
            </w:r>
          </w:p>
        </w:tc>
        <w:tc>
          <w:tcPr>
            <w:tcW w:w="512" w:type="pct"/>
            <w:shd w:val="clear" w:color="auto" w:fill="auto"/>
            <w:vAlign w:val="center"/>
          </w:tcPr>
          <w:p w14:paraId="389D3E86" w14:textId="77777777" w:rsidR="009F66BB" w:rsidRPr="00AE0058" w:rsidRDefault="009F66BB" w:rsidP="007E4C79">
            <w:pPr>
              <w:keepNext/>
              <w:rPr>
                <w:color w:val="000000" w:themeColor="text1"/>
                <w:sz w:val="16"/>
                <w:szCs w:val="16"/>
              </w:rPr>
            </w:pPr>
            <w:r>
              <w:rPr>
                <w:color w:val="000000" w:themeColor="text1"/>
                <w:sz w:val="16"/>
                <w:szCs w:val="16"/>
              </w:rPr>
              <w:t xml:space="preserve">État fédéral</w:t>
            </w:r>
          </w:p>
        </w:tc>
        <w:tc>
          <w:tcPr>
            <w:tcW w:w="474" w:type="pct"/>
            <w:gridSpan w:val="2"/>
            <w:vAlign w:val="center"/>
          </w:tcPr>
          <w:p w14:paraId="03745CEC" w14:textId="77777777" w:rsidR="009F66BB" w:rsidRPr="00AE0058" w:rsidRDefault="009F66BB" w:rsidP="007E4C79">
            <w:pPr>
              <w:keepNext/>
              <w:jc w:val="right"/>
              <w:rPr>
                <w:color w:val="000000" w:themeColor="text1"/>
                <w:sz w:val="16"/>
                <w:szCs w:val="16"/>
              </w:rPr>
            </w:pPr>
            <w:r>
              <w:rPr>
                <w:color w:val="000000" w:themeColor="text1"/>
                <w:sz w:val="16"/>
                <w:szCs w:val="16"/>
              </w:rPr>
              <w:t xml:space="preserve">0,07</w:t>
            </w:r>
          </w:p>
        </w:tc>
        <w:tc>
          <w:tcPr>
            <w:tcW w:w="464" w:type="pct"/>
            <w:vAlign w:val="center"/>
          </w:tcPr>
          <w:p w14:paraId="221D6CBA" w14:textId="77777777" w:rsidR="009F66BB" w:rsidRPr="00AE0058" w:rsidRDefault="009F66BB" w:rsidP="007E4C79">
            <w:pPr>
              <w:keepNext/>
              <w:jc w:val="right"/>
              <w:rPr>
                <w:color w:val="000000" w:themeColor="text1"/>
                <w:sz w:val="16"/>
                <w:szCs w:val="16"/>
              </w:rPr>
            </w:pPr>
            <w:r>
              <w:rPr>
                <w:color w:val="000000" w:themeColor="text1"/>
                <w:sz w:val="16"/>
                <w:szCs w:val="16"/>
              </w:rPr>
              <w:t xml:space="preserve">-</w:t>
            </w:r>
          </w:p>
        </w:tc>
        <w:tc>
          <w:tcPr>
            <w:tcW w:w="476" w:type="pct"/>
            <w:gridSpan w:val="2"/>
            <w:vAlign w:val="center"/>
          </w:tcPr>
          <w:p w14:paraId="5DE0EEBD" w14:textId="77777777" w:rsidR="009F66BB" w:rsidRPr="00AE0058" w:rsidRDefault="009F66BB" w:rsidP="007E4C79">
            <w:pPr>
              <w:keepNext/>
              <w:jc w:val="right"/>
              <w:rPr>
                <w:color w:val="000000" w:themeColor="text1"/>
                <w:sz w:val="16"/>
                <w:szCs w:val="16"/>
              </w:rPr>
            </w:pPr>
            <w:r>
              <w:rPr>
                <w:color w:val="000000" w:themeColor="text1"/>
                <w:sz w:val="16"/>
                <w:szCs w:val="16"/>
              </w:rPr>
              <w:t xml:space="preserve">-</w:t>
            </w:r>
          </w:p>
        </w:tc>
        <w:tc>
          <w:tcPr>
            <w:tcW w:w="536" w:type="pct"/>
            <w:tcBorders>
              <w:right w:val="single" w:sz="12" w:space="0" w:color="auto"/>
            </w:tcBorders>
            <w:vAlign w:val="center"/>
          </w:tcPr>
          <w:p w14:paraId="1933BA54" w14:textId="77777777" w:rsidR="009F66BB" w:rsidRPr="00AE0058" w:rsidRDefault="009F66BB" w:rsidP="007E4C79">
            <w:pPr>
              <w:keepNext/>
              <w:jc w:val="right"/>
              <w:rPr>
                <w:color w:val="000000" w:themeColor="text1"/>
                <w:sz w:val="16"/>
                <w:szCs w:val="16"/>
              </w:rPr>
            </w:pPr>
            <w:r>
              <w:rPr>
                <w:color w:val="000000" w:themeColor="text1"/>
                <w:sz w:val="16"/>
                <w:szCs w:val="16"/>
              </w:rPr>
              <w:t xml:space="preserve">-</w:t>
            </w:r>
          </w:p>
        </w:tc>
        <w:tc>
          <w:tcPr>
            <w:tcW w:w="1102" w:type="pct"/>
            <w:tcBorders>
              <w:left w:val="single" w:sz="12" w:space="0" w:color="auto"/>
            </w:tcBorders>
            <w:vAlign w:val="center"/>
          </w:tcPr>
          <w:p w14:paraId="707FF10B" w14:textId="77777777" w:rsidR="009F66BB" w:rsidRPr="00AE0058" w:rsidRDefault="009F66BB" w:rsidP="007E4C79">
            <w:pPr>
              <w:keepNext/>
              <w:jc w:val="right"/>
              <w:rPr>
                <w:color w:val="000000" w:themeColor="text1"/>
                <w:sz w:val="16"/>
                <w:szCs w:val="16"/>
              </w:rPr>
            </w:pPr>
            <w:r>
              <w:rPr>
                <w:color w:val="000000" w:themeColor="text1"/>
                <w:sz w:val="16"/>
                <w:szCs w:val="16"/>
              </w:rPr>
              <w:t xml:space="preserve">0,07</w:t>
            </w:r>
          </w:p>
        </w:tc>
      </w:tr>
      <w:tr w:rsidR="009F66BB" w:rsidRPr="00AE0058" w14:paraId="5FF91064" w14:textId="77777777" w:rsidTr="006C07FA">
        <w:tc>
          <w:tcPr>
            <w:tcW w:w="291" w:type="pct"/>
            <w:vAlign w:val="center"/>
          </w:tcPr>
          <w:p w14:paraId="336F08A8" w14:textId="592D9F09" w:rsidR="009F66BB" w:rsidRPr="00AE0058" w:rsidRDefault="007D5C8F" w:rsidP="007D5C8F">
            <w:pPr>
              <w:rPr>
                <w:color w:val="000000" w:themeColor="text1"/>
                <w:sz w:val="16"/>
                <w:szCs w:val="16"/>
              </w:rPr>
            </w:pPr>
            <w:r>
              <w:rPr>
                <w:color w:val="000000" w:themeColor="text1"/>
                <w:sz w:val="16"/>
                <w:szCs w:val="16"/>
              </w:rPr>
              <w:t xml:space="preserve">15</w:t>
            </w:r>
          </w:p>
        </w:tc>
        <w:tc>
          <w:tcPr>
            <w:tcW w:w="328" w:type="pct"/>
            <w:vAlign w:val="center"/>
          </w:tcPr>
          <w:p w14:paraId="45ABE07C" w14:textId="77777777" w:rsidR="009F66BB" w:rsidRPr="00AE0058" w:rsidRDefault="009F66BB" w:rsidP="00372E31">
            <w:pPr>
              <w:rPr>
                <w:color w:val="000000" w:themeColor="text1"/>
                <w:sz w:val="16"/>
                <w:szCs w:val="16"/>
              </w:rPr>
            </w:pPr>
            <w:r>
              <w:rPr>
                <w:color w:val="000000" w:themeColor="text1"/>
                <w:sz w:val="16"/>
                <w:szCs w:val="16"/>
              </w:rPr>
              <w:t xml:space="preserve">Article 5a, paragraphe 6 UStatG</w:t>
            </w:r>
          </w:p>
        </w:tc>
        <w:tc>
          <w:tcPr>
            <w:tcW w:w="817" w:type="pct"/>
            <w:shd w:val="clear" w:color="auto" w:fill="auto"/>
            <w:vAlign w:val="center"/>
          </w:tcPr>
          <w:p w14:paraId="6DCFCB83" w14:textId="77777777" w:rsidR="009F66BB" w:rsidRPr="00AE0058" w:rsidRDefault="009F66BB" w:rsidP="00372E31">
            <w:pPr>
              <w:rPr>
                <w:color w:val="000000" w:themeColor="text1"/>
                <w:sz w:val="16"/>
                <w:szCs w:val="16"/>
              </w:rPr>
            </w:pPr>
            <w:r>
              <w:rPr>
                <w:color w:val="000000" w:themeColor="text1"/>
                <w:sz w:val="16"/>
                <w:szCs w:val="16"/>
              </w:rPr>
              <w:t xml:space="preserve">Enquête sur la mise sur le marché et l'élimination de certains produits - entreprises, entités et organismes qui collectent et éliminent les produits n</w:t>
            </w:r>
          </w:p>
        </w:tc>
        <w:tc>
          <w:tcPr>
            <w:tcW w:w="512" w:type="pct"/>
            <w:shd w:val="clear" w:color="auto" w:fill="auto"/>
            <w:vAlign w:val="center"/>
          </w:tcPr>
          <w:p w14:paraId="57BF51F5" w14:textId="77777777" w:rsidR="009F66BB" w:rsidRPr="00AE0058" w:rsidRDefault="009F66BB" w:rsidP="00FB2F0D">
            <w:pPr>
              <w:rPr>
                <w:color w:val="000000" w:themeColor="text1"/>
                <w:sz w:val="16"/>
                <w:szCs w:val="16"/>
              </w:rPr>
            </w:pPr>
            <w:r>
              <w:rPr>
                <w:color w:val="000000" w:themeColor="text1"/>
                <w:sz w:val="16"/>
                <w:szCs w:val="16"/>
              </w:rPr>
              <w:t xml:space="preserve">Pays</w:t>
            </w:r>
          </w:p>
        </w:tc>
        <w:tc>
          <w:tcPr>
            <w:tcW w:w="474" w:type="pct"/>
            <w:gridSpan w:val="2"/>
            <w:vAlign w:val="center"/>
          </w:tcPr>
          <w:p w14:paraId="61B7F719" w14:textId="7FEB3763" w:rsidR="009F66BB" w:rsidRPr="00AE0058" w:rsidRDefault="00BF23C2" w:rsidP="00FB2F0D">
            <w:pPr>
              <w:jc w:val="right"/>
              <w:rPr>
                <w:color w:val="000000" w:themeColor="text1"/>
                <w:sz w:val="16"/>
                <w:szCs w:val="16"/>
              </w:rPr>
            </w:pPr>
            <w:r>
              <w:rPr>
                <w:color w:val="000000" w:themeColor="text1"/>
                <w:sz w:val="16"/>
                <w:szCs w:val="16"/>
              </w:rPr>
              <w:t xml:space="preserve">18</w:t>
            </w:r>
          </w:p>
        </w:tc>
        <w:tc>
          <w:tcPr>
            <w:tcW w:w="464" w:type="pct"/>
            <w:vAlign w:val="center"/>
          </w:tcPr>
          <w:p w14:paraId="698F64C7"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476" w:type="pct"/>
            <w:gridSpan w:val="2"/>
            <w:vAlign w:val="center"/>
          </w:tcPr>
          <w:p w14:paraId="3D1A194F"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536" w:type="pct"/>
            <w:tcBorders>
              <w:right w:val="single" w:sz="12" w:space="0" w:color="auto"/>
            </w:tcBorders>
            <w:vAlign w:val="center"/>
          </w:tcPr>
          <w:p w14:paraId="2D49BE92" w14:textId="77777777" w:rsidR="009F66BB" w:rsidRPr="00AE0058" w:rsidRDefault="009F66BB" w:rsidP="00FB2F0D">
            <w:pPr>
              <w:jc w:val="right"/>
              <w:rPr>
                <w:color w:val="000000" w:themeColor="text1"/>
                <w:sz w:val="16"/>
                <w:szCs w:val="16"/>
              </w:rPr>
            </w:pPr>
            <w:r>
              <w:rPr>
                <w:color w:val="000000" w:themeColor="text1"/>
                <w:sz w:val="16"/>
                <w:szCs w:val="16"/>
              </w:rPr>
              <w:t xml:space="preserve">-</w:t>
            </w:r>
          </w:p>
        </w:tc>
        <w:tc>
          <w:tcPr>
            <w:tcW w:w="1102" w:type="pct"/>
            <w:tcBorders>
              <w:left w:val="single" w:sz="12" w:space="0" w:color="auto"/>
            </w:tcBorders>
            <w:vAlign w:val="center"/>
          </w:tcPr>
          <w:p w14:paraId="0120BCD6" w14:textId="0EFB0E32" w:rsidR="009F66BB" w:rsidRPr="00AE0058" w:rsidRDefault="00BF23C2" w:rsidP="00FB2F0D">
            <w:pPr>
              <w:jc w:val="right"/>
              <w:rPr>
                <w:color w:val="000000" w:themeColor="text1"/>
                <w:sz w:val="16"/>
                <w:szCs w:val="16"/>
              </w:rPr>
            </w:pPr>
            <w:r>
              <w:rPr>
                <w:color w:val="000000" w:themeColor="text1"/>
                <w:sz w:val="16"/>
                <w:szCs w:val="16"/>
              </w:rPr>
              <w:t xml:space="preserve">18</w:t>
            </w:r>
          </w:p>
        </w:tc>
      </w:tr>
      <w:tr w:rsidR="009F66BB" w:rsidRPr="00AE0058" w14:paraId="5C22FDAE" w14:textId="77777777" w:rsidTr="006C07FA">
        <w:tc>
          <w:tcPr>
            <w:tcW w:w="1948" w:type="pct"/>
            <w:gridSpan w:val="4"/>
            <w:shd w:val="clear" w:color="auto" w:fill="D9D9D9" w:themeFill="background1" w:themeFillShade="D9"/>
            <w:vAlign w:val="center"/>
          </w:tcPr>
          <w:p w14:paraId="11FC54CD" w14:textId="77777777" w:rsidR="009F66BB" w:rsidRPr="00AE0058" w:rsidRDefault="009F66BB" w:rsidP="00FB2F0D">
            <w:pPr>
              <w:rPr>
                <w:b/>
                <w:color w:val="000000" w:themeColor="text1"/>
                <w:sz w:val="16"/>
                <w:szCs w:val="16"/>
              </w:rPr>
            </w:pPr>
            <w:r>
              <w:rPr>
                <w:b/>
                <w:color w:val="000000" w:themeColor="text1"/>
                <w:sz w:val="16"/>
                <w:szCs w:val="16"/>
              </w:rPr>
              <w:t xml:space="preserve">Total</w:t>
            </w:r>
          </w:p>
        </w:tc>
        <w:tc>
          <w:tcPr>
            <w:tcW w:w="474" w:type="pct"/>
            <w:gridSpan w:val="2"/>
            <w:shd w:val="clear" w:color="auto" w:fill="D9D9D9" w:themeFill="background1" w:themeFillShade="D9"/>
            <w:vAlign w:val="center"/>
          </w:tcPr>
          <w:p w14:paraId="184E0502" w14:textId="0A86D6AB" w:rsidR="009F66BB" w:rsidRPr="00AE0058" w:rsidRDefault="00BF23C2" w:rsidP="00FB2F0D">
            <w:pPr>
              <w:jc w:val="right"/>
              <w:rPr>
                <w:b/>
                <w:bCs/>
                <w:color w:val="000000" w:themeColor="text1"/>
                <w:sz w:val="16"/>
                <w:szCs w:val="16"/>
              </w:rPr>
            </w:pPr>
            <w:r>
              <w:rPr>
                <w:b/>
                <w:bCs/>
                <w:color w:val="000000" w:themeColor="text1"/>
                <w:sz w:val="16"/>
                <w:szCs w:val="16"/>
              </w:rPr>
              <w:t xml:space="preserve">18</w:t>
            </w:r>
          </w:p>
        </w:tc>
        <w:tc>
          <w:tcPr>
            <w:tcW w:w="464" w:type="pct"/>
            <w:shd w:val="clear" w:color="auto" w:fill="D9D9D9" w:themeFill="background1" w:themeFillShade="D9"/>
            <w:vAlign w:val="center"/>
          </w:tcPr>
          <w:p w14:paraId="0422CA9D" w14:textId="77777777" w:rsidR="009F66BB" w:rsidRPr="00AE0058" w:rsidRDefault="009F66BB" w:rsidP="00FB2F0D">
            <w:pPr>
              <w:jc w:val="right"/>
              <w:rPr>
                <w:b/>
                <w:bCs/>
                <w:color w:val="000000" w:themeColor="text1"/>
                <w:sz w:val="16"/>
                <w:szCs w:val="16"/>
              </w:rPr>
            </w:pPr>
            <w:r>
              <w:rPr>
                <w:b/>
                <w:bCs/>
                <w:color w:val="000000" w:themeColor="text1"/>
                <w:sz w:val="16"/>
                <w:szCs w:val="16"/>
              </w:rPr>
              <w:t xml:space="preserve">-</w:t>
            </w:r>
          </w:p>
        </w:tc>
        <w:tc>
          <w:tcPr>
            <w:tcW w:w="476" w:type="pct"/>
            <w:gridSpan w:val="2"/>
            <w:shd w:val="clear" w:color="auto" w:fill="D9D9D9" w:themeFill="background1" w:themeFillShade="D9"/>
            <w:vAlign w:val="center"/>
          </w:tcPr>
          <w:p w14:paraId="45C394F1" w14:textId="77777777" w:rsidR="009F66BB" w:rsidRPr="00AE0058" w:rsidRDefault="009F66BB" w:rsidP="00FB2F0D">
            <w:pPr>
              <w:jc w:val="right"/>
              <w:rPr>
                <w:b/>
                <w:bCs/>
                <w:color w:val="000000" w:themeColor="text1"/>
                <w:sz w:val="16"/>
                <w:szCs w:val="16"/>
              </w:rPr>
            </w:pPr>
            <w:r>
              <w:rPr>
                <w:b/>
                <w:bCs/>
                <w:color w:val="000000" w:themeColor="text1"/>
                <w:sz w:val="16"/>
                <w:szCs w:val="16"/>
              </w:rPr>
              <w:t xml:space="preserve">-</w:t>
            </w:r>
          </w:p>
        </w:tc>
        <w:tc>
          <w:tcPr>
            <w:tcW w:w="536" w:type="pct"/>
            <w:tcBorders>
              <w:right w:val="single" w:sz="12" w:space="0" w:color="auto"/>
            </w:tcBorders>
            <w:shd w:val="clear" w:color="auto" w:fill="D9D9D9" w:themeFill="background1" w:themeFillShade="D9"/>
            <w:vAlign w:val="center"/>
          </w:tcPr>
          <w:p w14:paraId="7B35CC52" w14:textId="77777777" w:rsidR="009F66BB" w:rsidRPr="00AE0058" w:rsidRDefault="009F66BB" w:rsidP="00FB2F0D">
            <w:pPr>
              <w:jc w:val="right"/>
              <w:rPr>
                <w:b/>
                <w:bCs/>
                <w:color w:val="000000" w:themeColor="text1"/>
                <w:sz w:val="16"/>
                <w:szCs w:val="16"/>
              </w:rPr>
            </w:pPr>
            <w:r>
              <w:rPr>
                <w:b/>
                <w:bCs/>
                <w:color w:val="000000" w:themeColor="text1"/>
                <w:sz w:val="16"/>
                <w:szCs w:val="16"/>
              </w:rPr>
              <w:t xml:space="preserve">-</w:t>
            </w:r>
          </w:p>
        </w:tc>
        <w:tc>
          <w:tcPr>
            <w:tcW w:w="1102" w:type="pct"/>
            <w:tcBorders>
              <w:left w:val="single" w:sz="12" w:space="0" w:color="auto"/>
            </w:tcBorders>
            <w:shd w:val="clear" w:color="auto" w:fill="D9D9D9" w:themeFill="background1" w:themeFillShade="D9"/>
            <w:vAlign w:val="center"/>
          </w:tcPr>
          <w:p w14:paraId="59EC5FC5" w14:textId="5E968D00" w:rsidR="009F66BB" w:rsidRPr="00AE0058" w:rsidRDefault="00BF23C2" w:rsidP="00FB2F0D">
            <w:pPr>
              <w:jc w:val="right"/>
              <w:rPr>
                <w:b/>
                <w:bCs/>
                <w:color w:val="000000" w:themeColor="text1"/>
                <w:sz w:val="16"/>
                <w:szCs w:val="16"/>
              </w:rPr>
            </w:pPr>
            <w:r>
              <w:rPr>
                <w:b/>
                <w:bCs/>
                <w:color w:val="000000" w:themeColor="text1"/>
                <w:sz w:val="16"/>
                <w:szCs w:val="16"/>
              </w:rPr>
              <w:t xml:space="preserve">18</w:t>
            </w:r>
          </w:p>
        </w:tc>
      </w:tr>
      <w:tr w:rsidR="009F66BB" w:rsidRPr="00AE0058" w14:paraId="42F4B7F2" w14:textId="77777777" w:rsidTr="006C07FA">
        <w:tc>
          <w:tcPr>
            <w:tcW w:w="1948" w:type="pct"/>
            <w:gridSpan w:val="4"/>
            <w:shd w:val="clear" w:color="auto" w:fill="F2F2F2" w:themeFill="background1" w:themeFillShade="F2"/>
            <w:vAlign w:val="center"/>
          </w:tcPr>
          <w:p w14:paraId="456AD261" w14:textId="7F4A9A6B" w:rsidR="009F66BB" w:rsidRPr="00AE0058" w:rsidRDefault="009F66BB" w:rsidP="00F031E5">
            <w:pPr>
              <w:jc w:val="right"/>
              <w:rPr>
                <w:color w:val="000000" w:themeColor="text1"/>
                <w:sz w:val="16"/>
                <w:szCs w:val="16"/>
              </w:rPr>
            </w:pPr>
            <w:r>
              <w:rPr>
                <w:color w:val="000000" w:themeColor="text1"/>
                <w:sz w:val="16"/>
                <w:szCs w:val="16"/>
              </w:rPr>
              <w:t xml:space="preserve">dont au niveau fédéral</w:t>
            </w:r>
          </w:p>
        </w:tc>
        <w:tc>
          <w:tcPr>
            <w:tcW w:w="474" w:type="pct"/>
            <w:gridSpan w:val="2"/>
            <w:shd w:val="clear" w:color="auto" w:fill="F2F2F2" w:themeFill="background1" w:themeFillShade="F2"/>
            <w:vAlign w:val="center"/>
          </w:tcPr>
          <w:p w14:paraId="2E15A8BC" w14:textId="77777777" w:rsidR="009F66BB" w:rsidRPr="00AE0058" w:rsidRDefault="009F66BB" w:rsidP="00FB2F0D">
            <w:pPr>
              <w:jc w:val="right"/>
              <w:rPr>
                <w:bCs/>
                <w:color w:val="000000" w:themeColor="text1"/>
                <w:sz w:val="16"/>
                <w:szCs w:val="16"/>
              </w:rPr>
            </w:pPr>
            <w:r>
              <w:rPr>
                <w:bCs/>
                <w:color w:val="000000" w:themeColor="text1"/>
                <w:sz w:val="16"/>
                <w:szCs w:val="16"/>
              </w:rPr>
              <w:t xml:space="preserve">0,07</w:t>
            </w:r>
          </w:p>
        </w:tc>
        <w:tc>
          <w:tcPr>
            <w:tcW w:w="464" w:type="pct"/>
            <w:shd w:val="clear" w:color="auto" w:fill="F2F2F2" w:themeFill="background1" w:themeFillShade="F2"/>
            <w:vAlign w:val="center"/>
          </w:tcPr>
          <w:p w14:paraId="0FF6F171" w14:textId="77777777" w:rsidR="009F66BB" w:rsidRPr="00AE0058" w:rsidRDefault="009F66BB" w:rsidP="00FB2F0D">
            <w:pPr>
              <w:jc w:val="right"/>
              <w:rPr>
                <w:bCs/>
                <w:color w:val="000000" w:themeColor="text1"/>
                <w:sz w:val="16"/>
                <w:szCs w:val="16"/>
              </w:rPr>
            </w:pPr>
            <w:r>
              <w:rPr>
                <w:bCs/>
                <w:color w:val="000000" w:themeColor="text1"/>
                <w:sz w:val="16"/>
                <w:szCs w:val="16"/>
              </w:rPr>
              <w:t xml:space="preserve">-</w:t>
            </w:r>
          </w:p>
        </w:tc>
        <w:tc>
          <w:tcPr>
            <w:tcW w:w="476" w:type="pct"/>
            <w:gridSpan w:val="2"/>
            <w:shd w:val="clear" w:color="auto" w:fill="F2F2F2" w:themeFill="background1" w:themeFillShade="F2"/>
            <w:vAlign w:val="center"/>
          </w:tcPr>
          <w:p w14:paraId="0F9937EC" w14:textId="77777777" w:rsidR="009F66BB" w:rsidRPr="00AE0058" w:rsidRDefault="009F66BB" w:rsidP="00FB2F0D">
            <w:pPr>
              <w:jc w:val="right"/>
              <w:rPr>
                <w:bCs/>
                <w:color w:val="000000" w:themeColor="text1"/>
                <w:sz w:val="16"/>
                <w:szCs w:val="16"/>
              </w:rPr>
            </w:pPr>
            <w:r>
              <w:rPr>
                <w:bCs/>
                <w:color w:val="000000" w:themeColor="text1"/>
                <w:sz w:val="16"/>
                <w:szCs w:val="16"/>
              </w:rPr>
              <w:t xml:space="preserve">-</w:t>
            </w:r>
          </w:p>
        </w:tc>
        <w:tc>
          <w:tcPr>
            <w:tcW w:w="536" w:type="pct"/>
            <w:tcBorders>
              <w:right w:val="single" w:sz="12" w:space="0" w:color="auto"/>
            </w:tcBorders>
            <w:shd w:val="clear" w:color="auto" w:fill="F2F2F2" w:themeFill="background1" w:themeFillShade="F2"/>
            <w:vAlign w:val="center"/>
          </w:tcPr>
          <w:p w14:paraId="0403113C" w14:textId="77777777" w:rsidR="009F66BB" w:rsidRPr="00AE0058" w:rsidRDefault="009F66BB" w:rsidP="00FB2F0D">
            <w:pPr>
              <w:jc w:val="right"/>
              <w:rPr>
                <w:bCs/>
                <w:color w:val="000000" w:themeColor="text1"/>
                <w:sz w:val="16"/>
                <w:szCs w:val="16"/>
              </w:rPr>
            </w:pPr>
            <w:r>
              <w:rPr>
                <w:bCs/>
                <w:color w:val="000000" w:themeColor="text1"/>
                <w:sz w:val="16"/>
                <w:szCs w:val="16"/>
              </w:rPr>
              <w:t xml:space="preserve">-</w:t>
            </w:r>
          </w:p>
        </w:tc>
        <w:tc>
          <w:tcPr>
            <w:tcW w:w="1102" w:type="pct"/>
            <w:tcBorders>
              <w:left w:val="single" w:sz="12" w:space="0" w:color="auto"/>
            </w:tcBorders>
            <w:shd w:val="clear" w:color="auto" w:fill="F2F2F2" w:themeFill="background1" w:themeFillShade="F2"/>
            <w:vAlign w:val="center"/>
          </w:tcPr>
          <w:p w14:paraId="04B8DCA1" w14:textId="77777777" w:rsidR="009F66BB" w:rsidRPr="00AE0058" w:rsidRDefault="009F66BB" w:rsidP="00FB2F0D">
            <w:pPr>
              <w:jc w:val="right"/>
              <w:rPr>
                <w:bCs/>
                <w:color w:val="000000" w:themeColor="text1"/>
                <w:sz w:val="16"/>
                <w:szCs w:val="16"/>
              </w:rPr>
            </w:pPr>
            <w:r>
              <w:rPr>
                <w:bCs/>
                <w:color w:val="000000" w:themeColor="text1"/>
                <w:sz w:val="16"/>
                <w:szCs w:val="16"/>
              </w:rPr>
              <w:t xml:space="preserve">0,07</w:t>
            </w:r>
          </w:p>
        </w:tc>
      </w:tr>
      <w:tr w:rsidR="009F66BB" w:rsidRPr="00AE0058" w14:paraId="0A33DEE6" w14:textId="77777777" w:rsidTr="006C07FA">
        <w:tc>
          <w:tcPr>
            <w:tcW w:w="1948" w:type="pct"/>
            <w:gridSpan w:val="4"/>
            <w:shd w:val="clear" w:color="auto" w:fill="F2F2F2" w:themeFill="background1" w:themeFillShade="F2"/>
            <w:vAlign w:val="center"/>
          </w:tcPr>
          <w:p w14:paraId="4141A63E" w14:textId="6C12EB43" w:rsidR="009F66BB" w:rsidRPr="00AE0058" w:rsidRDefault="009F66BB" w:rsidP="00F031E5">
            <w:pPr>
              <w:jc w:val="right"/>
              <w:rPr>
                <w:color w:val="000000" w:themeColor="text1"/>
                <w:sz w:val="16"/>
                <w:szCs w:val="16"/>
              </w:rPr>
            </w:pPr>
            <w:r>
              <w:rPr>
                <w:color w:val="000000" w:themeColor="text1"/>
                <w:sz w:val="16"/>
                <w:szCs w:val="16"/>
              </w:rPr>
              <w:t xml:space="preserve">dont au niveau des Länder</w:t>
            </w:r>
          </w:p>
        </w:tc>
        <w:tc>
          <w:tcPr>
            <w:tcW w:w="474" w:type="pct"/>
            <w:gridSpan w:val="2"/>
            <w:shd w:val="clear" w:color="auto" w:fill="F2F2F2" w:themeFill="background1" w:themeFillShade="F2"/>
            <w:vAlign w:val="center"/>
          </w:tcPr>
          <w:p w14:paraId="0E935E83" w14:textId="6BDCA90F" w:rsidR="009F66BB" w:rsidRPr="00AE0058" w:rsidRDefault="00BF23C2" w:rsidP="00FB2F0D">
            <w:pPr>
              <w:jc w:val="right"/>
              <w:rPr>
                <w:bCs/>
                <w:color w:val="000000" w:themeColor="text1"/>
                <w:sz w:val="16"/>
                <w:szCs w:val="16"/>
              </w:rPr>
            </w:pPr>
            <w:r>
              <w:rPr>
                <w:bCs/>
                <w:color w:val="000000" w:themeColor="text1"/>
                <w:sz w:val="16"/>
                <w:szCs w:val="16"/>
              </w:rPr>
              <w:t xml:space="preserve">18</w:t>
            </w:r>
          </w:p>
        </w:tc>
        <w:tc>
          <w:tcPr>
            <w:tcW w:w="464" w:type="pct"/>
            <w:shd w:val="clear" w:color="auto" w:fill="F2F2F2" w:themeFill="background1" w:themeFillShade="F2"/>
            <w:vAlign w:val="center"/>
          </w:tcPr>
          <w:p w14:paraId="469D6DBA" w14:textId="77777777" w:rsidR="009F66BB" w:rsidRPr="00AE0058" w:rsidRDefault="009F66BB" w:rsidP="00FB2F0D">
            <w:pPr>
              <w:jc w:val="right"/>
              <w:rPr>
                <w:bCs/>
                <w:color w:val="000000" w:themeColor="text1"/>
                <w:sz w:val="16"/>
                <w:szCs w:val="16"/>
              </w:rPr>
            </w:pPr>
            <w:r>
              <w:rPr>
                <w:bCs/>
                <w:color w:val="000000" w:themeColor="text1"/>
                <w:sz w:val="16"/>
                <w:szCs w:val="16"/>
              </w:rPr>
              <w:t xml:space="preserve">-</w:t>
            </w:r>
          </w:p>
        </w:tc>
        <w:tc>
          <w:tcPr>
            <w:tcW w:w="476" w:type="pct"/>
            <w:gridSpan w:val="2"/>
            <w:shd w:val="clear" w:color="auto" w:fill="F2F2F2" w:themeFill="background1" w:themeFillShade="F2"/>
            <w:vAlign w:val="center"/>
          </w:tcPr>
          <w:p w14:paraId="208763DF" w14:textId="77777777" w:rsidR="009F66BB" w:rsidRPr="00AE0058" w:rsidRDefault="009F66BB" w:rsidP="00FB2F0D">
            <w:pPr>
              <w:jc w:val="right"/>
              <w:rPr>
                <w:bCs/>
                <w:color w:val="000000" w:themeColor="text1"/>
                <w:sz w:val="16"/>
                <w:szCs w:val="16"/>
              </w:rPr>
            </w:pPr>
            <w:r>
              <w:rPr>
                <w:bCs/>
                <w:color w:val="000000" w:themeColor="text1"/>
                <w:sz w:val="16"/>
                <w:szCs w:val="16"/>
              </w:rPr>
              <w:t xml:space="preserve">-</w:t>
            </w:r>
          </w:p>
        </w:tc>
        <w:tc>
          <w:tcPr>
            <w:tcW w:w="536" w:type="pct"/>
            <w:tcBorders>
              <w:right w:val="single" w:sz="12" w:space="0" w:color="auto"/>
            </w:tcBorders>
            <w:shd w:val="clear" w:color="auto" w:fill="F2F2F2" w:themeFill="background1" w:themeFillShade="F2"/>
            <w:vAlign w:val="center"/>
          </w:tcPr>
          <w:p w14:paraId="050F19B0" w14:textId="77777777" w:rsidR="009F66BB" w:rsidRPr="00AE0058" w:rsidRDefault="009F66BB" w:rsidP="00FB2F0D">
            <w:pPr>
              <w:jc w:val="right"/>
              <w:rPr>
                <w:bCs/>
                <w:color w:val="000000" w:themeColor="text1"/>
                <w:sz w:val="16"/>
                <w:szCs w:val="16"/>
              </w:rPr>
            </w:pPr>
            <w:r>
              <w:rPr>
                <w:bCs/>
                <w:color w:val="000000" w:themeColor="text1"/>
                <w:sz w:val="16"/>
                <w:szCs w:val="16"/>
              </w:rPr>
              <w:t xml:space="preserve">-</w:t>
            </w:r>
          </w:p>
        </w:tc>
        <w:tc>
          <w:tcPr>
            <w:tcW w:w="1102" w:type="pct"/>
            <w:tcBorders>
              <w:left w:val="single" w:sz="12" w:space="0" w:color="auto"/>
            </w:tcBorders>
            <w:shd w:val="clear" w:color="auto" w:fill="F2F2F2" w:themeFill="background1" w:themeFillShade="F2"/>
            <w:vAlign w:val="center"/>
          </w:tcPr>
          <w:p w14:paraId="2F5926D7" w14:textId="780F05B3" w:rsidR="009F66BB" w:rsidRPr="00AE0058" w:rsidRDefault="00BF23C2" w:rsidP="00FB2F0D">
            <w:pPr>
              <w:jc w:val="right"/>
              <w:rPr>
                <w:bCs/>
                <w:color w:val="000000" w:themeColor="text1"/>
                <w:sz w:val="16"/>
                <w:szCs w:val="16"/>
              </w:rPr>
            </w:pPr>
            <w:r>
              <w:rPr>
                <w:bCs/>
                <w:color w:val="000000" w:themeColor="text1"/>
                <w:sz w:val="16"/>
                <w:szCs w:val="16"/>
              </w:rPr>
              <w:t xml:space="preserve">18</w:t>
            </w:r>
          </w:p>
        </w:tc>
      </w:tr>
    </w:tbl>
    <w:p w14:paraId="02FADA67" w14:textId="1A94C803" w:rsidR="009F66BB" w:rsidRPr="00AE0058" w:rsidRDefault="009F66BB" w:rsidP="00AD27DC">
      <w:pPr>
        <w:spacing w:line="360" w:lineRule="auto"/>
        <w:rPr>
          <w:rFonts w:ascii="MetaNormalLF-Roman" w:eastAsia="Times New Roman" w:hAnsi="MetaNormalLF-Roman" w:cs="Times New Roman"/>
          <w:color w:val="000000" w:themeColor="text1"/>
          <w:lang w:eastAsia="de-DE"/>
        </w:rPr>
      </w:pPr>
    </w:p>
    <w:p w14:paraId="35B2EB49" w14:textId="77777777" w:rsidR="008A066F" w:rsidRPr="00AE0058" w:rsidRDefault="00FB2F0D" w:rsidP="00C65795">
      <w:pPr>
        <w:pStyle w:val="Text"/>
        <w:keepNext/>
        <w:rPr>
          <w:i/>
          <w:color w:val="000000" w:themeColor="text1"/>
          <w:u w:val="single"/>
          <w:rFonts w:ascii="MetaNormalLF-Roman" w:hAnsi="MetaNormalLF-Roman"/>
        </w:rPr>
      </w:pPr>
      <w:r>
        <w:rPr>
          <w:i/>
          <w:color w:val="000000" w:themeColor="text1"/>
          <w:u w:val="single"/>
          <w:rFonts w:ascii="MetaNormalLF-Roman" w:hAnsi="MetaNormalLF-Roman"/>
        </w:rPr>
        <w:t xml:space="preserve">Groupe de cas B:</w:t>
      </w:r>
      <w:r>
        <w:rPr>
          <w:i/>
          <w:color w:val="000000" w:themeColor="text1"/>
          <w:u w:val="single"/>
          <w:rFonts w:ascii="MetaNormalLF-Roman" w:hAnsi="MetaNormalLF-Roman"/>
        </w:rPr>
        <w:t xml:space="preserve"> </w:t>
      </w:r>
      <w:r>
        <w:rPr>
          <w:i/>
          <w:color w:val="000000" w:themeColor="text1"/>
          <w:u w:val="single"/>
          <w:rFonts w:ascii="MetaNormalLF-Roman" w:hAnsi="MetaNormalLF-Roman"/>
        </w:rPr>
        <w:t xml:space="preserve">Statistiques sur la gestion de l'eau et les substances ayant un impact sur le climat</w:t>
      </w:r>
      <w:r>
        <w:rPr>
          <w:i/>
          <w:color w:val="000000" w:themeColor="text1"/>
          <w:u w:val="single"/>
          <w:rFonts w:ascii="MetaNormalLF-Roman" w:hAnsi="MetaNormalLF-Roman"/>
        </w:rPr>
        <w:t xml:space="preserve"> </w:t>
      </w:r>
    </w:p>
    <w:p w14:paraId="4E6F487D" w14:textId="4A188E13" w:rsidR="00FB2F0D" w:rsidRPr="00AE0058" w:rsidRDefault="00FB2F0D" w:rsidP="00FB2F0D">
      <w:pPr>
        <w:pStyle w:val="Text"/>
        <w:rPr>
          <w:rStyle w:val="Marker"/>
          <w:color w:val="000000" w:themeColor="text1"/>
        </w:rPr>
      </w:pPr>
      <w:r>
        <w:rPr>
          <w:rStyle w:val="Marker"/>
          <w:color w:val="000000" w:themeColor="text1"/>
        </w:rPr>
        <w:t xml:space="preserve">Les modifications des statistiques sur l'eau entrainent une modification de la charge d'exécution annuelle de 41 000 euros.</w:t>
      </w:r>
      <w:r>
        <w:rPr>
          <w:rStyle w:val="Marker"/>
          <w:color w:val="000000" w:themeColor="text1"/>
        </w:rPr>
        <w:t xml:space="preserve"> </w:t>
      </w:r>
      <w:r>
        <w:rPr>
          <w:rStyle w:val="Marker"/>
          <w:color w:val="000000" w:themeColor="text1"/>
        </w:rPr>
        <w:t xml:space="preserve">La figure suivante représente le groupe de cas B - Statistiques sur l'eau pour le destinataire Administration en fonction des différentes dispositions.</w:t>
      </w:r>
      <w:r>
        <w:rPr>
          <w:rStyle w:val="Marker"/>
          <w:color w:val="000000" w:themeColor="text1"/>
        </w:rPr>
        <w:t xml:space="preserve"> </w:t>
      </w:r>
    </w:p>
    <w:p w14:paraId="1E3CD12F" w14:textId="71874B73" w:rsidR="00BD6352" w:rsidRPr="00AE0058" w:rsidRDefault="00BD6352" w:rsidP="00C65795">
      <w:pPr>
        <w:pStyle w:val="Caption"/>
        <w:keepNext/>
        <w:rPr>
          <w:b/>
          <w:color w:val="000000" w:themeColor="text1"/>
        </w:rPr>
      </w:pPr>
      <w:r>
        <w:rPr>
          <w:b/>
          <w:color w:val="000000" w:themeColor="text1"/>
        </w:rPr>
        <w:t xml:space="preserve">Tableau 8:</w:t>
      </w:r>
      <w:r>
        <w:rPr>
          <w:b/>
          <w:color w:val="000000" w:themeColor="text1"/>
        </w:rPr>
        <w:t xml:space="preserve"> </w:t>
      </w:r>
      <w:r>
        <w:rPr>
          <w:b/>
          <w:color w:val="000000" w:themeColor="text1"/>
        </w:rPr>
        <w:t xml:space="preserve">Groupe de cas B – Statistiques sur la gestion de l'eau et les substances ayant un impact sur le climat; charge d'exécution annuelle pour les autres administrations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4"/>
        <w:gridCol w:w="832"/>
        <w:gridCol w:w="1020"/>
        <w:gridCol w:w="1021"/>
        <w:gridCol w:w="810"/>
        <w:gridCol w:w="12"/>
        <w:gridCol w:w="805"/>
        <w:gridCol w:w="810"/>
        <w:gridCol w:w="16"/>
        <w:gridCol w:w="929"/>
        <w:gridCol w:w="1911"/>
      </w:tblGrid>
      <w:tr w:rsidR="00FB2F0D" w:rsidRPr="00AE0058" w14:paraId="7781126A" w14:textId="77777777" w:rsidTr="006C07FA">
        <w:tc>
          <w:tcPr>
            <w:tcW w:w="291" w:type="pct"/>
            <w:shd w:val="clear" w:color="auto" w:fill="D9D9D9" w:themeFill="background1" w:themeFillShade="D9"/>
            <w:vAlign w:val="center"/>
          </w:tcPr>
          <w:p w14:paraId="1E31AF86" w14:textId="77777777" w:rsidR="00FB2F0D" w:rsidRPr="00AE0058" w:rsidRDefault="00FB2F0D" w:rsidP="00C65795">
            <w:pPr>
              <w:keepNext/>
              <w:rPr>
                <w:b/>
                <w:color w:val="000000" w:themeColor="text1"/>
                <w:sz w:val="16"/>
                <w:szCs w:val="16"/>
              </w:rPr>
            </w:pPr>
          </w:p>
        </w:tc>
        <w:tc>
          <w:tcPr>
            <w:tcW w:w="480" w:type="pct"/>
            <w:shd w:val="clear" w:color="auto" w:fill="D9D9D9" w:themeFill="background1" w:themeFillShade="D9"/>
            <w:vAlign w:val="center"/>
          </w:tcPr>
          <w:p w14:paraId="73276B0A" w14:textId="77777777" w:rsidR="00FB2F0D" w:rsidRPr="00AE0058" w:rsidRDefault="00FB2F0D" w:rsidP="00C65795">
            <w:pPr>
              <w:keepNext/>
              <w:rPr>
                <w:b/>
                <w:color w:val="000000" w:themeColor="text1"/>
                <w:sz w:val="16"/>
                <w:szCs w:val="16"/>
              </w:rPr>
            </w:pPr>
          </w:p>
        </w:tc>
        <w:tc>
          <w:tcPr>
            <w:tcW w:w="588" w:type="pct"/>
            <w:shd w:val="clear" w:color="auto" w:fill="D9D9D9" w:themeFill="background1" w:themeFillShade="D9"/>
            <w:vAlign w:val="center"/>
          </w:tcPr>
          <w:p w14:paraId="4A4243C9" w14:textId="77777777" w:rsidR="00FB2F0D" w:rsidRPr="00AE0058" w:rsidRDefault="00FB2F0D" w:rsidP="00C65795">
            <w:pPr>
              <w:keepNext/>
              <w:rPr>
                <w:b/>
                <w:color w:val="000000" w:themeColor="text1"/>
                <w:sz w:val="16"/>
                <w:szCs w:val="16"/>
              </w:rPr>
            </w:pPr>
          </w:p>
        </w:tc>
        <w:tc>
          <w:tcPr>
            <w:tcW w:w="588" w:type="pct"/>
            <w:shd w:val="clear" w:color="auto" w:fill="D9D9D9" w:themeFill="background1" w:themeFillShade="D9"/>
            <w:vAlign w:val="center"/>
          </w:tcPr>
          <w:p w14:paraId="6B2F5840" w14:textId="77777777" w:rsidR="00FB2F0D" w:rsidRPr="00AE0058" w:rsidRDefault="00FB2F0D" w:rsidP="00C65795">
            <w:pPr>
              <w:keepNext/>
              <w:rPr>
                <w:b/>
                <w:color w:val="000000" w:themeColor="text1"/>
                <w:sz w:val="16"/>
                <w:szCs w:val="16"/>
              </w:rPr>
            </w:pPr>
          </w:p>
        </w:tc>
        <w:tc>
          <w:tcPr>
            <w:tcW w:w="938" w:type="pct"/>
            <w:gridSpan w:val="3"/>
            <w:shd w:val="clear" w:color="auto" w:fill="D9D9D9" w:themeFill="background1" w:themeFillShade="D9"/>
            <w:vAlign w:val="center"/>
          </w:tcPr>
          <w:p w14:paraId="12596E1D" w14:textId="77777777" w:rsidR="00FB2F0D" w:rsidRPr="00AE0058" w:rsidRDefault="00FB2F0D" w:rsidP="00C65795">
            <w:pPr>
              <w:keepNext/>
              <w:rPr>
                <w:b/>
                <w:color w:val="000000" w:themeColor="text1"/>
                <w:sz w:val="16"/>
                <w:szCs w:val="16"/>
              </w:rPr>
            </w:pPr>
            <w:r>
              <w:rPr>
                <w:b/>
                <w:color w:val="000000" w:themeColor="text1"/>
                <w:sz w:val="16"/>
                <w:szCs w:val="16"/>
              </w:rPr>
              <w:t xml:space="preserve">Supplément de charge annuel</w:t>
            </w:r>
          </w:p>
        </w:tc>
        <w:tc>
          <w:tcPr>
            <w:tcW w:w="1012" w:type="pct"/>
            <w:gridSpan w:val="3"/>
            <w:tcBorders>
              <w:right w:val="single" w:sz="12" w:space="0" w:color="auto"/>
            </w:tcBorders>
            <w:shd w:val="clear" w:color="auto" w:fill="D9D9D9" w:themeFill="background1" w:themeFillShade="D9"/>
            <w:vAlign w:val="center"/>
          </w:tcPr>
          <w:p w14:paraId="0BE20084" w14:textId="77777777" w:rsidR="00FB2F0D" w:rsidRPr="00AE0058" w:rsidRDefault="00FB2F0D" w:rsidP="00C65795">
            <w:pPr>
              <w:keepNext/>
              <w:rPr>
                <w:b/>
                <w:color w:val="000000" w:themeColor="text1"/>
                <w:sz w:val="16"/>
                <w:szCs w:val="16"/>
              </w:rPr>
            </w:pPr>
            <w:r>
              <w:rPr>
                <w:b/>
                <w:color w:val="000000" w:themeColor="text1"/>
                <w:sz w:val="16"/>
                <w:szCs w:val="16"/>
              </w:rPr>
              <w:t xml:space="preserve">Réduction de charge annuelle</w:t>
            </w:r>
          </w:p>
        </w:tc>
        <w:tc>
          <w:tcPr>
            <w:tcW w:w="1102" w:type="pct"/>
            <w:tcBorders>
              <w:left w:val="single" w:sz="12" w:space="0" w:color="auto"/>
            </w:tcBorders>
            <w:shd w:val="clear" w:color="auto" w:fill="D9D9D9" w:themeFill="background1" w:themeFillShade="D9"/>
            <w:vAlign w:val="center"/>
          </w:tcPr>
          <w:p w14:paraId="783A8158" w14:textId="77777777" w:rsidR="00FB2F0D" w:rsidRPr="00AE0058" w:rsidRDefault="00FB2F0D" w:rsidP="00C65795">
            <w:pPr>
              <w:keepNext/>
              <w:rPr>
                <w:b/>
                <w:color w:val="000000" w:themeColor="text1"/>
                <w:sz w:val="16"/>
                <w:szCs w:val="16"/>
              </w:rPr>
            </w:pPr>
            <w:r>
              <w:rPr>
                <w:b/>
                <w:color w:val="000000" w:themeColor="text1"/>
                <w:sz w:val="16"/>
                <w:szCs w:val="16"/>
              </w:rPr>
              <w:t xml:space="preserve">Modification de la charge d'exécution annuelle</w:t>
            </w:r>
          </w:p>
        </w:tc>
      </w:tr>
      <w:tr w:rsidR="00FB2F0D" w:rsidRPr="00AE0058" w14:paraId="1A757E97" w14:textId="77777777" w:rsidTr="006C07FA">
        <w:tc>
          <w:tcPr>
            <w:tcW w:w="291" w:type="pct"/>
            <w:shd w:val="clear" w:color="auto" w:fill="D9D9D9" w:themeFill="background1" w:themeFillShade="D9"/>
            <w:vAlign w:val="center"/>
          </w:tcPr>
          <w:p w14:paraId="2DAC59AE" w14:textId="77777777" w:rsidR="00FB2F0D" w:rsidRPr="00AE0058" w:rsidRDefault="00FB2F0D" w:rsidP="00C65795">
            <w:pPr>
              <w:keepNext/>
              <w:rPr>
                <w:b/>
                <w:color w:val="000000" w:themeColor="text1"/>
                <w:sz w:val="16"/>
                <w:szCs w:val="16"/>
              </w:rPr>
            </w:pPr>
            <w:r>
              <w:rPr>
                <w:b/>
                <w:color w:val="000000" w:themeColor="text1"/>
                <w:sz w:val="16"/>
                <w:szCs w:val="16"/>
              </w:rPr>
              <w:t xml:space="preserve">Disposition</w:t>
            </w:r>
          </w:p>
        </w:tc>
        <w:tc>
          <w:tcPr>
            <w:tcW w:w="480" w:type="pct"/>
            <w:shd w:val="clear" w:color="auto" w:fill="D9D9D9" w:themeFill="background1" w:themeFillShade="D9"/>
            <w:vAlign w:val="center"/>
          </w:tcPr>
          <w:p w14:paraId="47F934B6" w14:textId="77777777" w:rsidR="00FB2F0D" w:rsidRPr="00AE0058" w:rsidRDefault="00FB2F0D" w:rsidP="00C65795">
            <w:pPr>
              <w:keepNext/>
              <w:rPr>
                <w:b/>
                <w:color w:val="000000" w:themeColor="text1"/>
                <w:sz w:val="16"/>
                <w:szCs w:val="16"/>
              </w:rPr>
            </w:pPr>
            <w:r>
              <w:rPr>
                <w:b/>
                <w:color w:val="000000" w:themeColor="text1"/>
                <w:sz w:val="16"/>
                <w:szCs w:val="16"/>
              </w:rPr>
              <w:t xml:space="preserve">Paragraphe</w:t>
            </w:r>
          </w:p>
        </w:tc>
        <w:tc>
          <w:tcPr>
            <w:tcW w:w="588" w:type="pct"/>
            <w:shd w:val="clear" w:color="auto" w:fill="D9D9D9" w:themeFill="background1" w:themeFillShade="D9"/>
            <w:vAlign w:val="center"/>
          </w:tcPr>
          <w:p w14:paraId="3E68156A" w14:textId="77777777" w:rsidR="00FB2F0D" w:rsidRPr="00AE0058" w:rsidRDefault="00FB2F0D" w:rsidP="00C65795">
            <w:pPr>
              <w:keepNext/>
              <w:rPr>
                <w:b/>
                <w:color w:val="000000" w:themeColor="text1"/>
                <w:sz w:val="16"/>
                <w:szCs w:val="16"/>
              </w:rPr>
            </w:pPr>
            <w:r>
              <w:rPr>
                <w:b/>
                <w:color w:val="000000" w:themeColor="text1"/>
                <w:sz w:val="16"/>
                <w:szCs w:val="16"/>
              </w:rPr>
              <w:t xml:space="preserve">Désignation de la disposition</w:t>
            </w:r>
          </w:p>
        </w:tc>
        <w:tc>
          <w:tcPr>
            <w:tcW w:w="588" w:type="pct"/>
            <w:shd w:val="clear" w:color="auto" w:fill="D9D9D9" w:themeFill="background1" w:themeFillShade="D9"/>
            <w:vAlign w:val="center"/>
          </w:tcPr>
          <w:p w14:paraId="3A0A618B" w14:textId="77777777" w:rsidR="00FB2F0D" w:rsidRPr="00AE0058" w:rsidRDefault="00FB2F0D" w:rsidP="00C65795">
            <w:pPr>
              <w:keepNext/>
              <w:rPr>
                <w:b/>
                <w:color w:val="000000" w:themeColor="text1"/>
                <w:sz w:val="16"/>
                <w:szCs w:val="16"/>
              </w:rPr>
            </w:pPr>
            <w:r>
              <w:rPr>
                <w:b/>
                <w:color w:val="000000" w:themeColor="text1"/>
                <w:sz w:val="16"/>
                <w:szCs w:val="16"/>
              </w:rPr>
              <w:t xml:space="preserve">Niveau hiérarchique</w:t>
            </w:r>
          </w:p>
        </w:tc>
        <w:tc>
          <w:tcPr>
            <w:tcW w:w="467" w:type="pct"/>
            <w:shd w:val="clear" w:color="auto" w:fill="D9D9D9" w:themeFill="background1" w:themeFillShade="D9"/>
            <w:vAlign w:val="center"/>
          </w:tcPr>
          <w:p w14:paraId="3B4CE9C3" w14:textId="77777777" w:rsidR="00FB2F0D" w:rsidRPr="00AE0058" w:rsidRDefault="00FB2F0D" w:rsidP="00C65795">
            <w:pPr>
              <w:keepNext/>
              <w:rPr>
                <w:b/>
                <w:color w:val="000000" w:themeColor="text1"/>
                <w:sz w:val="16"/>
                <w:szCs w:val="16"/>
              </w:rPr>
            </w:pPr>
            <w:r>
              <w:rPr>
                <w:b/>
                <w:color w:val="000000" w:themeColor="text1"/>
                <w:sz w:val="16"/>
                <w:szCs w:val="16"/>
              </w:rPr>
              <w:t xml:space="preserve">Frais de personnel</w:t>
            </w:r>
          </w:p>
        </w:tc>
        <w:tc>
          <w:tcPr>
            <w:tcW w:w="471" w:type="pct"/>
            <w:gridSpan w:val="2"/>
            <w:shd w:val="clear" w:color="auto" w:fill="D9D9D9" w:themeFill="background1" w:themeFillShade="D9"/>
            <w:vAlign w:val="center"/>
          </w:tcPr>
          <w:p w14:paraId="10B0B6A2" w14:textId="77777777" w:rsidR="00FB2F0D" w:rsidRPr="00AE0058" w:rsidRDefault="00FB2F0D" w:rsidP="00C65795">
            <w:pPr>
              <w:keepNext/>
              <w:rPr>
                <w:b/>
                <w:color w:val="000000" w:themeColor="text1"/>
                <w:sz w:val="16"/>
                <w:szCs w:val="16"/>
              </w:rPr>
            </w:pPr>
            <w:r>
              <w:rPr>
                <w:b/>
                <w:color w:val="000000" w:themeColor="text1"/>
                <w:sz w:val="16"/>
                <w:szCs w:val="16"/>
              </w:rPr>
              <w:t xml:space="preserve">Dépenses de matériel</w:t>
            </w:r>
          </w:p>
        </w:tc>
        <w:tc>
          <w:tcPr>
            <w:tcW w:w="467" w:type="pct"/>
            <w:shd w:val="clear" w:color="auto" w:fill="D9D9D9" w:themeFill="background1" w:themeFillShade="D9"/>
            <w:vAlign w:val="center"/>
          </w:tcPr>
          <w:p w14:paraId="665B21B1" w14:textId="77777777" w:rsidR="00FB2F0D" w:rsidRPr="00AE0058" w:rsidRDefault="00FB2F0D" w:rsidP="00C65795">
            <w:pPr>
              <w:keepNext/>
              <w:rPr>
                <w:b/>
                <w:color w:val="000000" w:themeColor="text1"/>
                <w:sz w:val="16"/>
                <w:szCs w:val="16"/>
              </w:rPr>
            </w:pPr>
            <w:r>
              <w:rPr>
                <w:b/>
                <w:color w:val="000000" w:themeColor="text1"/>
                <w:sz w:val="16"/>
                <w:szCs w:val="16"/>
              </w:rPr>
              <w:t xml:space="preserve">Frais de personnel</w:t>
            </w:r>
          </w:p>
        </w:tc>
        <w:tc>
          <w:tcPr>
            <w:tcW w:w="545" w:type="pct"/>
            <w:gridSpan w:val="2"/>
            <w:tcBorders>
              <w:right w:val="single" w:sz="12" w:space="0" w:color="auto"/>
            </w:tcBorders>
            <w:shd w:val="clear" w:color="auto" w:fill="D9D9D9" w:themeFill="background1" w:themeFillShade="D9"/>
            <w:vAlign w:val="center"/>
          </w:tcPr>
          <w:p w14:paraId="51287005" w14:textId="77777777" w:rsidR="00FB2F0D" w:rsidRPr="00AE0058" w:rsidRDefault="00FB2F0D" w:rsidP="00C65795">
            <w:pPr>
              <w:keepNext/>
              <w:rPr>
                <w:b/>
                <w:color w:val="000000" w:themeColor="text1"/>
                <w:sz w:val="16"/>
                <w:szCs w:val="16"/>
              </w:rPr>
            </w:pPr>
            <w:r>
              <w:rPr>
                <w:b/>
                <w:color w:val="000000" w:themeColor="text1"/>
                <w:sz w:val="16"/>
                <w:szCs w:val="16"/>
              </w:rPr>
              <w:t xml:space="preserve">Dépenses de matériel</w:t>
            </w:r>
          </w:p>
        </w:tc>
        <w:tc>
          <w:tcPr>
            <w:tcW w:w="1102" w:type="pct"/>
            <w:tcBorders>
              <w:left w:val="single" w:sz="12" w:space="0" w:color="auto"/>
            </w:tcBorders>
            <w:shd w:val="clear" w:color="auto" w:fill="D9D9D9" w:themeFill="background1" w:themeFillShade="D9"/>
            <w:vAlign w:val="center"/>
          </w:tcPr>
          <w:p w14:paraId="175E5F2A" w14:textId="77777777" w:rsidR="00FB2F0D" w:rsidRPr="00AE0058" w:rsidRDefault="00FB2F0D" w:rsidP="00C65795">
            <w:pPr>
              <w:keepNext/>
              <w:rPr>
                <w:b/>
                <w:color w:val="000000" w:themeColor="text1"/>
                <w:sz w:val="16"/>
                <w:szCs w:val="16"/>
              </w:rPr>
            </w:pPr>
            <w:r>
              <w:rPr>
                <w:b/>
                <w:color w:val="000000" w:themeColor="text1"/>
                <w:sz w:val="16"/>
                <w:szCs w:val="16"/>
              </w:rPr>
              <w:t xml:space="preserve">Dépenses totales</w:t>
            </w:r>
          </w:p>
        </w:tc>
      </w:tr>
      <w:tr w:rsidR="00FB2F0D" w:rsidRPr="00AE0058" w14:paraId="3FF9ED1E" w14:textId="77777777" w:rsidTr="006C07FA">
        <w:tc>
          <w:tcPr>
            <w:tcW w:w="291" w:type="pct"/>
            <w:shd w:val="clear" w:color="auto" w:fill="D9D9D9" w:themeFill="background1" w:themeFillShade="D9"/>
            <w:vAlign w:val="center"/>
          </w:tcPr>
          <w:p w14:paraId="28862067" w14:textId="77777777" w:rsidR="00FB2F0D" w:rsidRPr="00AE0058" w:rsidRDefault="00FB2F0D" w:rsidP="00C65795">
            <w:pPr>
              <w:keepNext/>
              <w:rPr>
                <w:b/>
                <w:color w:val="000000" w:themeColor="text1"/>
                <w:sz w:val="16"/>
                <w:szCs w:val="16"/>
              </w:rPr>
            </w:pPr>
          </w:p>
        </w:tc>
        <w:tc>
          <w:tcPr>
            <w:tcW w:w="480" w:type="pct"/>
            <w:shd w:val="clear" w:color="auto" w:fill="D9D9D9" w:themeFill="background1" w:themeFillShade="D9"/>
            <w:vAlign w:val="center"/>
          </w:tcPr>
          <w:p w14:paraId="3C95D613" w14:textId="77777777" w:rsidR="00FB2F0D" w:rsidRPr="00AE0058" w:rsidRDefault="00FB2F0D" w:rsidP="00C65795">
            <w:pPr>
              <w:keepNext/>
              <w:rPr>
                <w:b/>
                <w:color w:val="000000" w:themeColor="text1"/>
                <w:sz w:val="16"/>
                <w:szCs w:val="16"/>
              </w:rPr>
            </w:pPr>
          </w:p>
        </w:tc>
        <w:tc>
          <w:tcPr>
            <w:tcW w:w="588" w:type="pct"/>
            <w:shd w:val="clear" w:color="auto" w:fill="D9D9D9" w:themeFill="background1" w:themeFillShade="D9"/>
            <w:vAlign w:val="center"/>
          </w:tcPr>
          <w:p w14:paraId="5B427BC1" w14:textId="77777777" w:rsidR="00FB2F0D" w:rsidRPr="00AE0058" w:rsidRDefault="00FB2F0D" w:rsidP="00C65795">
            <w:pPr>
              <w:keepNext/>
              <w:rPr>
                <w:b/>
                <w:color w:val="000000" w:themeColor="text1"/>
                <w:sz w:val="16"/>
                <w:szCs w:val="16"/>
              </w:rPr>
            </w:pPr>
          </w:p>
        </w:tc>
        <w:tc>
          <w:tcPr>
            <w:tcW w:w="588" w:type="pct"/>
            <w:shd w:val="clear" w:color="auto" w:fill="D9D9D9" w:themeFill="background1" w:themeFillShade="D9"/>
            <w:vAlign w:val="center"/>
          </w:tcPr>
          <w:p w14:paraId="209287B0" w14:textId="77777777" w:rsidR="00FB2F0D" w:rsidRPr="00AE0058" w:rsidRDefault="00FB2F0D" w:rsidP="00C65795">
            <w:pPr>
              <w:keepNext/>
              <w:rPr>
                <w:b/>
                <w:color w:val="000000" w:themeColor="text1"/>
                <w:sz w:val="16"/>
                <w:szCs w:val="16"/>
              </w:rPr>
            </w:pPr>
          </w:p>
        </w:tc>
        <w:tc>
          <w:tcPr>
            <w:tcW w:w="3052" w:type="pct"/>
            <w:gridSpan w:val="7"/>
            <w:shd w:val="clear" w:color="auto" w:fill="D9D9D9" w:themeFill="background1" w:themeFillShade="D9"/>
            <w:vAlign w:val="center"/>
          </w:tcPr>
          <w:p w14:paraId="306C25FB" w14:textId="77777777" w:rsidR="00FB2F0D" w:rsidRPr="00AE0058" w:rsidRDefault="00FB2F0D" w:rsidP="00C65795">
            <w:pPr>
              <w:keepNext/>
              <w:jc w:val="center"/>
              <w:rPr>
                <w:b/>
                <w:color w:val="000000" w:themeColor="text1"/>
                <w:sz w:val="16"/>
                <w:szCs w:val="16"/>
              </w:rPr>
            </w:pPr>
            <w:r>
              <w:rPr>
                <w:b/>
                <w:color w:val="000000" w:themeColor="text1"/>
                <w:sz w:val="16"/>
                <w:szCs w:val="16"/>
              </w:rPr>
              <w:t xml:space="preserve">en milliers</w:t>
            </w:r>
            <w:r>
              <w:rPr>
                <w:b/>
                <w:color w:val="000000" w:themeColor="text1"/>
                <w:sz w:val="16"/>
                <w:szCs w:val="16"/>
              </w:rPr>
              <w:t xml:space="preserve"> </w:t>
            </w:r>
            <w:r>
              <w:rPr>
                <w:b/>
                <w:color w:val="000000" w:themeColor="text1"/>
                <w:sz w:val="16"/>
                <w:szCs w:val="16"/>
              </w:rPr>
              <w:t xml:space="preserve">d’euros</w:t>
            </w:r>
          </w:p>
        </w:tc>
      </w:tr>
      <w:tr w:rsidR="00FB2F0D" w:rsidRPr="00AE0058" w14:paraId="584695B1" w14:textId="77777777" w:rsidTr="006C07FA">
        <w:tc>
          <w:tcPr>
            <w:tcW w:w="291" w:type="pct"/>
            <w:vAlign w:val="center"/>
          </w:tcPr>
          <w:p w14:paraId="720A770E" w14:textId="32075BEA" w:rsidR="00FB2F0D" w:rsidRPr="00AE0058" w:rsidRDefault="007D5C8F" w:rsidP="007D5C8F">
            <w:pPr>
              <w:rPr>
                <w:color w:val="000000" w:themeColor="text1"/>
                <w:sz w:val="16"/>
                <w:szCs w:val="16"/>
              </w:rPr>
            </w:pPr>
            <w:r>
              <w:rPr>
                <w:color w:val="000000" w:themeColor="text1"/>
                <w:sz w:val="16"/>
                <w:szCs w:val="16"/>
              </w:rPr>
              <w:t xml:space="preserve">16</w:t>
            </w:r>
          </w:p>
        </w:tc>
        <w:tc>
          <w:tcPr>
            <w:tcW w:w="480" w:type="pct"/>
            <w:vAlign w:val="center"/>
          </w:tcPr>
          <w:p w14:paraId="16864827" w14:textId="77777777" w:rsidR="00FB2F0D" w:rsidRPr="00AE0058" w:rsidRDefault="00FB2F0D" w:rsidP="00FB2F0D">
            <w:pPr>
              <w:rPr>
                <w:color w:val="000000" w:themeColor="text1"/>
                <w:sz w:val="16"/>
                <w:szCs w:val="16"/>
              </w:rPr>
            </w:pPr>
            <w:r>
              <w:rPr>
                <w:color w:val="000000" w:themeColor="text1"/>
                <w:sz w:val="16"/>
                <w:szCs w:val="16"/>
              </w:rPr>
              <w:t xml:space="preserve">Article 7, paragraphe 2, point 7 UStatG</w:t>
            </w:r>
          </w:p>
        </w:tc>
        <w:tc>
          <w:tcPr>
            <w:tcW w:w="588" w:type="pct"/>
            <w:shd w:val="clear" w:color="auto" w:fill="auto"/>
            <w:vAlign w:val="center"/>
          </w:tcPr>
          <w:p w14:paraId="388AC195" w14:textId="77777777" w:rsidR="00FB2F0D" w:rsidRPr="00AE0058" w:rsidRDefault="00FB2F0D" w:rsidP="00FB2F0D">
            <w:pPr>
              <w:rPr>
                <w:color w:val="000000" w:themeColor="text1"/>
                <w:sz w:val="16"/>
                <w:szCs w:val="16"/>
              </w:rPr>
            </w:pPr>
            <w:r>
              <w:rPr>
                <w:color w:val="000000" w:themeColor="text1"/>
                <w:sz w:val="16"/>
                <w:szCs w:val="16"/>
              </w:rPr>
              <w:t xml:space="preserve">Enquête sur l'assainissement public des eaux usées - boues d'épuration</w:t>
            </w:r>
          </w:p>
        </w:tc>
        <w:tc>
          <w:tcPr>
            <w:tcW w:w="588" w:type="pct"/>
            <w:shd w:val="clear" w:color="auto" w:fill="auto"/>
            <w:vAlign w:val="center"/>
          </w:tcPr>
          <w:p w14:paraId="3E313A8F" w14:textId="77777777" w:rsidR="00FB2F0D" w:rsidRPr="00AE0058" w:rsidRDefault="00FB2F0D" w:rsidP="00FB2F0D">
            <w:pPr>
              <w:rPr>
                <w:color w:val="000000" w:themeColor="text1"/>
                <w:sz w:val="16"/>
                <w:szCs w:val="16"/>
              </w:rPr>
            </w:pPr>
            <w:r>
              <w:rPr>
                <w:color w:val="000000" w:themeColor="text1"/>
                <w:sz w:val="16"/>
                <w:szCs w:val="16"/>
              </w:rPr>
              <w:t xml:space="preserve">Pays</w:t>
            </w:r>
          </w:p>
        </w:tc>
        <w:tc>
          <w:tcPr>
            <w:tcW w:w="474" w:type="pct"/>
            <w:gridSpan w:val="2"/>
            <w:vAlign w:val="center"/>
          </w:tcPr>
          <w:p w14:paraId="01A05A18" w14:textId="77777777" w:rsidR="00FB2F0D" w:rsidRPr="00AE0058" w:rsidRDefault="00FB2F0D" w:rsidP="00FB2F0D">
            <w:pPr>
              <w:jc w:val="right"/>
              <w:rPr>
                <w:color w:val="000000" w:themeColor="text1"/>
                <w:sz w:val="16"/>
                <w:szCs w:val="16"/>
              </w:rPr>
            </w:pPr>
            <w:r>
              <w:rPr>
                <w:color w:val="000000" w:themeColor="text1"/>
                <w:sz w:val="16"/>
                <w:szCs w:val="16"/>
              </w:rPr>
              <w:t xml:space="preserve">+41</w:t>
            </w:r>
          </w:p>
        </w:tc>
        <w:tc>
          <w:tcPr>
            <w:tcW w:w="464" w:type="pct"/>
            <w:vAlign w:val="center"/>
          </w:tcPr>
          <w:p w14:paraId="7FACEB89" w14:textId="77777777" w:rsidR="00FB2F0D" w:rsidRPr="00AE0058" w:rsidRDefault="00FB2F0D" w:rsidP="00FB2F0D">
            <w:pPr>
              <w:jc w:val="right"/>
              <w:rPr>
                <w:color w:val="000000" w:themeColor="text1"/>
                <w:sz w:val="16"/>
                <w:szCs w:val="16"/>
              </w:rPr>
            </w:pPr>
            <w:r>
              <w:rPr>
                <w:color w:val="000000" w:themeColor="text1"/>
                <w:sz w:val="16"/>
                <w:szCs w:val="16"/>
              </w:rPr>
              <w:t xml:space="preserve">0</w:t>
            </w:r>
          </w:p>
        </w:tc>
        <w:tc>
          <w:tcPr>
            <w:tcW w:w="476" w:type="pct"/>
            <w:gridSpan w:val="2"/>
            <w:vAlign w:val="center"/>
          </w:tcPr>
          <w:p w14:paraId="27D4D60B" w14:textId="77777777" w:rsidR="00FB2F0D" w:rsidRPr="00AE0058" w:rsidRDefault="00FB2F0D" w:rsidP="00FB2F0D">
            <w:pPr>
              <w:jc w:val="right"/>
              <w:rPr>
                <w:color w:val="000000" w:themeColor="text1"/>
                <w:sz w:val="16"/>
                <w:szCs w:val="16"/>
              </w:rPr>
            </w:pPr>
            <w:r>
              <w:rPr>
                <w:color w:val="000000" w:themeColor="text1"/>
                <w:sz w:val="16"/>
                <w:szCs w:val="16"/>
              </w:rPr>
              <w:t xml:space="preserve">0</w:t>
            </w:r>
          </w:p>
        </w:tc>
        <w:tc>
          <w:tcPr>
            <w:tcW w:w="536" w:type="pct"/>
            <w:tcBorders>
              <w:right w:val="single" w:sz="12" w:space="0" w:color="auto"/>
            </w:tcBorders>
            <w:vAlign w:val="center"/>
          </w:tcPr>
          <w:p w14:paraId="2B2418F9" w14:textId="77777777" w:rsidR="00FB2F0D" w:rsidRPr="00AE0058" w:rsidRDefault="00FB2F0D" w:rsidP="00FB2F0D">
            <w:pPr>
              <w:jc w:val="right"/>
              <w:rPr>
                <w:color w:val="000000" w:themeColor="text1"/>
                <w:sz w:val="16"/>
                <w:szCs w:val="16"/>
              </w:rPr>
            </w:pPr>
            <w:r>
              <w:rPr>
                <w:color w:val="000000" w:themeColor="text1"/>
                <w:sz w:val="16"/>
                <w:szCs w:val="16"/>
              </w:rPr>
              <w:t xml:space="preserve">0</w:t>
            </w:r>
          </w:p>
        </w:tc>
        <w:tc>
          <w:tcPr>
            <w:tcW w:w="1102" w:type="pct"/>
            <w:tcBorders>
              <w:left w:val="single" w:sz="12" w:space="0" w:color="auto"/>
            </w:tcBorders>
            <w:vAlign w:val="center"/>
          </w:tcPr>
          <w:p w14:paraId="22DECC0B" w14:textId="77777777" w:rsidR="00FB2F0D" w:rsidRPr="00AE0058" w:rsidRDefault="00FB2F0D" w:rsidP="00FB2F0D">
            <w:pPr>
              <w:jc w:val="right"/>
              <w:rPr>
                <w:color w:val="000000" w:themeColor="text1"/>
                <w:sz w:val="16"/>
                <w:szCs w:val="16"/>
              </w:rPr>
            </w:pPr>
            <w:r>
              <w:rPr>
                <w:color w:val="000000" w:themeColor="text1"/>
                <w:sz w:val="16"/>
                <w:szCs w:val="16"/>
              </w:rPr>
              <w:t xml:space="preserve">+41</w:t>
            </w:r>
          </w:p>
        </w:tc>
      </w:tr>
      <w:tr w:rsidR="00FB2F0D" w:rsidRPr="00AE0058" w14:paraId="07CC9C46" w14:textId="77777777" w:rsidTr="006C07FA">
        <w:tc>
          <w:tcPr>
            <w:tcW w:w="1948" w:type="pct"/>
            <w:gridSpan w:val="4"/>
            <w:shd w:val="clear" w:color="auto" w:fill="D9D9D9" w:themeFill="background1" w:themeFillShade="D9"/>
            <w:vAlign w:val="center"/>
          </w:tcPr>
          <w:p w14:paraId="26E97D05" w14:textId="77777777" w:rsidR="00FB2F0D" w:rsidRPr="00AE0058" w:rsidRDefault="00FB2F0D" w:rsidP="00FB2F0D">
            <w:pPr>
              <w:rPr>
                <w:b/>
                <w:color w:val="000000" w:themeColor="text1"/>
                <w:sz w:val="16"/>
                <w:szCs w:val="16"/>
              </w:rPr>
            </w:pPr>
            <w:r>
              <w:rPr>
                <w:b/>
                <w:color w:val="000000" w:themeColor="text1"/>
                <w:sz w:val="16"/>
                <w:szCs w:val="16"/>
              </w:rPr>
              <w:t xml:space="preserve">Total</w:t>
            </w:r>
          </w:p>
        </w:tc>
        <w:tc>
          <w:tcPr>
            <w:tcW w:w="474" w:type="pct"/>
            <w:gridSpan w:val="2"/>
            <w:shd w:val="clear" w:color="auto" w:fill="D9D9D9" w:themeFill="background1" w:themeFillShade="D9"/>
            <w:vAlign w:val="center"/>
          </w:tcPr>
          <w:p w14:paraId="666DFADC" w14:textId="77777777" w:rsidR="00FB2F0D" w:rsidRPr="00AE0058" w:rsidRDefault="00FB2F0D" w:rsidP="00FB2F0D">
            <w:pPr>
              <w:jc w:val="right"/>
              <w:rPr>
                <w:b/>
                <w:bCs/>
                <w:color w:val="000000" w:themeColor="text1"/>
                <w:sz w:val="16"/>
                <w:szCs w:val="16"/>
              </w:rPr>
            </w:pPr>
            <w:r>
              <w:rPr>
                <w:b/>
                <w:bCs/>
                <w:color w:val="000000" w:themeColor="text1"/>
                <w:sz w:val="16"/>
                <w:szCs w:val="16"/>
              </w:rPr>
              <w:t xml:space="preserve">+41</w:t>
            </w:r>
          </w:p>
        </w:tc>
        <w:tc>
          <w:tcPr>
            <w:tcW w:w="464" w:type="pct"/>
            <w:shd w:val="clear" w:color="auto" w:fill="D9D9D9" w:themeFill="background1" w:themeFillShade="D9"/>
            <w:vAlign w:val="center"/>
          </w:tcPr>
          <w:p w14:paraId="243DC628" w14:textId="77777777" w:rsidR="00FB2F0D" w:rsidRPr="00AE0058" w:rsidRDefault="00FB2F0D" w:rsidP="00FB2F0D">
            <w:pPr>
              <w:jc w:val="right"/>
              <w:rPr>
                <w:b/>
                <w:bCs/>
                <w:color w:val="000000" w:themeColor="text1"/>
                <w:sz w:val="16"/>
                <w:szCs w:val="16"/>
              </w:rPr>
            </w:pPr>
            <w:r>
              <w:rPr>
                <w:b/>
                <w:bCs/>
                <w:color w:val="000000" w:themeColor="text1"/>
                <w:sz w:val="16"/>
                <w:szCs w:val="16"/>
              </w:rPr>
              <w:t xml:space="preserve">0</w:t>
            </w:r>
          </w:p>
        </w:tc>
        <w:tc>
          <w:tcPr>
            <w:tcW w:w="476" w:type="pct"/>
            <w:gridSpan w:val="2"/>
            <w:shd w:val="clear" w:color="auto" w:fill="D9D9D9" w:themeFill="background1" w:themeFillShade="D9"/>
            <w:vAlign w:val="center"/>
          </w:tcPr>
          <w:p w14:paraId="70E7A626" w14:textId="77777777" w:rsidR="00FB2F0D" w:rsidRPr="00AE0058" w:rsidRDefault="00FB2F0D" w:rsidP="00FB2F0D">
            <w:pPr>
              <w:jc w:val="right"/>
              <w:rPr>
                <w:b/>
                <w:bCs/>
                <w:color w:val="000000" w:themeColor="text1"/>
                <w:sz w:val="16"/>
                <w:szCs w:val="16"/>
              </w:rPr>
            </w:pPr>
            <w:r>
              <w:rPr>
                <w:b/>
                <w:bCs/>
                <w:color w:val="000000" w:themeColor="text1"/>
                <w:sz w:val="16"/>
                <w:szCs w:val="16"/>
              </w:rPr>
              <w:t xml:space="preserve">0</w:t>
            </w:r>
          </w:p>
        </w:tc>
        <w:tc>
          <w:tcPr>
            <w:tcW w:w="536" w:type="pct"/>
            <w:tcBorders>
              <w:right w:val="single" w:sz="12" w:space="0" w:color="auto"/>
            </w:tcBorders>
            <w:shd w:val="clear" w:color="auto" w:fill="D9D9D9" w:themeFill="background1" w:themeFillShade="D9"/>
            <w:vAlign w:val="center"/>
          </w:tcPr>
          <w:p w14:paraId="01DDF3CC" w14:textId="77777777" w:rsidR="00FB2F0D" w:rsidRPr="00AE0058" w:rsidRDefault="00FB2F0D" w:rsidP="00FB2F0D">
            <w:pPr>
              <w:jc w:val="right"/>
              <w:rPr>
                <w:b/>
                <w:bCs/>
                <w:color w:val="000000" w:themeColor="text1"/>
                <w:sz w:val="16"/>
                <w:szCs w:val="16"/>
              </w:rPr>
            </w:pPr>
            <w:r>
              <w:rPr>
                <w:b/>
                <w:bCs/>
                <w:color w:val="000000" w:themeColor="text1"/>
                <w:sz w:val="16"/>
                <w:szCs w:val="16"/>
              </w:rPr>
              <w:t xml:space="preserve">0</w:t>
            </w:r>
          </w:p>
        </w:tc>
        <w:tc>
          <w:tcPr>
            <w:tcW w:w="1102" w:type="pct"/>
            <w:tcBorders>
              <w:left w:val="single" w:sz="12" w:space="0" w:color="auto"/>
            </w:tcBorders>
            <w:shd w:val="clear" w:color="auto" w:fill="D9D9D9" w:themeFill="background1" w:themeFillShade="D9"/>
            <w:vAlign w:val="center"/>
          </w:tcPr>
          <w:p w14:paraId="3ADE937B" w14:textId="77777777" w:rsidR="00FB2F0D" w:rsidRPr="00AE0058" w:rsidRDefault="00FB2F0D" w:rsidP="00FB2F0D">
            <w:pPr>
              <w:jc w:val="right"/>
              <w:rPr>
                <w:b/>
                <w:bCs/>
                <w:color w:val="000000" w:themeColor="text1"/>
                <w:sz w:val="16"/>
                <w:szCs w:val="16"/>
              </w:rPr>
            </w:pPr>
            <w:r>
              <w:rPr>
                <w:b/>
                <w:bCs/>
                <w:color w:val="000000" w:themeColor="text1"/>
                <w:sz w:val="16"/>
                <w:szCs w:val="16"/>
              </w:rPr>
              <w:t xml:space="preserve">+41</w:t>
            </w:r>
          </w:p>
        </w:tc>
      </w:tr>
      <w:tr w:rsidR="00FB2F0D" w:rsidRPr="00AE0058" w14:paraId="26A36410" w14:textId="77777777" w:rsidTr="006C07FA">
        <w:tc>
          <w:tcPr>
            <w:tcW w:w="1948" w:type="pct"/>
            <w:gridSpan w:val="4"/>
            <w:shd w:val="clear" w:color="auto" w:fill="F2F2F2" w:themeFill="background1" w:themeFillShade="F2"/>
            <w:vAlign w:val="center"/>
          </w:tcPr>
          <w:p w14:paraId="4F93D197" w14:textId="2CD854DD" w:rsidR="00FB2F0D" w:rsidRPr="00AE0058" w:rsidRDefault="00FB2F0D" w:rsidP="00F031E5">
            <w:pPr>
              <w:jc w:val="right"/>
              <w:rPr>
                <w:color w:val="000000" w:themeColor="text1"/>
                <w:sz w:val="16"/>
                <w:szCs w:val="16"/>
              </w:rPr>
            </w:pPr>
            <w:r>
              <w:rPr>
                <w:color w:val="000000" w:themeColor="text1"/>
                <w:sz w:val="16"/>
                <w:szCs w:val="16"/>
              </w:rPr>
              <w:t xml:space="preserve">dont au niveau fédéral</w:t>
            </w:r>
          </w:p>
        </w:tc>
        <w:tc>
          <w:tcPr>
            <w:tcW w:w="474" w:type="pct"/>
            <w:gridSpan w:val="2"/>
            <w:shd w:val="clear" w:color="auto" w:fill="F2F2F2" w:themeFill="background1" w:themeFillShade="F2"/>
            <w:vAlign w:val="center"/>
          </w:tcPr>
          <w:p w14:paraId="74DC757A"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0</w:t>
            </w:r>
          </w:p>
        </w:tc>
        <w:tc>
          <w:tcPr>
            <w:tcW w:w="464" w:type="pct"/>
            <w:shd w:val="clear" w:color="auto" w:fill="F2F2F2" w:themeFill="background1" w:themeFillShade="F2"/>
            <w:vAlign w:val="center"/>
          </w:tcPr>
          <w:p w14:paraId="4893D18A"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0</w:t>
            </w:r>
          </w:p>
        </w:tc>
        <w:tc>
          <w:tcPr>
            <w:tcW w:w="476" w:type="pct"/>
            <w:gridSpan w:val="2"/>
            <w:shd w:val="clear" w:color="auto" w:fill="F2F2F2" w:themeFill="background1" w:themeFillShade="F2"/>
            <w:vAlign w:val="center"/>
          </w:tcPr>
          <w:p w14:paraId="69DA7DA9"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0</w:t>
            </w:r>
          </w:p>
        </w:tc>
        <w:tc>
          <w:tcPr>
            <w:tcW w:w="536" w:type="pct"/>
            <w:tcBorders>
              <w:right w:val="single" w:sz="12" w:space="0" w:color="auto"/>
            </w:tcBorders>
            <w:shd w:val="clear" w:color="auto" w:fill="F2F2F2" w:themeFill="background1" w:themeFillShade="F2"/>
            <w:vAlign w:val="center"/>
          </w:tcPr>
          <w:p w14:paraId="7E13B720"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0</w:t>
            </w:r>
          </w:p>
        </w:tc>
        <w:tc>
          <w:tcPr>
            <w:tcW w:w="1102" w:type="pct"/>
            <w:tcBorders>
              <w:left w:val="single" w:sz="12" w:space="0" w:color="auto"/>
            </w:tcBorders>
            <w:shd w:val="clear" w:color="auto" w:fill="F2F2F2" w:themeFill="background1" w:themeFillShade="F2"/>
            <w:vAlign w:val="center"/>
          </w:tcPr>
          <w:p w14:paraId="556534B2"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0</w:t>
            </w:r>
          </w:p>
        </w:tc>
      </w:tr>
      <w:tr w:rsidR="00FB2F0D" w:rsidRPr="00AE0058" w14:paraId="13B80B7F" w14:textId="77777777" w:rsidTr="006C07FA">
        <w:tc>
          <w:tcPr>
            <w:tcW w:w="1948" w:type="pct"/>
            <w:gridSpan w:val="4"/>
            <w:shd w:val="clear" w:color="auto" w:fill="F2F2F2" w:themeFill="background1" w:themeFillShade="F2"/>
            <w:vAlign w:val="center"/>
          </w:tcPr>
          <w:p w14:paraId="654273A8" w14:textId="023C6EF1" w:rsidR="00FB2F0D" w:rsidRPr="00AE0058" w:rsidRDefault="00FB2F0D" w:rsidP="00F031E5">
            <w:pPr>
              <w:jc w:val="right"/>
              <w:rPr>
                <w:color w:val="000000" w:themeColor="text1"/>
                <w:sz w:val="16"/>
                <w:szCs w:val="16"/>
              </w:rPr>
            </w:pPr>
            <w:r>
              <w:rPr>
                <w:color w:val="000000" w:themeColor="text1"/>
                <w:sz w:val="16"/>
                <w:szCs w:val="16"/>
              </w:rPr>
              <w:t xml:space="preserve">dont au niveau des Länder</w:t>
            </w:r>
          </w:p>
        </w:tc>
        <w:tc>
          <w:tcPr>
            <w:tcW w:w="474" w:type="pct"/>
            <w:gridSpan w:val="2"/>
            <w:shd w:val="clear" w:color="auto" w:fill="F2F2F2" w:themeFill="background1" w:themeFillShade="F2"/>
            <w:vAlign w:val="center"/>
          </w:tcPr>
          <w:p w14:paraId="415BD690"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+41</w:t>
            </w:r>
          </w:p>
        </w:tc>
        <w:tc>
          <w:tcPr>
            <w:tcW w:w="464" w:type="pct"/>
            <w:shd w:val="clear" w:color="auto" w:fill="F2F2F2" w:themeFill="background1" w:themeFillShade="F2"/>
            <w:vAlign w:val="center"/>
          </w:tcPr>
          <w:p w14:paraId="7B4326AE"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0</w:t>
            </w:r>
          </w:p>
        </w:tc>
        <w:tc>
          <w:tcPr>
            <w:tcW w:w="476" w:type="pct"/>
            <w:gridSpan w:val="2"/>
            <w:shd w:val="clear" w:color="auto" w:fill="F2F2F2" w:themeFill="background1" w:themeFillShade="F2"/>
            <w:vAlign w:val="center"/>
          </w:tcPr>
          <w:p w14:paraId="5A2FCF48"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0</w:t>
            </w:r>
          </w:p>
        </w:tc>
        <w:tc>
          <w:tcPr>
            <w:tcW w:w="536" w:type="pct"/>
            <w:tcBorders>
              <w:right w:val="single" w:sz="12" w:space="0" w:color="auto"/>
            </w:tcBorders>
            <w:shd w:val="clear" w:color="auto" w:fill="F2F2F2" w:themeFill="background1" w:themeFillShade="F2"/>
            <w:vAlign w:val="center"/>
          </w:tcPr>
          <w:p w14:paraId="772FD08C"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0</w:t>
            </w:r>
          </w:p>
        </w:tc>
        <w:tc>
          <w:tcPr>
            <w:tcW w:w="1102" w:type="pct"/>
            <w:tcBorders>
              <w:left w:val="single" w:sz="12" w:space="0" w:color="auto"/>
            </w:tcBorders>
            <w:shd w:val="clear" w:color="auto" w:fill="F2F2F2" w:themeFill="background1" w:themeFillShade="F2"/>
            <w:vAlign w:val="center"/>
          </w:tcPr>
          <w:p w14:paraId="0060916F" w14:textId="77777777" w:rsidR="00FB2F0D" w:rsidRPr="00AE0058" w:rsidRDefault="00FB2F0D" w:rsidP="00FB2F0D">
            <w:pPr>
              <w:jc w:val="right"/>
              <w:rPr>
                <w:bCs/>
                <w:color w:val="000000" w:themeColor="text1"/>
                <w:sz w:val="16"/>
                <w:szCs w:val="16"/>
              </w:rPr>
            </w:pPr>
            <w:r>
              <w:rPr>
                <w:bCs/>
                <w:color w:val="000000" w:themeColor="text1"/>
                <w:sz w:val="16"/>
                <w:szCs w:val="16"/>
              </w:rPr>
              <w:t xml:space="preserve">+41</w:t>
            </w:r>
          </w:p>
        </w:tc>
      </w:tr>
    </w:tbl>
    <w:p w14:paraId="169DB526" w14:textId="77777777" w:rsidR="00744EBB" w:rsidRPr="00AE0058" w:rsidRDefault="00744EBB" w:rsidP="000B2F65">
      <w:pPr>
        <w:rPr>
          <w:color w:val="000000" w:themeColor="text1"/>
        </w:rPr>
      </w:pPr>
    </w:p>
    <w:p w14:paraId="2259A3AF" w14:textId="77777777" w:rsidR="004705E2" w:rsidRPr="00AE0058" w:rsidRDefault="004705E2">
      <w:pPr>
        <w:pStyle w:val="berschriftarabischBegrndung"/>
      </w:pPr>
      <w:r>
        <w:t xml:space="preserve">Autres coûts</w:t>
      </w:r>
    </w:p>
    <w:p w14:paraId="3B3B2284" w14:textId="77777777" w:rsidR="004705E2" w:rsidRPr="00AE0058" w:rsidRDefault="00272515" w:rsidP="00272515">
      <w:pPr>
        <w:pStyle w:val="Text"/>
        <w:rPr>
          <w:color w:val="000000" w:themeColor="text1"/>
        </w:rPr>
      </w:pPr>
      <w:r>
        <w:rPr>
          <w:rStyle w:val="Marker"/>
          <w:color w:val="000000" w:themeColor="text1"/>
        </w:rPr>
        <w:t xml:space="preserve">La loi n’entraîne aucun coût supplémentaire.</w:t>
      </w:r>
      <w:r>
        <w:rPr>
          <w:rStyle w:val="Marker"/>
          <w:color w:val="000000" w:themeColor="text1"/>
        </w:rPr>
        <w:t xml:space="preserve"> </w:t>
      </w:r>
      <w:r>
        <w:rPr>
          <w:rStyle w:val="Marker"/>
          <w:color w:val="000000" w:themeColor="text1"/>
        </w:rPr>
        <w:t xml:space="preserve">Aucune incidence particulière sur les prix unitaires et sur le niveau des prix, en particulier sur les prix à la consommation, n’est à prévoir.</w:t>
      </w:r>
    </w:p>
    <w:p w14:paraId="2D999DF6" w14:textId="47C8503C" w:rsidR="004705E2" w:rsidRPr="00AE0058" w:rsidRDefault="004705E2">
      <w:pPr>
        <w:pStyle w:val="berschriftarabischBegrndung"/>
      </w:pPr>
      <w:r>
        <w:t xml:space="preserve">Autre impact de la loi</w:t>
      </w:r>
    </w:p>
    <w:p w14:paraId="6ABADEA4" w14:textId="478B2D2E" w:rsidR="00412944" w:rsidRPr="00AE0058" w:rsidRDefault="00412944" w:rsidP="00412944">
      <w:pPr>
        <w:pStyle w:val="Text"/>
      </w:pPr>
      <w:r>
        <w:t xml:space="preserve">Le projet de loi ne contient aucune disposition relative à l'égalité.</w:t>
      </w:r>
      <w:r>
        <w:t xml:space="preserve"> </w:t>
      </w:r>
      <w:r>
        <w:t xml:space="preserve">La vérification a montré que les femmes et les hommes sont impactés directement ou indirectement de la même façon par le projet de loi.</w:t>
      </w:r>
      <w:r>
        <w:t xml:space="preserve"> </w:t>
      </w:r>
      <w:r>
        <w:t xml:space="preserve">Les dispositions sont formulées de manière à tenir compte de l'égalité des sexes, conformément à l'article 1, paragraphe 2, phrase 1 de la loi fédérale sur l'égalité des chances.</w:t>
      </w:r>
    </w:p>
    <w:p w14:paraId="3A52FC3F" w14:textId="2C8E6013" w:rsidR="004705E2" w:rsidRPr="00AE0058" w:rsidRDefault="004705E2">
      <w:pPr>
        <w:pStyle w:val="berschriftrmischBegrndung"/>
      </w:pPr>
      <w:r>
        <w:t xml:space="preserve">Limitation dans le temps et évaluation</w:t>
      </w:r>
    </w:p>
    <w:p w14:paraId="6D087A76" w14:textId="7863195E" w:rsidR="0090258C" w:rsidRPr="00AE0058" w:rsidRDefault="0090258C" w:rsidP="0090258C">
      <w:pPr>
        <w:pStyle w:val="Text"/>
      </w:pPr>
      <w:r>
        <w:t xml:space="preserve">Une limitation ne peut être envisagée, car la collecte plus régulière de statistiques sur l'approvisionnement en eau, le traitement des eaux usées et l'élimination des boues d'épuration est essentielle pour contrôler le respect du principe de précaution ainsi que pour les rapports internationaux.</w:t>
      </w:r>
      <w:r>
        <w:t xml:space="preserve"> </w:t>
      </w:r>
      <w:r>
        <w:t xml:space="preserve">En outre, les mesures prises favorisent l'objectif de réduction des obligations statistiques et donc des charges bureaucratiques en utilisant davantage les données administratives existantes.</w:t>
      </w:r>
      <w:r>
        <w:t xml:space="preserve"> </w:t>
      </w:r>
      <w:r>
        <w:t xml:space="preserve">Les offices statistiques des Länder sont également déchargés de la charge de la préparation des données par l'utilisation des canaux de communication électroniques.</w:t>
      </w:r>
    </w:p>
    <w:p w14:paraId="54F3FA52" w14:textId="77777777" w:rsidR="00DA3B5A" w:rsidRPr="00AE0058" w:rsidRDefault="00917739" w:rsidP="00DA3B5A">
      <w:r>
        <w:t xml:space="preserve">Cette loi transpose le droit communautaire.</w:t>
      </w:r>
      <w:r>
        <w:t xml:space="preserve"> </w:t>
      </w:r>
      <w:r>
        <w:t xml:space="preserve">Une évaluation de la directive (UE) 2019/904 sera effectuée par la Commission européenne d'ici le 3 juillet 2027, conformément à l'article 15 de la directive (UE) 2019/904.</w:t>
      </w:r>
      <w:r>
        <w:t xml:space="preserve"> </w:t>
      </w:r>
      <w:r>
        <w:t xml:space="preserve">Les États membres fournissent à la Commission européenne les informations complémentaires nécessaires à l'évaluation et à la préparation du rapport prévu à l'article 15, paragraphe 2.</w:t>
      </w:r>
      <w:r>
        <w:t xml:space="preserve"> </w:t>
      </w:r>
      <w:r>
        <w:t xml:space="preserve">Cette évaluation est également la première à évaluer l'efficacité des dispositions prises pour la transposition de la directive (UE) 2019/904.</w:t>
      </w:r>
      <w:r>
        <w:t xml:space="preserve"> </w:t>
      </w:r>
      <w:r>
        <w:t xml:space="preserve">Sur la base de ce rapport et de l'expérience acquise au niveau national d'ici là, le gouvernement fédéral évaluera cette loi d'ici le 31 décembre 2028.</w:t>
      </w:r>
      <w:r>
        <w:t xml:space="preserve"> </w:t>
      </w:r>
    </w:p>
    <w:p w14:paraId="15FD8BC2" w14:textId="0C91DF4F" w:rsidR="00DA3B5A" w:rsidRPr="00AE0058" w:rsidRDefault="00DA3B5A" w:rsidP="00DA3B5A">
      <w:r>
        <w:t xml:space="preserve">Sur la base de ce rapport et de l'expérience acquise au niveau national d'ici là, le gouvernement fédéral évaluera les modifications apportées à la loi sur les emballages par cette loi d'ici le 31 décembre 2027.</w:t>
      </w:r>
      <w:r>
        <w:t xml:space="preserve"> </w:t>
      </w:r>
      <w:r>
        <w:t xml:space="preserve">L'objectif du projet de loi est de créer des systèmes de notification dans le cadre des systèmes de responsabilité élargie des fabricants, ainsi que de remplir les obligations de notification envers la Commission européenne.</w:t>
      </w:r>
      <w:r>
        <w:t xml:space="preserve"> </w:t>
      </w:r>
      <w:r>
        <w:t xml:space="preserve">Afin de créer les conditions préalables et la base de données pour la nouvelle déclaration, des modèles d'enquête ont été choisis dans chaque cas pour assurer un équilibre entre la qualité des données collectées et la charge pour les entreprises et l'administration associée à la collecte des données.</w:t>
      </w:r>
    </w:p>
    <w:p w14:paraId="3AE742A1" w14:textId="6A9586AF" w:rsidR="00DA3B5A" w:rsidRPr="00AE0058" w:rsidRDefault="00DA3B5A" w:rsidP="00DA3B5A">
      <w:r>
        <w:t xml:space="preserve">L'objectif de l'évaluation est d'examiner si les coûts et les avantages des modèles d'enquête sélectionnés sont équilibrés.</w:t>
      </w:r>
      <w:r>
        <w:t xml:space="preserve"> </w:t>
      </w:r>
      <w:r>
        <w:t xml:space="preserve">Les critères de cet examen peuvent inclure la qualité, la validité et la cohérence des données collectées.</w:t>
      </w:r>
      <w:r>
        <w:t xml:space="preserve"> </w:t>
      </w:r>
      <w:r>
        <w:t xml:space="preserve">À cette fin, il convient de relativiser la charge imposée aux entreprises et aux administrations par les enquêtes nouvellement créées.</w:t>
      </w:r>
      <w:r>
        <w:t xml:space="preserve"> </w:t>
      </w:r>
      <w:r>
        <w:t xml:space="preserve">À cette fin, il convient d'utiliser le retour d'information du secteur économique, ainsi que d'autres critères tels que l'exhaustivité et la qualité des formulaires de déclaration renvoyés ou l'effort consenti par les acteurs économiques pour remplir les formulaires de déclaration.</w:t>
      </w:r>
      <w:r>
        <w:t xml:space="preserve"> </w:t>
      </w:r>
      <w:r>
        <w:t xml:space="preserve">L'évaluation de la charge administrative relative des enquêtes nouvellement créées est réalisée en interrogeant les autorités d'enquête concernées, c'est-à-dire dans la grande majorité des cas les offices statistiques des Länder.</w:t>
      </w:r>
      <w:r>
        <w:t xml:space="preserve"> </w:t>
      </w:r>
      <w:r>
        <w:t xml:space="preserve">En outre, une évaluation sera faite pour déterminer s'il peut être approprié d'adopter des dispositions complémentaires afin de maximiser l'efficacité des régimes concernés.</w:t>
      </w:r>
    </w:p>
    <w:p w14:paraId="56C6849F" w14:textId="77777777" w:rsidR="001A76A7" w:rsidRPr="00AE0058" w:rsidRDefault="001A76A7" w:rsidP="001A76A7">
      <w:r>
        <w:t xml:space="preserve">La directive (UE) 2019/883 prévoit également une évaluation dans son article 23, paragraphe 1.</w:t>
      </w:r>
      <w:r>
        <w:t xml:space="preserve"> </w:t>
      </w:r>
      <w:r>
        <w:t xml:space="preserve">Sur la base des données de surveillance des déchets de la pêche passive déclarées en vertu de la présente loi, la Commission prépare un rapport au plus tard le 31 décembre 2022, puis tous les deux ans.</w:t>
      </w:r>
      <w:r>
        <w:t xml:space="preserve"> </w:t>
      </w:r>
      <w:r>
        <w:t xml:space="preserve">Sur la base de ces rapports et d'autres rapports, la Commission réexamine la directive au plus tard le 28 juin 2026.</w:t>
      </w:r>
      <w:r>
        <w:t xml:space="preserve"> </w:t>
      </w:r>
      <w:r>
        <w:t xml:space="preserve">L'objectif de l'évaluation est de vérifier si les dispositions prises pour la mise à disposition d'installations de réception appropriées dans les ports sont efficaces et si cela se traduit par une réduction des rejets de déchets des navires en mer.</w:t>
      </w:r>
    </w:p>
    <w:p w14:paraId="18DAAABF" w14:textId="63A01FC2" w:rsidR="001A76A7" w:rsidRPr="00AE0058" w:rsidRDefault="001A76A7" w:rsidP="001A76A7">
      <w:pPr>
        <w:spacing w:after="0"/>
      </w:pPr>
      <w:r>
        <w:t xml:space="preserve">D'ici le 31 décembre 2028, le gouvernement fédéral évaluera également la transposition des dispositions de l'article 8a de la directive-cadre modifiée sur les déchets dans la loi sur les emballages.</w:t>
      </w:r>
      <w:r>
        <w:t xml:space="preserve"> </w:t>
      </w:r>
      <w:r>
        <w:t xml:space="preserve">Ici aussi, l'objectif de l'audit est d'évaluer le degré d'efficacité des dispositions de transposition adoptées.</w:t>
      </w:r>
    </w:p>
    <w:p w14:paraId="636793F7" w14:textId="4D3CA80D" w:rsidR="004705E2" w:rsidRPr="00AE0058" w:rsidRDefault="004705E2">
      <w:pPr>
        <w:pStyle w:val="BegrndungBesondererTeil"/>
      </w:pPr>
      <w:r>
        <w:t xml:space="preserve">B. Partie spécifique</w:t>
      </w:r>
    </w:p>
    <w:p w14:paraId="1C14E895" w14:textId="026E38AC" w:rsidR="00A27E6F" w:rsidRPr="00AE0058" w:rsidRDefault="00A27E6F" w:rsidP="00A27E6F">
      <w:pPr>
        <w:pStyle w:val="VerweisBegrndung"/>
      </w:pPr>
      <w:r>
        <w:t xml:space="preserve">Concernant l'</w:t>
      </w:r>
      <w:r>
        <w:rPr>
          <w:rStyle w:val="Binnenverweis"/>
        </w:rPr>
        <w:t xml:space="preserve">article 1er</w:t>
      </w:r>
      <w:r>
        <w:t xml:space="preserve"> (modification de la loi sur les statistiques environnementales)</w:t>
      </w:r>
    </w:p>
    <w:p w14:paraId="26BD6161" w14:textId="594A4A9C" w:rsidR="00A27E6F" w:rsidRPr="00AE0058" w:rsidRDefault="00A27E6F" w:rsidP="00A27E6F">
      <w:pPr>
        <w:pStyle w:val="VerweisBegrndung"/>
      </w:pPr>
      <w:r>
        <w:t xml:space="preserve">Concernant le </w:t>
      </w:r>
      <w:r>
        <w:rPr>
          <w:rStyle w:val="Binnenverweis"/>
        </w:rPr>
        <w:t xml:space="preserve">point 1</w:t>
      </w:r>
    </w:p>
    <w:p w14:paraId="3DB6D3F9" w14:textId="706FF122" w:rsidR="00A27E6F" w:rsidRPr="00AE0058" w:rsidRDefault="00A27E6F" w:rsidP="00A27E6F">
      <w:pPr>
        <w:pStyle w:val="VerweisBegrndung"/>
      </w:pPr>
      <w:r>
        <w:t xml:space="preserve">Concernant la </w:t>
      </w:r>
      <w:r>
        <w:rPr>
          <w:rStyle w:val="Binnenverweis"/>
        </w:rPr>
        <w:t xml:space="preserve">lettre a</w:t>
      </w:r>
    </w:p>
    <w:p w14:paraId="2FDF51DC" w14:textId="7FF64551" w:rsidR="00A27E6F" w:rsidRPr="00AE0058" w:rsidRDefault="00A27E6F" w:rsidP="00A27E6F">
      <w:pPr>
        <w:pStyle w:val="VerweisBegrndung"/>
      </w:pPr>
      <w:r>
        <w:t xml:space="preserve">Concernant la </w:t>
      </w:r>
      <w:r>
        <w:rPr>
          <w:rStyle w:val="Binnenverweis"/>
        </w:rPr>
        <w:t xml:space="preserve">lettre double aa</w:t>
      </w:r>
    </w:p>
    <w:p w14:paraId="0B273224" w14:textId="46E49C77" w:rsidR="00A27E6F" w:rsidRPr="00AE0058" w:rsidRDefault="005376C1" w:rsidP="00A27E6F">
      <w:pPr>
        <w:pStyle w:val="Text"/>
      </w:pPr>
      <w:r>
        <w:t xml:space="preserve">Les enquêtes sont étendues pour inclure la mise sur le marché et l'élimination de certains produits (article 5a).</w:t>
      </w:r>
    </w:p>
    <w:p w14:paraId="73EF069A" w14:textId="4CF0FC67" w:rsidR="00A27E6F" w:rsidRPr="00AE0058" w:rsidRDefault="00A27E6F" w:rsidP="00A27E6F">
      <w:pPr>
        <w:pStyle w:val="VerweisBegrndung"/>
      </w:pPr>
      <w:r>
        <w:t xml:space="preserve">Concernant la </w:t>
      </w:r>
      <w:r>
        <w:rPr>
          <w:rStyle w:val="Binnenverweis"/>
        </w:rPr>
        <w:t xml:space="preserve">double lettre bb)</w:t>
      </w:r>
    </w:p>
    <w:p w14:paraId="6A5F3F81" w14:textId="7957EF5B" w:rsidR="00A27E6F" w:rsidRPr="00AE0058" w:rsidRDefault="003F7942" w:rsidP="00A27E6F">
      <w:pPr>
        <w:pStyle w:val="Text"/>
      </w:pPr>
      <w:r>
        <w:t xml:space="preserve">Il s'agit d'une modification consécutive à l'ajout d'une nouvelle enquête au point 4.</w:t>
      </w:r>
    </w:p>
    <w:p w14:paraId="497A1FE4" w14:textId="5059DD49" w:rsidR="00A27E6F" w:rsidRPr="00AE0058" w:rsidRDefault="00A27E6F" w:rsidP="00A27E6F">
      <w:pPr>
        <w:pStyle w:val="VerweisBegrndung"/>
      </w:pPr>
      <w:r>
        <w:t xml:space="preserve">Concernant la </w:t>
      </w:r>
      <w:r>
        <w:rPr>
          <w:rStyle w:val="Binnenverweis"/>
        </w:rPr>
        <w:t xml:space="preserve">lettre b)</w:t>
      </w:r>
    </w:p>
    <w:p w14:paraId="3670D890" w14:textId="10EF3BD5" w:rsidR="00A27E6F" w:rsidRPr="00AE0058" w:rsidRDefault="003F7942" w:rsidP="00A27E6F">
      <w:pPr>
        <w:pStyle w:val="Text"/>
      </w:pPr>
      <w:r>
        <w:t xml:space="preserve">L'inclusion d'une clause d'ouverture permet de déterminer le champ d'application de l'enquête par dérogation à l'article 2, paragraphe 2.</w:t>
      </w:r>
    </w:p>
    <w:p w14:paraId="12C2F75A" w14:textId="0E30C48B" w:rsidR="00A27E6F" w:rsidRPr="00AE0058" w:rsidRDefault="00A27E6F" w:rsidP="00A27E6F">
      <w:pPr>
        <w:pStyle w:val="VerweisBegrndung"/>
      </w:pPr>
      <w:r>
        <w:t xml:space="preserve">Concernant le </w:t>
      </w:r>
      <w:r>
        <w:rPr>
          <w:rStyle w:val="Binnenverweis"/>
        </w:rPr>
        <w:t xml:space="preserve">point 2</w:t>
      </w:r>
    </w:p>
    <w:p w14:paraId="403C640F" w14:textId="00BA5780" w:rsidR="00B757FD" w:rsidRPr="00AE0058" w:rsidRDefault="00B757FD" w:rsidP="00B757FD">
      <w:pPr>
        <w:pStyle w:val="Text"/>
      </w:pPr>
      <w:r>
        <w:t xml:space="preserve">La directive 2008/98/CE, modifiée par la directive (UE) 2018/851 (directive-cadre relative aux déchets - AbfRRL), en liaison avec la décision d'application (UE) 2019/1004 de la Commission du 7 juin 2019 (JO L 163 du 20.6.2019, p. 66), prévoit notamment que les déchets municipaux et les déchets organiques doivent en principe être collectés séparément.</w:t>
      </w:r>
      <w:r>
        <w:t xml:space="preserve"> </w:t>
      </w:r>
      <w:r>
        <w:t xml:space="preserve">En outre, les quantités de déchets municipaux biologiques séparés et recyclés au point de production (ménage, propriété, autres objets) doivent être prises en compte dans le quota de recyclage à partir de l'année de déclaration 2020.</w:t>
      </w:r>
      <w:r>
        <w:t xml:space="preserve"> </w:t>
      </w:r>
      <w:r>
        <w:t xml:space="preserve">À cette fin, il est nécessaire de disposer de données fiables sur le nombre de sites de compostage à domicile, d'une part, et sur les quantités produites sur chacun de ces sites, d'autre part.</w:t>
      </w:r>
      <w:r>
        <w:t xml:space="preserve"> </w:t>
      </w:r>
      <w:r>
        <w:t xml:space="preserve">Les autorités responsables de la gestion des déchets en vertu de la loi sur l'économie circulaire et les tiers dans la mesure où des obligations de valorisation et d'élimination leur ont été transférées ou déléguées, disposent généralement de données sur les points de production possédant une poubelle pour déchets organiques.</w:t>
      </w:r>
      <w:r>
        <w:t xml:space="preserve"> </w:t>
      </w:r>
      <w:r>
        <w:t xml:space="preserve">En outre, des informations devraient également être disponibles sur les points de production qui bénéficient d'une dispense de redevances ou d'une exemption de la poubelle à déchets organiques parce qu'ils recyclent eux-mêmes leurs déchets organiques dans leurs propres installations de compostage ou dans des installations de compostage à domicile.</w:t>
      </w:r>
      <w:r>
        <w:t xml:space="preserve"> </w:t>
      </w:r>
      <w:r>
        <w:t xml:space="preserve">En outre, même dans les zones où aucune poubelle pour les déchets organiques n'est proposée, on sait combien de points de collecte sont reliés au système public de collecte des déchets.</w:t>
      </w:r>
      <w:r>
        <w:t xml:space="preserve"> </w:t>
      </w:r>
      <w:r>
        <w:t xml:space="preserve">Par conséquent, ces informations peuvent être obtenues auprès des autorités.</w:t>
      </w:r>
      <w:r>
        <w:t xml:space="preserve"> </w:t>
      </w:r>
      <w:r>
        <w:t xml:space="preserve">Les quantités ne peuvent être estimées que dans le cadre des statistiques sur les déchets en supposant que les quantités provenant de sources qui éliminent les déchets dans une poubelle à déchets organiques sont aussi élevées que les quantités que les sources sans poubelle à déchets organiques compostent elles-mêmes.</w:t>
      </w:r>
      <w:r>
        <w:t xml:space="preserve"> </w:t>
      </w:r>
      <w:r>
        <w:t xml:space="preserve">Les enquêtes directes de volume seraient plus probables dans le cadre d'enquêtes auprès des ménages sous forme d'enregistrements.</w:t>
      </w:r>
      <w:r>
        <w:t xml:space="preserve"> </w:t>
      </w:r>
      <w:r>
        <w:t xml:space="preserve">En ce qui concerne les quantités, l'UBA a également été chargée de mener des enquêtes.</w:t>
      </w:r>
    </w:p>
    <w:p w14:paraId="4FD62846" w14:textId="43E3BC86" w:rsidR="00A27E6F" w:rsidRPr="00AE0058" w:rsidRDefault="00A27E6F" w:rsidP="00A27E6F">
      <w:pPr>
        <w:pStyle w:val="VerweisBegrndung"/>
      </w:pPr>
      <w:r>
        <w:t xml:space="preserve">Concernant le </w:t>
      </w:r>
      <w:r>
        <w:rPr>
          <w:rStyle w:val="Binnenverweis"/>
        </w:rPr>
        <w:t xml:space="preserve">point 3</w:t>
      </w:r>
    </w:p>
    <w:p w14:paraId="79312BC6" w14:textId="243EE7A8" w:rsidR="00BD64EA" w:rsidRPr="00AE0058" w:rsidRDefault="00BD64EA" w:rsidP="00A27E6F">
      <w:pPr>
        <w:pStyle w:val="Text"/>
      </w:pPr>
      <w:r>
        <w:t xml:space="preserve">L'enquête prévue à l'article 5, paragraphe 2, concernant les entreprises qui reprennent ou collectent des emballages de vente usagés en tant qu'obligés au sens de la loi sur les emballages, en tant que tiers agréés ou en tant que systèmes au sens de l'article 3, paragraphe 16 de la loi sur les emballages n'est plus applicable, car l'enquête correspondante est nouvellement réglementée à l'article 5a, paragraphe 1.</w:t>
      </w:r>
      <w:r>
        <w:t xml:space="preserve"> </w:t>
      </w:r>
    </w:p>
    <w:p w14:paraId="1C49D94C" w14:textId="51078B6C" w:rsidR="009037C3" w:rsidRPr="00AE0058" w:rsidRDefault="009037C3" w:rsidP="00A27E6F">
      <w:pPr>
        <w:pStyle w:val="Text"/>
      </w:pPr>
      <w:r>
        <w:t xml:space="preserve">L'enquête précédente auprès des entreprises de collecte d'emballages de transport et d'emballages secondaires est élargie à tous les déchets provenant des emballages visés à l'article 15, paragraphe 1, phrase 1 de la loi sur les emballages et aux déchets d'emballages de boissons non réutilisables soumis à une consigne en vertu de l'article 31, paragraphe 1, phrase 1 de la loi sur les emballages.</w:t>
      </w:r>
      <w:r>
        <w:t xml:space="preserve"> </w:t>
      </w:r>
      <w:r>
        <w:t xml:space="preserve">Cette disposition garantit la collecte de données sur les déchets d'emballages dont la localisation et l'élimination ne sont pas connues des fabricants selon l'article 5a, paragraphe 3.</w:t>
      </w:r>
      <w:r>
        <w:t xml:space="preserve"> </w:t>
      </w:r>
      <w:r>
        <w:t xml:space="preserve">Cette disposition transpose donc l'article 8a, paragraphe 1, lettre c de la directive 2008/98/CE en liaison avec l'article 7, paragraphe 2 de la directive 94/62/CE</w:t>
      </w:r>
    </w:p>
    <w:p w14:paraId="4D6DC0B3" w14:textId="12AEAC16" w:rsidR="00A27E6F" w:rsidRPr="00AE0058" w:rsidRDefault="00A27E6F" w:rsidP="00A27E6F">
      <w:pPr>
        <w:pStyle w:val="VerweisBegrndung"/>
      </w:pPr>
      <w:r>
        <w:t xml:space="preserve">Concernant le </w:t>
      </w:r>
      <w:r>
        <w:rPr>
          <w:rStyle w:val="Binnenverweis"/>
        </w:rPr>
        <w:t xml:space="preserve">point 4</w:t>
      </w:r>
      <w:r>
        <w:rPr>
          <w:rStyle w:val="Binnenverweis"/>
        </w:rPr>
        <w:t xml:space="preserve"> </w:t>
      </w:r>
    </w:p>
    <w:p w14:paraId="395F2F5A" w14:textId="504DC295" w:rsidR="00B757FD" w:rsidRPr="00AE0058" w:rsidRDefault="00B757FD" w:rsidP="00B757FD">
      <w:pPr>
        <w:pStyle w:val="Text"/>
      </w:pPr>
      <w:r>
        <w:t xml:space="preserve">L'enquête visée à l'article 5a est introduite pour permettre de remplir les obligations de déclaration à la Commission européenne (via Eurostat) en vertu de la directive sur les emballages (directive 94/62/CE), telle que modifiée par la directive (UE) 2018/852, la directive-cadre sur les déchets (directive 2008/98/CE), la directive sur la réception portuaire (directive (UE) 2019/883) et la directive sur les plastiques à usage unique (directive (UE) 2019/904).</w:t>
      </w:r>
    </w:p>
    <w:p w14:paraId="59001CC0" w14:textId="09548779" w:rsidR="00783FD5" w:rsidRPr="00AE0058" w:rsidRDefault="00783FD5" w:rsidP="00E13372">
      <w:pPr>
        <w:pStyle w:val="Text"/>
        <w:keepNext/>
        <w:rPr>
          <w:b/>
        </w:rPr>
      </w:pPr>
      <w:r>
        <w:rPr>
          <w:b/>
        </w:rPr>
        <w:t xml:space="preserve">Concernant l'article 5a, paragraphe 1</w:t>
      </w:r>
    </w:p>
    <w:p w14:paraId="000C249A" w14:textId="77777777" w:rsidR="008F4737" w:rsidRPr="00AE0058" w:rsidRDefault="008F4737" w:rsidP="008F4737">
      <w:pPr>
        <w:pStyle w:val="Text"/>
      </w:pPr>
      <w:r>
        <w:t xml:space="preserve">La collecte de données sur le type, la quantité et la localisation des emballages soumis à la participation au système et repris aux consommateurs finals privés par les systèmes et par les solutions sectorielles, qui était auparavant régie par l'article 5, paragraphe 2, est désormais régie par cette disposition.</w:t>
      </w:r>
      <w:r>
        <w:t xml:space="preserve"> </w:t>
      </w:r>
      <w:r>
        <w:t xml:space="preserve">S'y ajoute l'ordre de collecter des données sur les emballages soumis à une participation au système qui ont été mis sur le marché pour la première fois au cours de l'année de référence.</w:t>
      </w:r>
      <w:r>
        <w:t xml:space="preserve"> </w:t>
      </w:r>
    </w:p>
    <w:p w14:paraId="6CE4E0D1" w14:textId="199BC872" w:rsidR="008F4737" w:rsidRPr="00AE0058" w:rsidRDefault="008F4737" w:rsidP="008F4737">
      <w:pPr>
        <w:pStyle w:val="Text"/>
      </w:pPr>
      <w:r>
        <w:t xml:space="preserve">Les données sont collectées par l'organisme central conformément à l'article 3, paragraphe 18 de la loi sur les emballages ( Office central du registre des emballages (ZSVR)) et regroupées par l'Office fédéral de la statistique.</w:t>
      </w:r>
      <w:r>
        <w:t xml:space="preserve"> </w:t>
      </w:r>
      <w:r>
        <w:t xml:space="preserve">La collecte de données auprès de l'organisme central est basée sur les obligations de déclaration des fabricants et des systèmes doubles qui existent déjà dans la loi sur les emballages en vertu des articles 10, 11, 17 et 20 de la loi sur les emballages.</w:t>
      </w:r>
    </w:p>
    <w:p w14:paraId="23919D98" w14:textId="22459345" w:rsidR="008F4737" w:rsidRPr="00AE0058" w:rsidRDefault="008F4737" w:rsidP="008F4737">
      <w:pPr>
        <w:pStyle w:val="Text"/>
      </w:pPr>
      <w:r>
        <w:t xml:space="preserve">L'article 6a, paragraphe 1, lettre a de la directive 94/62/CE prévoit que le poids des déchets d'emballages produits et recyclés au cours d'une année civile donnée doit être calculé par les États membres.</w:t>
      </w:r>
      <w:r>
        <w:t xml:space="preserve"> </w:t>
      </w:r>
    </w:p>
    <w:p w14:paraId="245799E0" w14:textId="2978AD97" w:rsidR="008F4737" w:rsidRPr="00AE0058" w:rsidRDefault="008F4737" w:rsidP="008F4737">
      <w:pPr>
        <w:pStyle w:val="Text"/>
      </w:pPr>
      <w:r>
        <w:t xml:space="preserve">L'article 9, paragraphe 1, en liaison avec l'annexe I de la décision 2005/270/CE, telle que modifiée par la décision d'application (UE) 2019/665 de la Commission du 17 avril 2019 (JO L 112 du 26.4.2019, p. 26), justifie les nouvelles caractéristiques d'enquête.</w:t>
      </w:r>
    </w:p>
    <w:p w14:paraId="21900059" w14:textId="1134276F" w:rsidR="00783FD5" w:rsidRPr="00AE0058" w:rsidRDefault="00783FD5" w:rsidP="00E13372">
      <w:pPr>
        <w:pStyle w:val="Text"/>
        <w:keepNext/>
        <w:rPr>
          <w:b/>
        </w:rPr>
      </w:pPr>
      <w:r>
        <w:rPr>
          <w:b/>
        </w:rPr>
        <w:t xml:space="preserve">Concernant l'article 5a, paragraphe 2</w:t>
      </w:r>
    </w:p>
    <w:p w14:paraId="369A1D81" w14:textId="76DF995C" w:rsidR="00F03FD7" w:rsidRPr="00AE0058" w:rsidRDefault="00F03FD7" w:rsidP="00F03FD7">
      <w:pPr>
        <w:pStyle w:val="Text"/>
      </w:pPr>
      <w:r>
        <w:t xml:space="preserve">Cette disposition standardise la collecte auprès des opérateurs de ce que l'on appelle les pools réutilisables.</w:t>
      </w:r>
      <w:r>
        <w:t xml:space="preserve"> </w:t>
      </w:r>
      <w:r>
        <w:t xml:space="preserve">Une grande partie des emballages réutilisables en circulation en Allemagne sont utilisés dans le cadre de groupements de réutilisation collectivement organisés.</w:t>
      </w:r>
      <w:r>
        <w:t xml:space="preserve"> </w:t>
      </w:r>
      <w:r>
        <w:t xml:space="preserve">Ces pools peuvent être gérés par des personnes physiques ou morales ainsi que par des sociétés de personnes.</w:t>
      </w:r>
      <w:r>
        <w:t xml:space="preserve"> </w:t>
      </w:r>
      <w:r>
        <w:t xml:space="preserve">Les opérateurs ont généralement une vue d'ensemble des emballages réutilisables mis sur le marché, utilisés, mis au rebut et éliminés au sein de leur pool.</w:t>
      </w:r>
      <w:r>
        <w:t xml:space="preserve"> </w:t>
      </w:r>
      <w:r>
        <w:t xml:space="preserve">L'enquête cumulée s'effectue auprès des opérateurs de pools réutilisables afin de soulager les fabricants, souvent des petites et moyennes entreprises qui utilisent les emballages réutilisables correspondants.</w:t>
      </w:r>
      <w:r>
        <w:t xml:space="preserve"> </w:t>
      </w:r>
    </w:p>
    <w:p w14:paraId="516AB7ED" w14:textId="77777777" w:rsidR="00F03FD7" w:rsidRPr="00AE0058" w:rsidRDefault="00F03FD7" w:rsidP="00F03FD7">
      <w:pPr>
        <w:pStyle w:val="Text"/>
      </w:pPr>
      <w:r>
        <w:t xml:space="preserve">Par «emballages réutilisables fournis pour la première fois aux entreprises participantes», on entend les emballages qui sont utilisés et remplis pour la première fois par les entreprises participantes dans le cadre du groupement d'emballages réutilisables.</w:t>
      </w:r>
      <w:r>
        <w:t xml:space="preserve"> </w:t>
      </w:r>
      <w:r>
        <w:t xml:space="preserve">L'objectif de cette enquête est d'enregistrer le nombre de nouveaux emballages ajoutés au pool pour la période de l'enquête.</w:t>
      </w:r>
      <w:r>
        <w:t xml:space="preserve"> </w:t>
      </w:r>
    </w:p>
    <w:p w14:paraId="061EE5AE" w14:textId="6D096EDA" w:rsidR="00F03FD7" w:rsidRPr="00AE0058" w:rsidRDefault="00F03FD7" w:rsidP="00F03FD7">
      <w:pPr>
        <w:pStyle w:val="Text"/>
      </w:pPr>
      <w:r>
        <w:t xml:space="preserve">En ce qui concerne la circulation des emballages réutilisables, une estimation crédible des opérations de remplissage effectuées dans chaque cas est suffisante, à moins que des informations spécifiques ne soient connues.</w:t>
      </w:r>
      <w:r>
        <w:t xml:space="preserve"> </w:t>
      </w:r>
    </w:p>
    <w:p w14:paraId="6A5DEADF" w14:textId="77777777" w:rsidR="00F03FD7" w:rsidRPr="00AE0058" w:rsidRDefault="00F03FD7" w:rsidP="00F03FD7">
      <w:pPr>
        <w:pStyle w:val="Text"/>
      </w:pPr>
      <w:r>
        <w:t xml:space="preserve">La collecte de données sur les emballages réutilisables sert à transposer l'article 12, paragraphe 3a de la directive 94/62/CE.</w:t>
      </w:r>
    </w:p>
    <w:p w14:paraId="4CECE19B" w14:textId="14353B01" w:rsidR="00783FD5" w:rsidRPr="00AE0058" w:rsidRDefault="00783FD5" w:rsidP="00E13372">
      <w:pPr>
        <w:pStyle w:val="Text"/>
        <w:keepNext/>
        <w:rPr>
          <w:b/>
        </w:rPr>
      </w:pPr>
      <w:r>
        <w:rPr>
          <w:b/>
        </w:rPr>
        <w:t xml:space="preserve">Concernant l'article 5a, paragraphe 3</w:t>
      </w:r>
    </w:p>
    <w:p w14:paraId="7B6B61E5" w14:textId="231898D3" w:rsidR="006F2FC4" w:rsidRPr="00AE0058" w:rsidRDefault="007740A5" w:rsidP="007740A5">
      <w:pPr>
        <w:pStyle w:val="Text"/>
      </w:pPr>
      <w:r>
        <w:t xml:space="preserve">Les destinataires du paragraphe 3 sont les fabricants d'emballages conformément à l'article 3, paragraphe 14 de la loi sur les emballages.</w:t>
      </w:r>
      <w:r>
        <w:t xml:space="preserve"> </w:t>
      </w:r>
      <w:r>
        <w:t xml:space="preserve">On collecte auprès d'eux des données sur les emballages mis sur le marché pour la première fois et sur les emballages repris comme déchets par les fabricants.</w:t>
      </w:r>
      <w:r>
        <w:t xml:space="preserve"> </w:t>
      </w:r>
      <w:r>
        <w:t xml:space="preserve">L'enquête ne concerne que les emballages qui ne sont généralement pas considérés comme des déchets au niveau du consommateur final, puisque les données nécessaires sur ces emballages sont déjà collectées au titre du paragraphe 1.</w:t>
      </w:r>
      <w:r>
        <w:t xml:space="preserve"> </w:t>
      </w:r>
    </w:p>
    <w:p w14:paraId="387136D3" w14:textId="462095C3" w:rsidR="006F2FC4" w:rsidRPr="00AE0058" w:rsidRDefault="006F2FC4" w:rsidP="00E13372">
      <w:pPr>
        <w:pStyle w:val="Text"/>
      </w:pPr>
      <w:r>
        <w:t xml:space="preserve">Le modèle d'enquête qui combine une enquête complète et une enquête par échantillonnage et une évaluation au moyen d'une nouvelle enquête complète tient compte du fait que, d'une part, on sait peu de choses sur l'étendue et la structure du périmètre de déclaration et que des changements majeurs peuvent se produire ici sur des périodes de temps moyennes, d'autre part, l'effort à fournir par les entreprises à interroger doit être limité autant que possible et, troisièmement, les exigences en matière de valeur informative et de fiabilité des statistiques de la part d'autres secteurs économiques, en particulier le secteur en amont, par exemple les fabricants et les distributeurs d'emballages, et le secteur en aval, par exemple les entreprises de valorisation et de recyclage, qui veulent évaluer leurs débouchés respectifs, mais aussi par les organismes gouvernementaux aux niveaux local, régional et fédéral, qui doivent prendre des décisions fondées sur des données et des faits.</w:t>
      </w:r>
      <w:r>
        <w:t xml:space="preserve"> </w:t>
      </w:r>
      <w:r>
        <w:t xml:space="preserve">Toutefois, il n'est pas possible d'obtenir des résultats significatifs et fiables à partir d'enquêtes par échantillonnage sans une connaissance précise de l'ensemble.</w:t>
      </w:r>
      <w:r>
        <w:t xml:space="preserve"> </w:t>
      </w:r>
      <w:r>
        <w:t xml:space="preserve">L'enquête par échantillonnage dérive méthodologiquement et statistiquement des résultats des enquêtes complètes.</w:t>
      </w:r>
      <w:r>
        <w:t xml:space="preserve"> </w:t>
      </w:r>
    </w:p>
    <w:p w14:paraId="57CA0C1D" w14:textId="77777777" w:rsidR="009460EA" w:rsidRPr="00AE0058" w:rsidRDefault="009460EA" w:rsidP="00E13372">
      <w:pPr>
        <w:pStyle w:val="Text"/>
      </w:pPr>
      <w:r>
        <w:t xml:space="preserve">L'enquête par échantillonnage s'appuie sur le registre des emballages qui a été étendu à tous les fabricants d'emballages avec la modification de la loi sur les emballages par la loi portant transposition des dispositions de la directive sur les plastiques à usage unique et de la directive-cadre sur les déchets dans la loi sur les emballages et d'autres lois de [à insérer dans la suite de la procédure], de sorte que les fabricants visés à l'article 5a, paragraphe 3, sont désormais également soumis à l'enregistrement.</w:t>
      </w:r>
      <w:r>
        <w:t xml:space="preserve"> </w:t>
      </w:r>
    </w:p>
    <w:p w14:paraId="29755A95" w14:textId="77777777" w:rsidR="007740A5" w:rsidRPr="00AE0058" w:rsidRDefault="007740A5" w:rsidP="007740A5">
      <w:pPr>
        <w:pStyle w:val="Text"/>
      </w:pPr>
      <w:r>
        <w:t xml:space="preserve">Le point 1 de ce paragraphe régit le relevé du type et de la quantité d'emballages mis sur le marché pour la première fois en vertu de l'article 15, paragraphe 1, phrase 1 de la loi sur les emballages.</w:t>
      </w:r>
      <w:r>
        <w:t xml:space="preserve"> </w:t>
      </w:r>
    </w:p>
    <w:p w14:paraId="1620C7B2" w14:textId="6650DC32" w:rsidR="007740A5" w:rsidRPr="00AE0058" w:rsidRDefault="007740A5" w:rsidP="007740A5">
      <w:pPr>
        <w:pStyle w:val="Text"/>
      </w:pPr>
      <w:r>
        <w:t xml:space="preserve">Le point 2 règle le relevé du type et de la quantité d'emballages repris conformément à l'article 15, paragraphe 1, phrase 1 de la loi sur les emballages.</w:t>
      </w:r>
      <w:r>
        <w:t xml:space="preserve"> </w:t>
      </w:r>
      <w:r>
        <w:t xml:space="preserve">Les deux règlements servent à transposer l'article 8 bis, paragraphe 1c de la directive 2008/98/CE en liaison avec l'article 7, paragraphe 2 de la directive 94/62/CE.</w:t>
      </w:r>
      <w:r>
        <w:t xml:space="preserve"> </w:t>
      </w:r>
    </w:p>
    <w:p w14:paraId="0299A8AC" w14:textId="471C638C" w:rsidR="007740A5" w:rsidRPr="00AE0058" w:rsidRDefault="007740A5" w:rsidP="007740A5">
      <w:pPr>
        <w:pStyle w:val="Text"/>
      </w:pPr>
      <w:r>
        <w:t xml:space="preserve">Les points 1 et 2 contiennent tous deux une exception concernant les emballages réutilisables, puisque ceux-ci sont également couverts par la phrase 1 de l'article 15, paragraphe 1 de la loi sur les emballages, mais le recensement des emballages réutilisables est réglementé séparément au paragraphe 2, ainsi qu'au paragraphe 3, points 3 et 4, et au paragraphe 4, point 2.</w:t>
      </w:r>
      <w:r>
        <w:t xml:space="preserve"> </w:t>
      </w:r>
      <w:r>
        <w:t xml:space="preserve">La dérogation prévue au paragraphe 3, points 1 et 2, vise à éviter les doublons.</w:t>
      </w:r>
      <w:r>
        <w:t xml:space="preserve"> </w:t>
      </w:r>
    </w:p>
    <w:p w14:paraId="5BE87A04" w14:textId="2723D597" w:rsidR="007740A5" w:rsidRPr="00AE0058" w:rsidRDefault="007740A5" w:rsidP="007740A5">
      <w:pPr>
        <w:pStyle w:val="Text"/>
      </w:pPr>
      <w:r>
        <w:t xml:space="preserve">Le point 3 de ce paragraphe régit le relevé du type et de la quantité d'emballages réutilisables mis sur le marché pour la première fois conformément à l'article 3, paragraphe 3 de la loi sur les emballages, le nombre d'emballages réutilisables en circulation et le nombre de fois qu'ils ont été mis en circulation, c'est-à-dire la fréquence à laquelle un emballage réutilisable a été rempli au cours de la période de référence.</w:t>
      </w:r>
    </w:p>
    <w:p w14:paraId="009DD9C1" w14:textId="77777777" w:rsidR="007740A5" w:rsidRPr="00AE0058" w:rsidRDefault="007740A5" w:rsidP="007740A5">
      <w:pPr>
        <w:pStyle w:val="Text"/>
      </w:pPr>
      <w:r>
        <w:t xml:space="preserve">Le point 4 régit le relevé du type et de la quantité d'emballages réutilisables triés comme déchets, ainsi que leur localisation et leur élimination.</w:t>
      </w:r>
    </w:p>
    <w:p w14:paraId="42B7739D" w14:textId="77777777" w:rsidR="007740A5" w:rsidRPr="00AE0058" w:rsidRDefault="007740A5" w:rsidP="007740A5">
      <w:pPr>
        <w:pStyle w:val="Text"/>
      </w:pPr>
      <w:r>
        <w:t xml:space="preserve">Une enquête au titre de ces points n'est effectuée que dans la mesure où elle n'a pas déjà été réalisée conformément au paragraphe 2.</w:t>
      </w:r>
      <w:r>
        <w:t xml:space="preserve"> </w:t>
      </w:r>
      <w:r>
        <w:t xml:space="preserve">Cela permet, d'une part, d'éviter les doublons et, d'autre part, d'alléger la charge des petites et moyennes entreprises, qui sont souvent impliquées dans des pools réutilisables.</w:t>
      </w:r>
      <w:r>
        <w:t xml:space="preserve"> </w:t>
      </w:r>
    </w:p>
    <w:p w14:paraId="12DB3836" w14:textId="77777777" w:rsidR="007740A5" w:rsidRPr="00AE0058" w:rsidRDefault="007740A5" w:rsidP="007740A5">
      <w:pPr>
        <w:pStyle w:val="Text"/>
      </w:pPr>
      <w:r>
        <w:t xml:space="preserve">Les deux dispositions visent à transposer l’article 12, paragraphe 3c de la directive 94/62/CE.</w:t>
      </w:r>
      <w:r>
        <w:t xml:space="preserve"> </w:t>
      </w:r>
    </w:p>
    <w:p w14:paraId="7F083D50" w14:textId="542E3CFC" w:rsidR="007740A5" w:rsidRPr="00AE0058" w:rsidRDefault="007740A5" w:rsidP="007740A5">
      <w:pPr>
        <w:pStyle w:val="Text"/>
      </w:pPr>
      <w:r>
        <w:t xml:space="preserve">Les deux dispositions réglementent la répartition de l'enquête entre les emballages de vente et les autres emballages réutilisables, ceci afin de transposer l'article 9, paragraphe 2, en liaison avec l'annexe I de la décision 2005/270/CE telle que modifiée par la décision d'application (UE) 2019/665 de la Commission du 17 avril 2019 (JO L 112 du 26.4.2019, p. 26).</w:t>
      </w:r>
    </w:p>
    <w:p w14:paraId="1EF14BB5" w14:textId="0E404469" w:rsidR="00694D2B" w:rsidRPr="00AE0058" w:rsidRDefault="007740A5" w:rsidP="00156BA8">
      <w:pPr>
        <w:pStyle w:val="Text"/>
      </w:pPr>
      <w:r>
        <w:t xml:space="preserve">Les points 5 et 6 régissent le relevé du type et de la quantité d'emballages de boissons à usage unique mis sur le marché pour la première fois et soumis à une consigne en vertu de l'article 31 de la loi sur les emballages, ainsi que le type et la quantité des emballages correspondants repris, leur localisation et leur élimination.</w:t>
      </w:r>
      <w:r>
        <w:t xml:space="preserve"> </w:t>
      </w:r>
      <w:r>
        <w:t xml:space="preserve">La collecte de données sur les bouteilles de boissons non réutilisables mentionnée au point 6 sert, outre la transposition de la directive sur les plastiques à usage unique, à la transposition de l'article 8a, paragraphe 1c) de la directive-cadre sur les déchets en liaison avec l'article 7, paragraphe 2 de la directive sur les emballages.</w:t>
      </w:r>
      <w:r>
        <w:t xml:space="preserve"> </w:t>
      </w:r>
      <w:r>
        <w:t xml:space="preserve">Les systèmes de notification requis par la directive-cadre sur les déchets doivent couvrir tous les régimes de responsabilité élargie des fabricants.</w:t>
      </w:r>
      <w:r>
        <w:t xml:space="preserve"> </w:t>
      </w:r>
      <w:r>
        <w:t xml:space="preserve">Selon l'article 7, paragraphe 2 de la directive sur les emballages, tous les emballages doivent être soumis à un régime de responsabilité élargie des fabricants.</w:t>
      </w:r>
      <w:r>
        <w:t xml:space="preserve"> </w:t>
      </w:r>
      <w:r>
        <w:t xml:space="preserve">Par conséquent, la combinaison des deux règlements entraîne la nécessité de créer un système de déclaration également pour les bouteilles de boissons en plastique à usage unique.</w:t>
      </w:r>
      <w:r>
        <w:t xml:space="preserve"> </w:t>
      </w:r>
    </w:p>
    <w:p w14:paraId="3BDE521D" w14:textId="716A393D" w:rsidR="007740A5" w:rsidRPr="00AE0058" w:rsidRDefault="007740A5" w:rsidP="007740A5">
      <w:pPr>
        <w:pStyle w:val="Text"/>
      </w:pPr>
      <w:r>
        <w:t xml:space="preserve">En outre, la part recyclée des bouteilles de boissons en plastique à usage unique mises sur le marché pour la première fois est également relevée.</w:t>
      </w:r>
      <w:r>
        <w:t xml:space="preserve"> </w:t>
      </w:r>
      <w:r>
        <w:t xml:space="preserve">Ceci vise à transposer l'article 13, paragraphe 1, lettre e du règlement (UE) 2019/904.</w:t>
      </w:r>
    </w:p>
    <w:p w14:paraId="2B46389F" w14:textId="77777777" w:rsidR="006F2FC4" w:rsidRPr="00AE0058" w:rsidRDefault="00783FD5" w:rsidP="00E13372">
      <w:pPr>
        <w:pStyle w:val="Text"/>
        <w:keepNext/>
        <w:rPr>
          <w:b/>
        </w:rPr>
      </w:pPr>
      <w:r>
        <w:rPr>
          <w:b/>
        </w:rPr>
        <w:t xml:space="preserve">Concernant l'article 5a, paragraphe 4</w:t>
      </w:r>
    </w:p>
    <w:p w14:paraId="33B447DC" w14:textId="261CADE0" w:rsidR="006F2FC4" w:rsidRPr="00AE0058" w:rsidRDefault="006F2FC4" w:rsidP="006F2FC4">
      <w:pPr>
        <w:pStyle w:val="Text"/>
      </w:pPr>
      <w:r>
        <w:t xml:space="preserve">L'article 5a, paragraphe 4, régit le relevé de la quantité de sacs en plastique très légers mis sur le marché pour la première fois et sert à transposer l'article 4, paragraphe 1a de la directive 94/62/CE.</w:t>
      </w:r>
      <w:r>
        <w:t xml:space="preserve"> </w:t>
      </w:r>
      <w:r>
        <w:t xml:space="preserve">Il s'agit de sacs en plastique d'une épaisseur de 15 micromètres au plus.</w:t>
      </w:r>
      <w:r>
        <w:t xml:space="preserve"> </w:t>
      </w:r>
      <w:r>
        <w:t xml:space="preserve">Les sacs en plastique léger, c'est-à-dire ceux dont l'épaisseur comprise entre 15 et 50 micromètres peuvent être ignorés, leur mise sur le marché ayant été interdite à partir du 01.01.2022.</w:t>
      </w:r>
      <w:r>
        <w:t xml:space="preserve"> </w:t>
      </w:r>
      <w:r>
        <w:t xml:space="preserve">Toutefois, les sacs en plastique très légers sont toujours saisis dans un sous-groupe des sacs en plastique légers et continuent donc à être soumis à obligation de déclaration, comme le prévoit la décision de la Commission du 22 mars 2005 établissant les formats des tableaux pour la base de données conformément à la directive 94/62/CE et l'article 4, paragraphe 1a, lettre a) de la directive sur les emballages.</w:t>
      </w:r>
      <w:r>
        <w:t xml:space="preserve"> </w:t>
      </w:r>
      <w:r>
        <w:t xml:space="preserve">La caractéristique d'enquête «quantité» permet également un relevé par nombre de sacs en plastique très légers mis sur le marché.</w:t>
      </w:r>
      <w:r>
        <w:t xml:space="preserve"> </w:t>
      </w:r>
      <w:r>
        <w:t xml:space="preserve">L'enquête est réalisée auprès des entreprises qui mettent sur le marché des sacs en plastique très légers.</w:t>
      </w:r>
      <w:r>
        <w:t xml:space="preserve"> </w:t>
      </w:r>
    </w:p>
    <w:p w14:paraId="35ED64DF" w14:textId="7A6CF7CD" w:rsidR="00783FD5" w:rsidRPr="00AE0058" w:rsidRDefault="00783FD5" w:rsidP="0091334C">
      <w:pPr>
        <w:pStyle w:val="Text"/>
        <w:keepNext/>
        <w:rPr>
          <w:b/>
        </w:rPr>
      </w:pPr>
      <w:r>
        <w:rPr>
          <w:b/>
        </w:rPr>
        <w:t xml:space="preserve">Concernant l'article 5a, paragraphe 5</w:t>
      </w:r>
    </w:p>
    <w:p w14:paraId="6DC0A5EF" w14:textId="119E118C" w:rsidR="00F04C14" w:rsidRPr="00AE0058" w:rsidRDefault="00F04C14" w:rsidP="00F04C14">
      <w:pPr>
        <w:pStyle w:val="Text"/>
      </w:pPr>
      <w:r>
        <w:t xml:space="preserve">La disposition vise à transposer l’article 13, paragraphe 1 de la directive (UE) 2019/904.</w:t>
      </w:r>
      <w:r>
        <w:t xml:space="preserve"> </w:t>
      </w:r>
      <w:r>
        <w:t xml:space="preserve">Les destinataires de l'enquête sont les entreprises qui mettent sur le marché pour la première fois les produits en plastique à usage unique visés à l'article 13, paragraphe 1 de la directive (UE) 2019/904.</w:t>
      </w:r>
      <w:r>
        <w:t xml:space="preserve"> </w:t>
      </w:r>
      <w:r>
        <w:t xml:space="preserve">Le type et la quantité de ces produits mis sur le marché pour la première fois sont collectés.</w:t>
      </w:r>
      <w:r>
        <w:t xml:space="preserve"> </w:t>
      </w:r>
      <w:r>
        <w:t xml:space="preserve">Le terme «type» comprend également la nature spécifique de certains produits (par exemple, jetables ou réutilisables, composants en plastique, utilisation de matériaux recyclés et capacité de recyclage).</w:t>
      </w:r>
      <w:r>
        <w:t xml:space="preserve"> </w:t>
      </w:r>
      <w:r>
        <w:t xml:space="preserve">La référence glissante à la directive (UE) 2019/904 permet de réaliser une enquête complète même si les obligations de déclaration qui y sont prévues sont étendues.</w:t>
      </w:r>
      <w:r>
        <w:t xml:space="preserve"> </w:t>
      </w:r>
      <w:r>
        <w:t xml:space="preserve">Afin d'éviter les doublons, une enquête n'est réalisée sur la base du présent paragraphe que si l'enquête n'a pas déjà été réalisée sur la base des paragraphes 1 à 4 de la présente disposition.</w:t>
      </w:r>
      <w:r>
        <w:t xml:space="preserve"> </w:t>
      </w:r>
    </w:p>
    <w:p w14:paraId="3ED90221" w14:textId="5E113824" w:rsidR="004512AA" w:rsidRPr="00AE0058" w:rsidRDefault="004512AA" w:rsidP="00E13372">
      <w:pPr>
        <w:pStyle w:val="Text"/>
        <w:keepNext/>
        <w:rPr>
          <w:b/>
        </w:rPr>
      </w:pPr>
      <w:r>
        <w:rPr>
          <w:b/>
        </w:rPr>
        <w:t xml:space="preserve">Concernant l'article 5a, paragraphe 6</w:t>
      </w:r>
    </w:p>
    <w:p w14:paraId="10FE6ED1" w14:textId="29C23D31" w:rsidR="0091334C" w:rsidRPr="00AE0058" w:rsidRDefault="00191EEB" w:rsidP="00396DB7">
      <w:pPr>
        <w:pStyle w:val="Text"/>
      </w:pPr>
      <w:r>
        <w:t xml:space="preserve">Cette disposition vise également à transposer l'article 13, paragraphe 1 de la directive 2019/904 et régit le relevé du type, de la quantité, de la localisation et de l'élimination des déchets provenant des produits en plastique à usage unique considérés.</w:t>
      </w:r>
      <w:r>
        <w:t xml:space="preserve"> </w:t>
      </w:r>
      <w:r>
        <w:t xml:space="preserve">La disposition couvre la collecte de toutes les données requises pour la déclaration des produits plastiques à usage unique éliminés, conformément à l'article 13 de la directive (UE) 2019/904.</w:t>
      </w:r>
      <w:r>
        <w:t xml:space="preserve"> </w:t>
      </w:r>
      <w:r>
        <w:t xml:space="preserve">Le terme «élimination» comprend également le type de déchets (par exemple dans les systèmes de collecte publics) et le type de collecte (par exemple séparée ou mixte). L'enquête doit être réalisée auprès des autorités publiques et ce n'est que si elles ne disposent pas des données nécessaires que les autres destinataires de ce paragraphe doivent être consultés.</w:t>
      </w:r>
      <w:r>
        <w:t xml:space="preserve"> </w:t>
      </w:r>
    </w:p>
    <w:p w14:paraId="7F535F2C" w14:textId="18E3F2E3" w:rsidR="00191EEB" w:rsidRPr="00AE0058" w:rsidRDefault="00191EEB" w:rsidP="00E13372">
      <w:pPr>
        <w:pStyle w:val="Text"/>
        <w:keepNext/>
        <w:rPr>
          <w:b/>
        </w:rPr>
      </w:pPr>
      <w:r>
        <w:rPr>
          <w:b/>
        </w:rPr>
        <w:t xml:space="preserve">Concernant l'article 5a, paragraphe 7</w:t>
      </w:r>
    </w:p>
    <w:p w14:paraId="3E1E402C" w14:textId="2683F15D" w:rsidR="00833D9D" w:rsidRPr="00AE0058" w:rsidRDefault="00833D9D" w:rsidP="00833D9D">
      <w:pPr>
        <w:pStyle w:val="Text"/>
      </w:pPr>
      <w:r>
        <w:t xml:space="preserve">Cette disposition transpose l'article 8, paragraphe 7 de la directive (UE) 2019/883, qui prévoit le relevé du volume et de la quantité de déchets issus de la pêche passive.</w:t>
      </w:r>
      <w:r>
        <w:t xml:space="preserve"> </w:t>
      </w:r>
      <w:r>
        <w:t xml:space="preserve">Étant donné que la collecte et l'élimination des déchets de la pêche passive sont actuellement effectuées dans le cadre d'initiatives volontaires et que la mise en place de ces systèmes de collecte dans les ports est en cours de développement, le public cible a été défini de manière aussi large que possible.</w:t>
      </w:r>
      <w:r>
        <w:t xml:space="preserve"> </w:t>
      </w:r>
      <w:r>
        <w:t xml:space="preserve">Les données peuvent être collectées auprès de toutes les personnes physiques et morales, telles que les exploitants d'installations portuaires et les entreprises privées de gestion des déchets, ainsi qu'auprès des autorités publiques de gestion des déchets et des autorités compétentes.</w:t>
      </w:r>
      <w:r>
        <w:t xml:space="preserve"> </w:t>
      </w:r>
      <w:r>
        <w:t xml:space="preserve">De cette manière, les offices statistiques des Länder peuvent disposer d'un large éventail d'organismes auxquels ils peuvent accéder pour recueillir les données, grâce à leur meilleure connaissance des conditions sur le terrain.</w:t>
      </w:r>
    </w:p>
    <w:p w14:paraId="286E9052" w14:textId="49BF27B7" w:rsidR="00907F7B" w:rsidRPr="00AE0058" w:rsidRDefault="00907F7B" w:rsidP="00907F7B">
      <w:pPr>
        <w:pStyle w:val="VerweisBegrndung"/>
      </w:pPr>
      <w:r>
        <w:t xml:space="preserve">Concernant le </w:t>
      </w:r>
      <w:r>
        <w:rPr>
          <w:rStyle w:val="Binnenverweis"/>
        </w:rPr>
        <w:t xml:space="preserve">point 5</w:t>
      </w:r>
    </w:p>
    <w:p w14:paraId="4BC9847D" w14:textId="6A1C7C14" w:rsidR="00907F7B" w:rsidRPr="00AE0058" w:rsidRDefault="00833D9D" w:rsidP="00907F7B">
      <w:pPr>
        <w:pStyle w:val="Text"/>
      </w:pPr>
      <w:r>
        <w:t xml:space="preserve">Il s'agit d'une modification consécutive à l'ajout de l'article 5a.</w:t>
      </w:r>
    </w:p>
    <w:p w14:paraId="682E5B6F" w14:textId="04DA9148" w:rsidR="00A27E6F" w:rsidRPr="00AE0058" w:rsidRDefault="00A27E6F" w:rsidP="00A27E6F">
      <w:pPr>
        <w:pStyle w:val="VerweisBegrndung"/>
      </w:pPr>
      <w:r>
        <w:t xml:space="preserve">Concernant le </w:t>
      </w:r>
      <w:r>
        <w:rPr>
          <w:rStyle w:val="Binnenverweis"/>
        </w:rPr>
        <w:t xml:space="preserve">point 6</w:t>
      </w:r>
    </w:p>
    <w:p w14:paraId="23E32232" w14:textId="5AF5BDD7" w:rsidR="00A27E6F" w:rsidRPr="00AE0058" w:rsidRDefault="003A6C1F" w:rsidP="00E13372">
      <w:pPr>
        <w:pStyle w:val="Text"/>
        <w:keepNext/>
        <w:rPr>
          <w:b/>
        </w:rPr>
      </w:pPr>
      <w:r>
        <w:rPr>
          <w:b/>
        </w:rPr>
        <w:t xml:space="preserve">Concernant l'article 7 (Enquête sur les services publics d'approvisionnement en eau et d'assainissement)</w:t>
      </w:r>
    </w:p>
    <w:p w14:paraId="01A633BC" w14:textId="75C67C4D" w:rsidR="003A6C1F" w:rsidRPr="00AE0058" w:rsidRDefault="003A6C1F" w:rsidP="00E13372">
      <w:pPr>
        <w:pStyle w:val="Text"/>
        <w:keepNext/>
        <w:rPr>
          <w:b/>
        </w:rPr>
      </w:pPr>
      <w:r>
        <w:rPr>
          <w:b/>
        </w:rPr>
        <w:t xml:space="preserve">Concernant l'article 7, paragraphe 1, point 1</w:t>
      </w:r>
    </w:p>
    <w:p w14:paraId="11360B74" w14:textId="173AC25A" w:rsidR="005C1D72" w:rsidRPr="00AE0058" w:rsidRDefault="005C1D72" w:rsidP="005C1D72">
      <w:pPr>
        <w:pStyle w:val="Text"/>
      </w:pPr>
      <w:r>
        <w:t xml:space="preserve">La modification vise à localiser précisément le bassin versant dans les districts hydrographiques (unités de planification) conformément à la directive 2000/60/CE (JO L 327 du 22.12.2000 - directive-cadre sur l'eau (DCE)).</w:t>
      </w:r>
    </w:p>
    <w:p w14:paraId="6E4F335B" w14:textId="77777777" w:rsidR="00B1514F" w:rsidRPr="00AE0058" w:rsidRDefault="00B1514F" w:rsidP="00B1514F">
      <w:pPr>
        <w:pStyle w:val="Text"/>
      </w:pPr>
      <w:r>
        <w:t xml:space="preserve">Il s'agit d'une demande de statut sur le fonctionnement de l'installation au cours de l'année de déclaration, qui sert au suivi du périmètre de déclaration et à l'assurance qualité de l'enquête.</w:t>
      </w:r>
      <w:r>
        <w:t xml:space="preserve"> </w:t>
      </w:r>
      <w:r>
        <w:t xml:space="preserve">La requête ne concerne que quelques déclarants et n'entraine aucune dépense.</w:t>
      </w:r>
      <w:r>
        <w:t xml:space="preserve"> </w:t>
      </w:r>
    </w:p>
    <w:p w14:paraId="6F72283C" w14:textId="77777777" w:rsidR="00B1514F" w:rsidRPr="00AE0058" w:rsidRDefault="00B1514F" w:rsidP="00B1514F">
      <w:pPr>
        <w:pStyle w:val="Text"/>
      </w:pPr>
      <w:r>
        <w:t xml:space="preserve">Les installations qui ont quitté définitivement l'actif de l'exploitant (déclassées/transférées à un autre exploitant) n'ont plus besoin d'être comptabilisées lors de l'enquête suivante.</w:t>
      </w:r>
      <w:r>
        <w:t xml:space="preserve"> </w:t>
      </w:r>
      <w:r>
        <w:t xml:space="preserve">Les installations qui ont été temporairement arrêtées au cours de l'année font état d'une quantité d'eau plus faible (article 7, paragraphe 2, point 1.b) que lors de l'enquête précédente.</w:t>
      </w:r>
      <w:r>
        <w:t xml:space="preserve"> </w:t>
      </w:r>
      <w:r>
        <w:t xml:space="preserve">L'indication de l'arrêt temporaire explique cette différence et évite d'avoir à demander au déclarant la raison de cette différence.</w:t>
      </w:r>
    </w:p>
    <w:p w14:paraId="54854465" w14:textId="22A3C0E3" w:rsidR="003A6C1F" w:rsidRPr="00AE0058" w:rsidRDefault="003A6C1F" w:rsidP="00E13372">
      <w:pPr>
        <w:pStyle w:val="Text"/>
        <w:keepNext/>
        <w:rPr>
          <w:b/>
        </w:rPr>
      </w:pPr>
      <w:r>
        <w:rPr>
          <w:b/>
        </w:rPr>
        <w:t xml:space="preserve">Concernant l'article 7, paragraphe 1, point 3</w:t>
      </w:r>
    </w:p>
    <w:p w14:paraId="4DA23235" w14:textId="712FFC9E" w:rsidR="006B739A" w:rsidRPr="00AE0058" w:rsidRDefault="006B739A" w:rsidP="006B739A">
      <w:pPr>
        <w:pStyle w:val="Text"/>
      </w:pPr>
      <w:r>
        <w:t xml:space="preserve">La suppression de la répartition régionale des caractéristiques d'enquête selon les bassins hydrographiques (WEG), qui était effectuée auparavant, découle du fait que le WEG a été remplacé par le district hydrographique en tant qu'unité de référence hydrogéographique depuis la DCE de l'année 2000.</w:t>
      </w:r>
      <w:r>
        <w:t xml:space="preserve"> </w:t>
      </w:r>
      <w:r>
        <w:t xml:space="preserve">Un ordre légal pour la collecte des caractéristiques par bassin hydrographique n'est pas non plus nécessaire dans la mesure où les informations correspondantes pour l'attribution régionale sont déterminées dans d'autres contextes (clé officielle de la commune/AGS, géolocalisation), qui permettent des évaluations régionales très variées (si nécessaire et sur demande).</w:t>
      </w:r>
    </w:p>
    <w:p w14:paraId="0CEF8DB3" w14:textId="0131F245" w:rsidR="003A6C1F" w:rsidRPr="00AE0058" w:rsidRDefault="006B739A" w:rsidP="006B739A">
      <w:pPr>
        <w:pStyle w:val="Text"/>
      </w:pPr>
      <w:r>
        <w:t xml:space="preserve">Avec la modification de l'UStatG 2005, le 30 juin de l'année de déclaration a été introduit comme nouvelle date de référence pour les données démographiques au lieu du 31 décembre pour des raisons liées à l'enquête.</w:t>
      </w:r>
      <w:r>
        <w:t xml:space="preserve"> </w:t>
      </w:r>
      <w:r>
        <w:t xml:space="preserve">Toutefois, cela s'est avéré être un facteur de complication dans la transposition de l'enquête, dans la mesure où les données sur les zones dans les enquêtes se réfèrent au 31 décembre.</w:t>
      </w:r>
      <w:r>
        <w:t xml:space="preserve"> </w:t>
      </w:r>
      <w:r>
        <w:t xml:space="preserve">Pour cette raison, les données démographiques doivent être à nouveau fournies au 31 décembre.</w:t>
      </w:r>
      <w:r>
        <w:t xml:space="preserve"> </w:t>
      </w:r>
      <w:r>
        <w:t xml:space="preserve">Cependant, comme l'expérience a montré que les données démographiques officielles nationales avec une date limite du 31 décembre sont publiées définitivement avec un retard de plusieurs mois, ces données pour l'année en cours ne sont disponibles qu'à un stade avancé de l'enquête, ce qui retarde le traitement final.</w:t>
      </w:r>
      <w:r>
        <w:t xml:space="preserve"> </w:t>
      </w:r>
      <w:r>
        <w:t xml:space="preserve">Le changement de la date limite pour les données démographiques au 31 décembre de l'année précédant l'année de déclaration permettra de disposer de données à jour pour les enquêtes.</w:t>
      </w:r>
      <w:r>
        <w:t xml:space="preserve"> </w:t>
      </w:r>
      <w:r>
        <w:t xml:space="preserve">Il s’agit ainsi d'une simplification de relevé.</w:t>
      </w:r>
      <w:r>
        <w:t xml:space="preserve"> </w:t>
      </w:r>
      <w:r>
        <w:t xml:space="preserve">Le choix de cette date limite plus précoce n'a qu'un effet insignifiant sur les données démographiques recueillies et les calculs ultérieurs des taux de raccordement et d'approvisionnement ainsi que sur les calculs par habitant, puisque la population d'une zone de service ne change que légèrement au cours d'une année.</w:t>
      </w:r>
      <w:r>
        <w:t xml:space="preserve"> </w:t>
      </w:r>
      <w:r>
        <w:t xml:space="preserve">Dans des cas exceptionnels, tels que l'augmentation de l'immigration, des ajustements peuvent être nécessaires.</w:t>
      </w:r>
    </w:p>
    <w:p w14:paraId="3DF1B36B" w14:textId="059C4471" w:rsidR="003A6C1F" w:rsidRPr="00AE0058" w:rsidRDefault="003A6C1F" w:rsidP="00E13372">
      <w:pPr>
        <w:pStyle w:val="Text"/>
        <w:keepNext/>
        <w:rPr>
          <w:b/>
        </w:rPr>
      </w:pPr>
      <w:r>
        <w:rPr>
          <w:b/>
        </w:rPr>
        <w:t xml:space="preserve">Concernant l'article 7, paragraphe 1, point 4</w:t>
      </w:r>
    </w:p>
    <w:p w14:paraId="52FA5981" w14:textId="502CA997" w:rsidR="005C1D72" w:rsidRPr="00AE0058" w:rsidRDefault="005C1D72" w:rsidP="00A27E6F">
      <w:pPr>
        <w:pStyle w:val="Text"/>
      </w:pPr>
      <w:r>
        <w:t xml:space="preserve">Le changement du terme «écart de mesure» en «pertes d'eau» est une adaptation d'un terme technique commun.</w:t>
      </w:r>
    </w:p>
    <w:p w14:paraId="28547556" w14:textId="7696511C" w:rsidR="00963C97" w:rsidRPr="00AE0058" w:rsidRDefault="00963C97" w:rsidP="00E13372">
      <w:pPr>
        <w:pStyle w:val="Text"/>
        <w:keepNext/>
        <w:rPr>
          <w:b/>
        </w:rPr>
      </w:pPr>
      <w:r>
        <w:rPr>
          <w:b/>
        </w:rPr>
        <w:t xml:space="preserve">Concernant l'article 7, paragraphe 2</w:t>
      </w:r>
    </w:p>
    <w:p w14:paraId="12A75FC0" w14:textId="1C15C6B4" w:rsidR="00963C97" w:rsidRPr="00AE0058" w:rsidRDefault="004C04FE" w:rsidP="00095690">
      <w:pPr>
        <w:pStyle w:val="Text"/>
      </w:pPr>
      <w:r>
        <w:t xml:space="preserve">Toutes les installations publiques de traitement des eaux usées d'une capacité approuvée de plus de 50 équivalents habitants sont incluses dans la saisie de l'élimination publique des eaux usées.</w:t>
      </w:r>
      <w:r>
        <w:t xml:space="preserve"> </w:t>
      </w:r>
      <w:r>
        <w:t xml:space="preserve">Selon l'UBA (2009), la population totale équivalente (PTE) est définie comme la charge moyenne de substances biodégradables dans les eaux usées d'un habitant.</w:t>
      </w:r>
      <w:r>
        <w:t xml:space="preserve"> </w:t>
      </w:r>
      <w:r>
        <w:t xml:space="preserve">Les PTE raccordés à une station d'épuration sont constitués des eaux usées de la population et des eaux usées des entreprises commerciales et industrielles qui rejettent leurs eaux usées dans les stations d'épuration municipales (Agence fédérale de l'environnement 2009:</w:t>
      </w:r>
      <w:r>
        <w:t xml:space="preserve"> </w:t>
      </w:r>
      <w:r>
        <w:t xml:space="preserve">Efficacité énergétique des stations d'épuration des eaux usées municipales.</w:t>
      </w:r>
      <w:r>
        <w:t xml:space="preserve"> </w:t>
      </w:r>
      <w:r>
        <w:t xml:space="preserve">Dessau-Roßlau).</w:t>
      </w:r>
      <w:r>
        <w:t xml:space="preserve"> </w:t>
      </w:r>
      <w:r>
        <w:t xml:space="preserve">La modification précise le périmètre de déclaration.</w:t>
      </w:r>
    </w:p>
    <w:p w14:paraId="4BFC8306" w14:textId="574044A5" w:rsidR="007455AD" w:rsidRPr="00AE0058" w:rsidRDefault="007455AD" w:rsidP="00095690">
      <w:pPr>
        <w:pStyle w:val="Text"/>
      </w:pPr>
      <w:r>
        <w:t xml:space="preserve">Le paragraphe 2 a été renuméroté et énonce au nouveau point 1, lettres a à f les caractéristiques d'enquête qui ont lieu tous les trois ans.</w:t>
      </w:r>
      <w:r>
        <w:t xml:space="preserve"> </w:t>
      </w:r>
      <w:r>
        <w:t xml:space="preserve">Le nouveau point 2 régit l'enquête annuelle sur les boues d'épuration conformément à la nouvelle obligation de déclaration de l'UE en vertu du règlement (UE) 2019/1010 à partir de 2022.</w:t>
      </w:r>
    </w:p>
    <w:p w14:paraId="41524755" w14:textId="75571812" w:rsidR="009D2FF5" w:rsidRPr="00AE0058" w:rsidRDefault="009D2FF5" w:rsidP="00E13372">
      <w:pPr>
        <w:pStyle w:val="Text"/>
        <w:keepNext/>
        <w:rPr>
          <w:b/>
        </w:rPr>
      </w:pPr>
      <w:r>
        <w:rPr>
          <w:b/>
        </w:rPr>
        <w:t xml:space="preserve">Concernant l'article 7, paragraphe 2, point 1, lettre a</w:t>
      </w:r>
    </w:p>
    <w:p w14:paraId="3CF5B1F0" w14:textId="1373FDED" w:rsidR="00413D2B" w:rsidRPr="00AE0058" w:rsidRDefault="00413D2B" w:rsidP="00095690">
      <w:pPr>
        <w:pStyle w:val="Text"/>
      </w:pPr>
      <w:r>
        <w:t xml:space="preserve">Le remplacement de l'expression «déversoirs des installations» par «installations de traitement des eaux pluviales et des réseaux d'égouts unitaires» est une adaptation d'un terme technique couramment utilisé.</w:t>
      </w:r>
    </w:p>
    <w:p w14:paraId="2E5C7130" w14:textId="1E58C0F2" w:rsidR="005256F7" w:rsidRPr="00AE0058" w:rsidRDefault="005256F7" w:rsidP="00E13372">
      <w:pPr>
        <w:pStyle w:val="Text"/>
        <w:keepNext/>
        <w:rPr>
          <w:b/>
        </w:rPr>
      </w:pPr>
      <w:r>
        <w:rPr>
          <w:b/>
        </w:rPr>
        <w:t xml:space="preserve">Concernant l'article 7, paragraphe 2, point 1, lettre b</w:t>
      </w:r>
    </w:p>
    <w:p w14:paraId="4989FEA0" w14:textId="5F23F0A4" w:rsidR="00413D2B" w:rsidRPr="00AE0058" w:rsidRDefault="00413D2B" w:rsidP="00907F7B">
      <w:pPr>
        <w:pStyle w:val="Text"/>
      </w:pPr>
      <w:r>
        <w:t xml:space="preserve">La modification vise à préciser l'emplacement du point de rejet conformément à la directive 2000/60/CE.</w:t>
      </w:r>
    </w:p>
    <w:p w14:paraId="038679F7" w14:textId="0F0E34F3" w:rsidR="005256F7" w:rsidRPr="00AE0058" w:rsidRDefault="005256F7" w:rsidP="00E13372">
      <w:pPr>
        <w:pStyle w:val="Text"/>
        <w:keepNext/>
        <w:rPr>
          <w:b/>
        </w:rPr>
      </w:pPr>
      <w:r>
        <w:rPr>
          <w:b/>
        </w:rPr>
        <w:t xml:space="preserve">Concernant l'article 7, paragraphe 2, point 1, lettre d</w:t>
      </w:r>
    </w:p>
    <w:p w14:paraId="270E9DF6" w14:textId="593CB1C7" w:rsidR="00957C94" w:rsidRPr="00AE0058" w:rsidRDefault="00957C94" w:rsidP="00957C94">
      <w:pPr>
        <w:pStyle w:val="Text"/>
      </w:pPr>
      <w:r>
        <w:t xml:space="preserve">La date de référence pour le nombre d'habitants raccordés à des stations d'épuration des eaux usées est décalée du 30 juin de l'année de déclaration au 31 décembre de l'année précédant l'année de déclaration (pour l'exposé des motifs, voir article 7, paragraphe 1, point 3 sur l'approvisionnement en eau).</w:t>
      </w:r>
      <w:r>
        <w:t xml:space="preserve"> </w:t>
      </w:r>
      <w:r>
        <w:t xml:space="preserve">Le nombre d'habitants n'est plus différencié par commune, mais seulement donné comme le nombre total d'habitants connectés au réseau d'évacuation des eaux usées via le réseau d'égouts.</w:t>
      </w:r>
      <w:r>
        <w:t xml:space="preserve"> </w:t>
      </w:r>
      <w:r>
        <w:t xml:space="preserve">Le nom des communes affiliées continuera à être indiqué.</w:t>
      </w:r>
      <w:r>
        <w:t xml:space="preserve"> </w:t>
      </w:r>
      <w:r>
        <w:t xml:space="preserve">Cette modification sert à simplifier le relevé.</w:t>
      </w:r>
    </w:p>
    <w:p w14:paraId="5D159CB7" w14:textId="469C950E" w:rsidR="005256F7" w:rsidRPr="00AE0058" w:rsidRDefault="005256F7" w:rsidP="00E13372">
      <w:pPr>
        <w:pStyle w:val="Text"/>
        <w:keepNext/>
        <w:rPr>
          <w:b/>
        </w:rPr>
      </w:pPr>
      <w:r>
        <w:rPr>
          <w:b/>
        </w:rPr>
        <w:t xml:space="preserve">Concernant l'article 7, paragraphe 2, point 1, lettre e</w:t>
      </w:r>
    </w:p>
    <w:p w14:paraId="3E8A58DB" w14:textId="5CCA04C9" w:rsidR="00957C94" w:rsidRPr="00AE0058" w:rsidRDefault="005E1BF6" w:rsidP="00957C94">
      <w:pPr>
        <w:pStyle w:val="Text"/>
      </w:pPr>
      <w:r>
        <w:t xml:space="preserve">Les nutriments et les polluants présents dans les effluents des stations d'épuration municipales collectés en vertu de cette disposition sont des paramètres importants pour évaluer la pollution des masses d'eau causée par le rejet d'eaux usées traitées par les stations d'épuration municipales.</w:t>
      </w:r>
      <w:r>
        <w:t xml:space="preserve"> </w:t>
      </w:r>
      <w:r>
        <w:t xml:space="preserve">Les concentrations de nutriments et de polluants d'une station d'épuration municipale ont jusqu'à présent été collectées en référence aux exigences de la loi sur le rejet d'eaux usées.</w:t>
      </w:r>
      <w:r>
        <w:t xml:space="preserve"> </w:t>
      </w:r>
      <w:r>
        <w:t xml:space="preserve">Afin de s'adapter à la pratique actuelle, l'annexe 1 de l'ordonnance sur les eaux usées sera choisie comme base juridique à l'avenir.</w:t>
      </w:r>
      <w:r>
        <w:t xml:space="preserve"> </w:t>
      </w:r>
      <w:r>
        <w:t xml:space="preserve">Les paramètres qui y sont énumérés constituent la norme de mesure dans les stations d'épuration municipales, de sorte que ce changement correspond aux pratiques actuelles.</w:t>
      </w:r>
      <w:r>
        <w:t xml:space="preserve"> </w:t>
      </w:r>
      <w:r>
        <w:t xml:space="preserve">La suppression des métaux lourds de l'enquête réduira la charge des entreprises.</w:t>
      </w:r>
      <w:r>
        <w:t xml:space="preserve"> </w:t>
      </w:r>
      <w:r>
        <w:t xml:space="preserve">Selon les estimations de l'Agence fédérale de l'environnement, les apports de métaux lourds provenant des stations d'épuration municipales ont maintenant atteint un niveau très faible, de sorte qu'il ne semble plus nécessaire de les enregistrer dans les statistiques fédérales.</w:t>
      </w:r>
    </w:p>
    <w:p w14:paraId="6F0B76E1" w14:textId="10B3C904" w:rsidR="00181E1E" w:rsidRPr="00AE0058" w:rsidRDefault="00181E1E" w:rsidP="00E13372">
      <w:pPr>
        <w:pStyle w:val="Text"/>
        <w:keepNext/>
        <w:rPr>
          <w:b/>
        </w:rPr>
      </w:pPr>
      <w:r>
        <w:rPr>
          <w:b/>
        </w:rPr>
        <w:t xml:space="preserve">Concernant l'article 7, paragraphe 2, point 1, lettre f</w:t>
      </w:r>
    </w:p>
    <w:p w14:paraId="65DBD78A" w14:textId="77777777" w:rsidR="00B1514F" w:rsidRPr="00AE0058" w:rsidRDefault="00B1514F" w:rsidP="00B1514F">
      <w:pPr>
        <w:pStyle w:val="Text"/>
      </w:pPr>
      <w:r>
        <w:t xml:space="preserve">Il s'agit d'une demande de statut sur le fonctionnement de l'installation au cours de l'année de déclaration, qui sert au suivi du périmètre de déclaration et à l'assurance qualité de l'enquête.</w:t>
      </w:r>
      <w:r>
        <w:t xml:space="preserve"> </w:t>
      </w:r>
      <w:r>
        <w:t xml:space="preserve">La requête ne concerne que quelques déclarants et n'entraine aucune dépense.</w:t>
      </w:r>
      <w:r>
        <w:t xml:space="preserve"> </w:t>
      </w:r>
    </w:p>
    <w:p w14:paraId="3DE8B913" w14:textId="77777777" w:rsidR="00B1514F" w:rsidRPr="00AE0058" w:rsidRDefault="00B1514F" w:rsidP="00B1514F">
      <w:pPr>
        <w:pStyle w:val="Text"/>
      </w:pPr>
      <w:r>
        <w:t xml:space="preserve">Les installations qui ont quitté définitivement l'actif de l'exploitant (déclassées/transférées à un autre exploitant) n'ont plus besoin d'être comptabilisées lors de l'enquête suivante.</w:t>
      </w:r>
      <w:r>
        <w:t xml:space="preserve"> </w:t>
      </w:r>
      <w:r>
        <w:t xml:space="preserve">Les installations qui ont été temporairement arrêtées au cours de l'année font état d'une quantité d'eau plus faible (article 7, paragraphe 2, point 1.b) que lors de l'enquête précédente.</w:t>
      </w:r>
      <w:r>
        <w:t xml:space="preserve"> </w:t>
      </w:r>
      <w:r>
        <w:t xml:space="preserve">L'indication de l'arrêt temporaire explique cette différence et évite d'avoir à demander au déclarant la raison de cette différence.</w:t>
      </w:r>
    </w:p>
    <w:p w14:paraId="405433E2" w14:textId="109514F9" w:rsidR="00963C97" w:rsidRPr="00AE0058" w:rsidRDefault="00963C97" w:rsidP="00E13372">
      <w:pPr>
        <w:pStyle w:val="Text"/>
        <w:keepNext/>
        <w:rPr>
          <w:b/>
        </w:rPr>
      </w:pPr>
      <w:r>
        <w:rPr>
          <w:b/>
        </w:rPr>
        <w:t xml:space="preserve">Concernant l'article 7, paragraphe 2, point 2</w:t>
      </w:r>
    </w:p>
    <w:p w14:paraId="22B4E64D" w14:textId="0D72F0F8" w:rsidR="006D1458" w:rsidRPr="00AE0058" w:rsidRDefault="006D1458" w:rsidP="006D1458">
      <w:pPr>
        <w:pStyle w:val="Text"/>
      </w:pPr>
      <w:r>
        <w:t xml:space="preserve">Une enquête annuelle a déjà été introduite pour harmoniser les exigences de déclaration de l'UE en vertu de la directive 86/278/CEE.</w:t>
      </w:r>
      <w:r>
        <w:t xml:space="preserve"> </w:t>
      </w:r>
      <w:r>
        <w:t xml:space="preserve">Cela implique la collecte de données sur les quantités de boues d'épuration produites, achetées et vendues, leur traitement, leurs propriétés et leur localisation.</w:t>
      </w:r>
    </w:p>
    <w:p w14:paraId="5E416E80" w14:textId="7F04C703" w:rsidR="002559CD" w:rsidRPr="00AE0058" w:rsidRDefault="009078AA" w:rsidP="006D1458">
      <w:pPr>
        <w:pStyle w:val="Text"/>
      </w:pPr>
      <w:r>
        <w:t xml:space="preserve">Les exploitants de stations d'épuration des eaux usées municipales doivent, conformément à l'ordonnance sur la valorisation des boues d'épuration, des mélanges de boues d'épuration et du compost de boues d'épuration du 27 septembre 2017 (JO fédéral</w:t>
      </w:r>
      <w:r>
        <w:t xml:space="preserve"> </w:t>
      </w:r>
      <w:r>
        <w:t xml:space="preserve">I, p. 3465) modifié en dernier lieu par l’article 137 du décret du 19 juin 2020 (Journal officiel de la République fédérale d’Allemagne</w:t>
      </w:r>
      <w:r>
        <w:t xml:space="preserve"> </w:t>
      </w:r>
      <w:r>
        <w:t xml:space="preserve">I p. 1328) (Ordonnance sur les boues d'épuration - AbfKlärV) tenir un registre contenant, entre autres, des informations sur les zones d'épandage et de dépôt des boues d'épuration (article 34 AbfKlärV).</w:t>
      </w:r>
      <w:r>
        <w:t xml:space="preserve"> </w:t>
      </w:r>
      <w:r>
        <w:t xml:space="preserve">Lors de la future enquête visée à l'article 7, paragraphe 2, point 2, les zones sur ou dans lesquelles les boues d'épuration ont été épandues ou introduites seront également géolocalisées.</w:t>
      </w:r>
      <w:r>
        <w:t xml:space="preserve"> </w:t>
      </w:r>
      <w:r>
        <w:t xml:space="preserve">Ceci transpose les dispositions de l'article 1, points 2 et 3 du règlement (UE) 2019/1010 (JO L 170 du 25.6.2019, p. 115) sur l'obligation de déclaration à partir de 2022.</w:t>
      </w:r>
      <w:r>
        <w:t xml:space="preserve"> </w:t>
      </w:r>
    </w:p>
    <w:p w14:paraId="43FF7DCF" w14:textId="62212A42" w:rsidR="00963C97" w:rsidRPr="00AE0058" w:rsidRDefault="006D1458" w:rsidP="006D1458">
      <w:pPr>
        <w:pStyle w:val="Text"/>
      </w:pPr>
      <w:r>
        <w:t xml:space="preserve">Les quantités partielles de boues d'épuration envoyées pour élimination sont également enregistrées dans les enquêtes sur les déchets.</w:t>
      </w:r>
      <w:r>
        <w:t xml:space="preserve"> </w:t>
      </w:r>
      <w:r>
        <w:t xml:space="preserve">Toutefois, il s'agit d'une enquête auprès des exploitants d'installations d'élimination des déchets (côté élimination), alors que l'enquête menée en vertu de l'article 7, paragraphe 2, point 7, s'adresse au côté production.</w:t>
      </w:r>
      <w:r>
        <w:t xml:space="preserve"> </w:t>
      </w:r>
      <w:r>
        <w:t xml:space="preserve">À cet égard, il n'y a pas de doublon ni de charge accrue pour les entreprises.</w:t>
      </w:r>
    </w:p>
    <w:p w14:paraId="6C2D072F" w14:textId="09D815FC" w:rsidR="00000A0E" w:rsidRPr="00AE0058" w:rsidRDefault="00F2774F" w:rsidP="00E13372">
      <w:pPr>
        <w:pStyle w:val="Text"/>
        <w:keepNext/>
        <w:rPr>
          <w:b/>
        </w:rPr>
      </w:pPr>
      <w:r>
        <w:rPr>
          <w:b/>
        </w:rPr>
        <w:t xml:space="preserve">Concernant l'article 7, paragraphe 3</w:t>
      </w:r>
    </w:p>
    <w:p w14:paraId="664DAD5A" w14:textId="7655A8F3" w:rsidR="00F2774F" w:rsidRPr="00AE0058" w:rsidRDefault="00F2774F" w:rsidP="00095690">
      <w:pPr>
        <w:pStyle w:val="Text"/>
      </w:pPr>
      <w:r>
        <w:t xml:space="preserve">La date de référence pour le nombre d'habitants est le 31 décembre de l'année précédant l'année de déclaration, avec la même justification que pour les autres enquêtes (cf. article 7, paragraphe 1, point 3 et paragraphe 1, lettre d).</w:t>
      </w:r>
    </w:p>
    <w:p w14:paraId="660BCC2A" w14:textId="31A6A7CC" w:rsidR="00F2774F" w:rsidRPr="00AE0058" w:rsidRDefault="00F2774F" w:rsidP="00E13372">
      <w:pPr>
        <w:pStyle w:val="Text"/>
        <w:keepNext/>
        <w:rPr>
          <w:b/>
        </w:rPr>
      </w:pPr>
      <w:r>
        <w:rPr>
          <w:b/>
        </w:rPr>
        <w:t xml:space="preserve">Concernant l'article 8 (Enquête sur l'approvisionnement en eau et l'assainissement des eaux usées non public)</w:t>
      </w:r>
    </w:p>
    <w:p w14:paraId="6B84739C" w14:textId="51B675EE" w:rsidR="00C0180A" w:rsidRPr="00AE0058" w:rsidRDefault="00C0180A" w:rsidP="00F2774F">
      <w:pPr>
        <w:pStyle w:val="Text"/>
      </w:pPr>
      <w:r>
        <w:t xml:space="preserve">Les enquêtes sont effectuées dans les établissements qui produisent ou achètent de l'eau ou rejettent des eaux usées mais qui ne font pas partie du réseau public d'approvisionnement en eau ou du système public d'évacuation des eaux usées.</w:t>
      </w:r>
    </w:p>
    <w:p w14:paraId="5FD71183" w14:textId="0538FB6B" w:rsidR="00916C8B" w:rsidRPr="00AE0058" w:rsidRDefault="00916C8B" w:rsidP="00F2774F">
      <w:pPr>
        <w:pStyle w:val="Text"/>
      </w:pPr>
      <w:r>
        <w:t xml:space="preserve">L'article 8 a été renuméroté et énonce au nouveau point 1, lettres a à f les caractéristiques d'enquête qui ont lieu tous les trois ans.</w:t>
      </w:r>
      <w:r>
        <w:t xml:space="preserve"> </w:t>
      </w:r>
      <w:r>
        <w:t xml:space="preserve">Le nouveau point 2 régit les caractéristiques d'enquête annuelle supplémentaires sur les boues d'épuration pour l'obligation de déclaration de l'UE en vertu du règlement (UE) 2019/1010 à partir de 2022.</w:t>
      </w:r>
    </w:p>
    <w:p w14:paraId="418679A7" w14:textId="16FEAFD4" w:rsidR="00C53191" w:rsidRPr="00AE0058" w:rsidRDefault="00C53191" w:rsidP="00E13372">
      <w:pPr>
        <w:pStyle w:val="Text"/>
        <w:keepNext/>
        <w:rPr>
          <w:b/>
        </w:rPr>
      </w:pPr>
      <w:r>
        <w:rPr>
          <w:b/>
        </w:rPr>
        <w:t xml:space="preserve">Concernant l'article 8, phrase 2 de la version antérieurement applicable</w:t>
      </w:r>
    </w:p>
    <w:p w14:paraId="7611EBA5" w14:textId="5AC6C9BF" w:rsidR="00C53191" w:rsidRPr="00AE0058" w:rsidRDefault="00C53191" w:rsidP="00F2774F">
      <w:pPr>
        <w:pStyle w:val="Text"/>
      </w:pPr>
      <w:r>
        <w:t xml:space="preserve">Afin de simplifier l'enquête et d'alléger la charge des répondants, le secteur économique du client principal ne sera plus sollicité à l'avenir pour les services de captage d'eau et de rejet d'eaux usées, car l'expérience des offices statistiques des Länder a montré que les informations étaient peu fiables dans les enquêtes.</w:t>
      </w:r>
    </w:p>
    <w:p w14:paraId="166B5B69" w14:textId="757C2000" w:rsidR="00F2774F" w:rsidRPr="00AE0058" w:rsidRDefault="0034539C" w:rsidP="00E13372">
      <w:pPr>
        <w:pStyle w:val="Text"/>
        <w:keepNext/>
        <w:rPr>
          <w:b/>
        </w:rPr>
      </w:pPr>
      <w:r>
        <w:rPr>
          <w:b/>
        </w:rPr>
        <w:t xml:space="preserve">Concernant l'article 8, phrase 2 (nouveau), point 1, lettre b</w:t>
      </w:r>
    </w:p>
    <w:p w14:paraId="4242A959" w14:textId="77777777" w:rsidR="00C0180A" w:rsidRPr="00AE0058" w:rsidRDefault="00C0180A" w:rsidP="004443DB">
      <w:pPr>
        <w:pStyle w:val="Text"/>
      </w:pPr>
      <w:r>
        <w:t xml:space="preserve">Dans l'utilisation de l'eau, une distinction est faite entre l'usage unique, circulaire et multiple, car cela fournit des renseignements importants sur l'efficacité de l'utilisation de l'eau.</w:t>
      </w:r>
      <w:r>
        <w:t xml:space="preserve"> </w:t>
      </w:r>
      <w:r>
        <w:t xml:space="preserve">Cette typologie est particulièrement pertinente pour le domaine de l'utilisation de l'eau de refroidissement.</w:t>
      </w:r>
      <w:r>
        <w:t xml:space="preserve"> </w:t>
      </w:r>
      <w:r>
        <w:t xml:space="preserve">À l'avenir, les quantités d'eau ne seront pas précisées et l'enquête sera simplifiée, car les données sont très difficiles à déterminer pour les exploitants et leur valeur informative est limitée.</w:t>
      </w:r>
    </w:p>
    <w:p w14:paraId="51045A2E" w14:textId="1C51300F" w:rsidR="006A0212" w:rsidRPr="00AE0058" w:rsidRDefault="006A0212" w:rsidP="00E13372">
      <w:pPr>
        <w:pStyle w:val="Text"/>
        <w:keepNext/>
        <w:rPr>
          <w:b/>
        </w:rPr>
      </w:pPr>
      <w:r>
        <w:rPr>
          <w:b/>
        </w:rPr>
        <w:t xml:space="preserve">Concernant l'article 8, phrase 2 (nouveau), point 1, lettre e</w:t>
      </w:r>
    </w:p>
    <w:p w14:paraId="24F89108" w14:textId="77777777" w:rsidR="00C53191" w:rsidRPr="00AE0058" w:rsidRDefault="00C53191" w:rsidP="004443DB">
      <w:pPr>
        <w:pStyle w:val="Text"/>
      </w:pPr>
      <w:r>
        <w:t xml:space="preserve">Les concentrations de nutriments et de polluants d'une station d'épuration ont jusqu'à présent été collectées en référence aux exigences de la loi sur le rejet d'eaux usées.</w:t>
      </w:r>
      <w:r>
        <w:t xml:space="preserve"> </w:t>
      </w:r>
      <w:r>
        <w:t xml:space="preserve">Afin de s'adapter à la pratique actuelle, l'ordonnance sur les eaux usées sera choisie comme base juridique à l'avenir (cf. justification de l'article 7, paragraphe 2, point 1, lettre e, dans laquelle les exigences sont différenciées selon les secteurs économiques.</w:t>
      </w:r>
    </w:p>
    <w:p w14:paraId="6223CA16" w14:textId="385CCD3C" w:rsidR="004232AA" w:rsidRPr="00AE0058" w:rsidRDefault="004232AA" w:rsidP="00E13372">
      <w:pPr>
        <w:pStyle w:val="Text"/>
        <w:keepNext/>
        <w:rPr>
          <w:b/>
        </w:rPr>
      </w:pPr>
      <w:r>
        <w:rPr>
          <w:b/>
        </w:rPr>
        <w:t xml:space="preserve">Concernant l'article 8, phrase 2 (nouveau), point 2</w:t>
      </w:r>
    </w:p>
    <w:p w14:paraId="0561104C" w14:textId="20E4226E" w:rsidR="004232AA" w:rsidRPr="00FB6121" w:rsidRDefault="004232AA" w:rsidP="004443DB">
      <w:pPr>
        <w:pStyle w:val="Text"/>
      </w:pPr>
      <w:r>
        <w:t xml:space="preserve">Les fabricants de boues d'épuration qui fournissent des boues d'épuration destinées à être utilisées en agriculture sont soumis à l'obligation de déclaration annuelle prévue à l'article 1 du règlement (UE) 2019/1010 à partir de l'année 2022.</w:t>
      </w:r>
      <w:r>
        <w:t xml:space="preserve"> </w:t>
      </w:r>
      <w:r>
        <w:t xml:space="preserve">Cela s'applique également aux boues d'épuration produites après le traitement des eaux usées dans une station d'épuration non publique (sur site) et qui sont comparables aux boues d'épuration produites par les eaux usées domestiques ou municipales.</w:t>
      </w:r>
      <w:r>
        <w:t xml:space="preserve"> </w:t>
      </w:r>
      <w:r>
        <w:t xml:space="preserve">Par conséquent, pour les établissements produisant de telles boues d'épuration, conformément à l'article 1, paragraphes 2 et 3 du règlement (UE) 2019/1010 le relevé comprend la nature des boues d'épuration, ainsi que la surface avec mention de la taille, du lieu et de la géolocalisation sur lesquelles les boues d'épuration ont été épandues ou incorporées.</w:t>
      </w:r>
      <w:r>
        <w:t xml:space="preserve"> </w:t>
      </w:r>
    </w:p>
    <w:p w14:paraId="71D33FF6" w14:textId="2644A1E3" w:rsidR="007A4DC0" w:rsidRPr="00AE0058" w:rsidRDefault="007A4DC0" w:rsidP="00E13372">
      <w:pPr>
        <w:pStyle w:val="Text"/>
        <w:keepNext/>
        <w:rPr>
          <w:b/>
        </w:rPr>
      </w:pPr>
      <w:r>
        <w:rPr>
          <w:b/>
        </w:rPr>
        <w:t xml:space="preserve">Concernant l'article 8, phrase 3 (nouveau)</w:t>
      </w:r>
    </w:p>
    <w:p w14:paraId="5049B6FA" w14:textId="73C7A7DD" w:rsidR="007A4DC0" w:rsidRPr="00AE0058" w:rsidRDefault="007A4DC0" w:rsidP="007A4DC0">
      <w:pPr>
        <w:pStyle w:val="Text"/>
      </w:pPr>
      <w:r>
        <w:t xml:space="preserve">Afin de simplifier l'enquête et d'alléger la charge des exploitations agricoles (secteur économique A), celles-ci sont exemptées de l'enquête sur les eaux usées selon le point 2, car l'eau y est principalement utilisée pour l'irrigation (cultures arables) ou pour la boisson dans l'élevage et il n'y a pratiquement pas d'eaux usées produites pour l'élimination.</w:t>
      </w:r>
    </w:p>
    <w:p w14:paraId="0066B1A4" w14:textId="55F95229" w:rsidR="00A27E6F" w:rsidRPr="00AE0058" w:rsidRDefault="00A27E6F" w:rsidP="00A27E6F">
      <w:pPr>
        <w:pStyle w:val="VerweisBegrndung"/>
        <w:rPr>
          <w:rStyle w:val="Binnenverweis"/>
        </w:rPr>
      </w:pPr>
      <w:r>
        <w:t xml:space="preserve">Concernant le </w:t>
      </w:r>
      <w:r>
        <w:rPr>
          <w:rStyle w:val="Binnenverweis"/>
        </w:rPr>
        <w:t xml:space="preserve">point 7</w:t>
      </w:r>
    </w:p>
    <w:p w14:paraId="28D3A298" w14:textId="53EE0C41" w:rsidR="00EC2A59" w:rsidRPr="00AE0058" w:rsidRDefault="00EC2A59" w:rsidP="00EC2A59">
      <w:pPr>
        <w:pStyle w:val="Text"/>
      </w:pPr>
      <w:r>
        <w:t xml:space="preserve">Les modifications sont des adaptations rédactionnelles de termes techniques communs et une harmonisation des règles de l'article 9, paragraphes 1 et 2.</w:t>
      </w:r>
    </w:p>
    <w:p w14:paraId="4BC6CCF1" w14:textId="02C6F734" w:rsidR="00A27E6F" w:rsidRPr="00AE0058" w:rsidRDefault="00A27E6F" w:rsidP="00A27E6F">
      <w:pPr>
        <w:pStyle w:val="VerweisBegrndung"/>
        <w:rPr>
          <w:rStyle w:val="Binnenverweis"/>
        </w:rPr>
      </w:pPr>
      <w:r>
        <w:t xml:space="preserve">Concernant le </w:t>
      </w:r>
      <w:r>
        <w:rPr>
          <w:rStyle w:val="Binnenverweis"/>
        </w:rPr>
        <w:t xml:space="preserve">point 8</w:t>
      </w:r>
    </w:p>
    <w:p w14:paraId="02726121" w14:textId="78590F15" w:rsidR="00AE6415" w:rsidRPr="00AE0058" w:rsidRDefault="00192A28" w:rsidP="00192A28">
      <w:pPr>
        <w:pStyle w:val="Text"/>
      </w:pPr>
      <w:r>
        <w:t xml:space="preserve">Les résultats de l'enquête sur les substances ayant un impact sur le climat (hydrofluorocarbures (HFC), hydrofluorocarbures (PFC) et mélanges) sont exigés par l'UBA pour la déclaration internationale des gaz à effet de serre.</w:t>
      </w:r>
      <w:r>
        <w:t xml:space="preserve"> </w:t>
      </w:r>
      <w:r>
        <w:t xml:space="preserve">Ces données servent de base à l'estimation d'une partie des émissions de la République fédérale d'Allemagne.</w:t>
      </w:r>
      <w:r>
        <w:t xml:space="preserve"> </w:t>
      </w:r>
      <w:r>
        <w:t xml:space="preserve">Selon les calculs de l'UBA, les HFC, PFC et mélanges contribuent à environ 1,25 % des émissions totales (2018; à l'exclusion du SF6 et du NF3).</w:t>
      </w:r>
    </w:p>
    <w:p w14:paraId="55F3FBD9" w14:textId="74CC84A2" w:rsidR="00AE6415" w:rsidRPr="00AE0058" w:rsidRDefault="00192A28" w:rsidP="00192A28">
      <w:pPr>
        <w:pStyle w:val="Text"/>
      </w:pPr>
      <w:r>
        <w:t xml:space="preserve">Dans ce contexte, il convient de noter que le règlement de l'UE de 2014 sur les substances affectant le climat (517/2014) établit un calendrier échelonné selon lequel la mise sur le marché de la plupart des HFC/PFC dans les équipements de réfrigération domestiques ou commerciaux et les mousses sera interdite dans les années à venir.</w:t>
      </w:r>
      <w:r>
        <w:t xml:space="preserve"> </w:t>
      </w:r>
      <w:r>
        <w:t xml:space="preserve">À cet égard, on observera un glissement vers d'autres substances et l'utilisation de substances qui sont encore pertinentes en termes de quantité approchera de zéro dans un avenir prévisible (cf. également l'exposé des motifs dans la partie générale I concernant les «Statistiques sur la gestion de l'eau et les substances ayant un impact sur le climat»).</w:t>
      </w:r>
    </w:p>
    <w:p w14:paraId="7C9BC956" w14:textId="5C4A046E" w:rsidR="00793F3E" w:rsidRPr="00AE0058" w:rsidRDefault="00793F3E" w:rsidP="00C24AE2">
      <w:pPr>
        <w:pStyle w:val="Text"/>
        <w:rPr>
          <w:rStyle w:val="Marker"/>
          <w:b/>
          <w:color w:val="auto"/>
        </w:rPr>
      </w:pPr>
      <w:r>
        <w:rPr>
          <w:rStyle w:val="Marker"/>
          <w:color w:val="auto"/>
        </w:rPr>
        <w:t xml:space="preserve">Dans le cadre des exigences relatives à la réduction progressive de l'utilisation de certaines substances ayant un impact sur le climat par le règlement (UE) 514/2015 sur les gaz fluorés, de nouvelles substances dont les composants ne sont pas couverts par le précédent règlement sur l'enregistrement statistique sont en cours de développement.</w:t>
      </w:r>
      <w:r>
        <w:rPr>
          <w:rStyle w:val="Marker"/>
          <w:color w:val="auto"/>
        </w:rPr>
        <w:t xml:space="preserve"> </w:t>
      </w:r>
      <w:r>
        <w:rPr>
          <w:rStyle w:val="Marker"/>
          <w:color w:val="auto"/>
        </w:rPr>
        <w:t xml:space="preserve">Il s'agit, par exemple, des dérivés halogénés des hydrocarbures aliphatiques.</w:t>
      </w:r>
      <w:r>
        <w:rPr>
          <w:rStyle w:val="Marker"/>
          <w:color w:val="auto"/>
        </w:rPr>
        <w:t xml:space="preserve"> </w:t>
      </w:r>
      <w:r>
        <w:rPr>
          <w:rStyle w:val="Marker"/>
          <w:color w:val="auto"/>
        </w:rPr>
        <w:t xml:space="preserve">L'accent est mis sur deux nouvelles substances contenant du chlore, R 1224yd et R 1233zd (E) trans-1chloro-3,3,3 trifluoroprop-1-ène CHCL=CH-CF 3(E).</w:t>
      </w:r>
      <w:r>
        <w:rPr>
          <w:rStyle w:val="Marker"/>
          <w:color w:val="auto"/>
        </w:rPr>
        <w:t xml:space="preserve"> </w:t>
      </w:r>
      <w:r>
        <w:rPr>
          <w:rStyle w:val="Marker"/>
          <w:color w:val="auto"/>
        </w:rPr>
        <w:t xml:space="preserve">Ces deux substances ont un très faible potentiel de réchauffement planétaire (PRP) de 2 et 4,5 respectivement.</w:t>
      </w:r>
      <w:r>
        <w:rPr>
          <w:rStyle w:val="Marker"/>
          <w:color w:val="auto"/>
        </w:rPr>
        <w:t xml:space="preserve"> </w:t>
      </w:r>
      <w:r>
        <w:rPr>
          <w:rStyle w:val="Marker"/>
          <w:color w:val="auto"/>
        </w:rPr>
        <w:t xml:space="preserve">Ces substances suscitent un grand intérêt dans le monde entier car elles sont ininflammables et non toxiques et sont considérées comme très respectueuses de l'environnement.</w:t>
      </w:r>
      <w:r>
        <w:rPr>
          <w:rStyle w:val="Marker"/>
          <w:color w:val="auto"/>
        </w:rPr>
        <w:t xml:space="preserve"> </w:t>
      </w:r>
      <w:r>
        <w:rPr>
          <w:rStyle w:val="Marker"/>
          <w:color w:val="auto"/>
        </w:rPr>
        <w:t xml:space="preserve">Les substances sont utilisées comme substituts dans le secteur de la climatisation/des réfrigérants et comme agents gonflants dans la production de mousse.</w:t>
      </w:r>
      <w:r>
        <w:rPr>
          <w:rStyle w:val="Marker"/>
          <w:color w:val="auto"/>
        </w:rPr>
        <w:t xml:space="preserve"> </w:t>
      </w:r>
      <w:r>
        <w:rPr>
          <w:rStyle w:val="Marker"/>
          <w:color w:val="auto"/>
        </w:rPr>
        <w:t xml:space="preserve">En outre, les faibles valeurs de PRP des substances sont conformes aux réglementations européennes applicables.</w:t>
      </w:r>
      <w:r>
        <w:rPr>
          <w:rStyle w:val="Marker"/>
          <w:color w:val="auto"/>
        </w:rPr>
        <w:t xml:space="preserve"> </w:t>
      </w:r>
      <w:r>
        <w:rPr>
          <w:rStyle w:val="Marker"/>
          <w:color w:val="auto"/>
        </w:rPr>
        <w:t xml:space="preserve">Des chiffres de consommation sont nécessaires pour ces dérivés halogénés nouvellement développés ou commercialisés, entre autres pour pouvoir intervenir à temps, si nécessaire, pour prévenir les dommages environnementaux et pour pouvoir fournir des informations au Programme des Nations Unies pour l'environnement (PNUE) ou à l'UE en ce qui concerne le règlement (UE) n° 517/2014 sur les gaz fluorés.</w:t>
      </w:r>
      <w:r>
        <w:rPr>
          <w:rStyle w:val="Marker"/>
          <w:color w:val="auto"/>
          <w:b/>
        </w:rPr>
        <w:t xml:space="preserve"> </w:t>
      </w:r>
    </w:p>
    <w:p w14:paraId="60EFBA03" w14:textId="010A7BBF" w:rsidR="009E1426" w:rsidRPr="00AE0058" w:rsidRDefault="00793F3E" w:rsidP="009E1426">
      <w:pPr>
        <w:pStyle w:val="Text"/>
        <w:rPr>
          <w:rStyle w:val="Marker"/>
          <w:color w:val="auto"/>
        </w:rPr>
      </w:pPr>
      <w:r>
        <w:rPr>
          <w:rStyle w:val="Marker"/>
          <w:color w:val="auto"/>
        </w:rPr>
        <w:t xml:space="preserve">Les nouveaux dérivés halogénés sont souvent insaturés (c'est-à-dire qu'ils possèdent une ou plusieurs doubles liaisons) et, en plus de leur potentiel de réchauffement climatique, certains d'entre eux ont également un potentiel d'appauvrissement de la couche d'ozone.</w:t>
      </w:r>
      <w:r>
        <w:rPr>
          <w:rStyle w:val="Marker"/>
          <w:color w:val="auto"/>
        </w:rPr>
        <w:t xml:space="preserve"> </w:t>
      </w:r>
      <w:r>
        <w:rPr>
          <w:rStyle w:val="Marker"/>
          <w:color w:val="auto"/>
        </w:rPr>
        <w:t xml:space="preserve">Malgré leur potentiel d'appauvrissement de la couche d'ozone, ces composés ne sont pas encore réglementés par le protocole de Montréal.</w:t>
      </w:r>
      <w:r>
        <w:rPr>
          <w:rStyle w:val="Marker"/>
          <w:color w:val="auto"/>
        </w:rPr>
        <w:t xml:space="preserve"> </w:t>
      </w:r>
      <w:r>
        <w:rPr>
          <w:rStyle w:val="Marker"/>
          <w:color w:val="auto"/>
        </w:rPr>
        <w:t xml:space="preserve">Pour ces substances, cependant, il existe des obligations de notification au titre de la convention-cadre sur les changements climatiques, conformément à la section II G 33 des directives de notification de la CCNUCC.</w:t>
      </w:r>
    </w:p>
    <w:p w14:paraId="0A39EC23" w14:textId="663A6161" w:rsidR="00773D54" w:rsidRPr="00AE0058" w:rsidRDefault="00773D54" w:rsidP="009E1426">
      <w:pPr>
        <w:pStyle w:val="Text"/>
        <w:rPr>
          <w:b/>
        </w:rPr>
      </w:pPr>
      <w:r>
        <w:rPr>
          <w:rStyle w:val="Marker"/>
          <w:color w:val="auto"/>
        </w:rPr>
        <w:t xml:space="preserve">Le nouveau groupe de substances des dérivés halogénés est inclus dans la précédente enquête sur les substances ayant un impact sur le climat.</w:t>
      </w:r>
    </w:p>
    <w:p w14:paraId="4BD4A761" w14:textId="16233E9D" w:rsidR="008A397D" w:rsidRPr="00AE0058" w:rsidRDefault="008A397D" w:rsidP="008A397D">
      <w:pPr>
        <w:pStyle w:val="VerweisBegrndung"/>
        <w:rPr>
          <w:rStyle w:val="Binnenverweis"/>
        </w:rPr>
      </w:pPr>
      <w:r>
        <w:t xml:space="preserve">Concernant le </w:t>
      </w:r>
      <w:r>
        <w:rPr>
          <w:rStyle w:val="Binnenverweis"/>
        </w:rPr>
        <w:t xml:space="preserve">point 9</w:t>
      </w:r>
    </w:p>
    <w:p w14:paraId="71CF1F88" w14:textId="6A84638F" w:rsidR="008A397D" w:rsidRPr="00AE0058" w:rsidRDefault="008A397D" w:rsidP="00E13372">
      <w:pPr>
        <w:pStyle w:val="Text"/>
        <w:keepNext/>
      </w:pPr>
      <w:r>
        <w:rPr>
          <w:b/>
        </w:rPr>
        <w:t xml:space="preserve">Concernant l'article 11, paragraphe 1, phrase 1, point 1</w:t>
      </w:r>
      <w:r>
        <w:rPr>
          <w:b/>
        </w:rPr>
        <w:t xml:space="preserve"> </w:t>
      </w:r>
    </w:p>
    <w:p w14:paraId="5C95CFD4" w14:textId="4E75C066" w:rsidR="00376055" w:rsidRPr="00AE0058" w:rsidRDefault="00376055" w:rsidP="00376055">
      <w:pPr>
        <w:pStyle w:val="Text"/>
      </w:pPr>
      <w:r>
        <w:t xml:space="preserve">Les statistiques sur les investissements pour la protection de l'environnement selon l'article 11, paragraphe 1, phrase 1, point 1 (statistiques UIV) sont réalisées sans aucune restriction quant au nombre d'unités d'enquête.</w:t>
      </w:r>
      <w:r>
        <w:t xml:space="preserve"> </w:t>
      </w:r>
      <w:r>
        <w:t xml:space="preserve">L'amendement garantit que des données fiables peuvent être fournies pour l'Allemagne pour le secteur manufacturier hors construction pour les comptes économiques environnementaux européens (règlement (UE) n° 691/2011, module EPEA remplaçant le règlement (CE) n° 295/2008).</w:t>
      </w:r>
      <w:r>
        <w:t xml:space="preserve"> </w:t>
      </w:r>
      <w:r>
        <w:t xml:space="preserve">En raison des mesures de politique environnementale et énergétique de l'UE et de l'Allemagne, par exemple la mise en place d'une économie sans CO2 d'ici 2050, mais aussi en raison des considérations économiques des entreprises qui investissent dans la protection de l'environnement, il faut s'attendre à ce que le nombre de cas, qui avoisine déjà les 10 000, continue d'augmenter.</w:t>
      </w:r>
      <w:r>
        <w:t xml:space="preserve"> </w:t>
      </w:r>
      <w:r>
        <w:t xml:space="preserve">La suppression du plafond est actuellement la seule solution méthodologiquement appropriée.</w:t>
      </w:r>
      <w:r>
        <w:t xml:space="preserve"> </w:t>
      </w:r>
      <w:r>
        <w:t xml:space="preserve">Il n'existe pas de procédure scientifiquement fondée pour sélectionner les notifications de plus de 10 000 unités de telle sorte que la limite supérieure soit respectée.</w:t>
      </w:r>
      <w:r>
        <w:t xml:space="preserve"> </w:t>
      </w:r>
      <w:r>
        <w:t xml:space="preserve">Pour une éventuelle alternative à la procédure d'échantillonnage, il manque des critères de stratification basés sur les investissements de protection de l'environnement.</w:t>
      </w:r>
      <w:r>
        <w:t xml:space="preserve"> </w:t>
      </w:r>
      <w:r>
        <w:t xml:space="preserve">Même avec la possibilité d'une stratification appropriée, les bonnes pratiques d'échantillonnage dans d'autres statistiques montrent qu'un échantillon net d'au moins 10 000 unités est nécessaire pour produire des résultats statistiques robustes, pour lesquels un multiple d'unités devrait être inclus dans un échantillon brut et interrogé.</w:t>
      </w:r>
    </w:p>
    <w:p w14:paraId="7A52D06E" w14:textId="6E281483" w:rsidR="00376055" w:rsidRPr="00AE0058" w:rsidRDefault="00376055" w:rsidP="00376055">
      <w:pPr>
        <w:pStyle w:val="Text"/>
      </w:pPr>
      <w:r>
        <w:t xml:space="preserve">Le texte juridique actuel de l'article 11, paragraphe 1, phrase 1, point 1 est modifié de manière à ce que le périmètre de déclaration des statistiques sur les investissements pour la protection de l'environnement soit décrit par référence à la loi sur les statistiques de l'industrie manufacturière (ProdGewStatG).</w:t>
      </w:r>
      <w:r>
        <w:t xml:space="preserve"> </w:t>
      </w:r>
      <w:r>
        <w:t xml:space="preserve">La raison en est que le périmètre de déclaration des statistiques sur les investissements pour la protection de l'environnement est basé sur le périmètre de déclaration des statistiques sur les investissements généraux, qui est réglementé dans le ProdGewStatG.</w:t>
      </w:r>
      <w:r>
        <w:t xml:space="preserve"> </w:t>
      </w:r>
      <w:r>
        <w:t xml:space="preserve">L'avantage de cet ajustement est que les éventuelles modifications de la ProdGewStatG sont automatiquement transférées à la délimitation du périmètre de déclaration des statistiques de l'UIV sans avoir à modifier la UStatG.</w:t>
      </w:r>
    </w:p>
    <w:p w14:paraId="67BFF3C2" w14:textId="0B8309A8" w:rsidR="009E1426" w:rsidRPr="00AE0058" w:rsidRDefault="009E1426" w:rsidP="009E1426">
      <w:pPr>
        <w:pStyle w:val="Text"/>
      </w:pPr>
      <w:r>
        <w:t xml:space="preserve">Les statistiques UIV différencient l'investissement par type d'installation ou d'équipement.</w:t>
      </w:r>
      <w:r>
        <w:t xml:space="preserve"> </w:t>
      </w:r>
      <w:r>
        <w:t xml:space="preserve">On distingue les technologies, biens et services propres (les «mesures environnementales intégrées») et les équipements, installations, biens et services qui servent à protéger contre les émissions (les «mesures environnementales en bout de chaîne ou mesures environnementales additives»).</w:t>
      </w:r>
    </w:p>
    <w:p w14:paraId="49F73E2E" w14:textId="4F94F7D0" w:rsidR="009E1426" w:rsidRPr="00AE0058" w:rsidRDefault="009E1426" w:rsidP="009E1426">
      <w:pPr>
        <w:pStyle w:val="Text"/>
      </w:pPr>
      <w:r>
        <w:t xml:space="preserve">Une mesure environnementale en bout de chaîne (ou additive) et une mesure environnementale intégrée se définissent comme suit:</w:t>
      </w:r>
    </w:p>
    <w:p w14:paraId="2D194959" w14:textId="0894E85A" w:rsidR="009E1426" w:rsidRPr="00AE0058" w:rsidRDefault="009E1426" w:rsidP="009E1426">
      <w:pPr>
        <w:pStyle w:val="Text"/>
      </w:pPr>
      <w:r>
        <w:t xml:space="preserve">Les mesures en bout de chaîne ou additives comprennent toutes les mesures et activités qui servent à éliminer ou à réduire les émissions ou la pollution qui se sont déjà produites.</w:t>
      </w:r>
    </w:p>
    <w:p w14:paraId="3E1F9E9E" w14:textId="77777777" w:rsidR="009E1426" w:rsidRPr="00AE0058" w:rsidRDefault="009E1426" w:rsidP="009E1426">
      <w:pPr>
        <w:pStyle w:val="Text"/>
      </w:pPr>
      <w:r>
        <w:t xml:space="preserve">Les mesures intégrées servent à prévenir ou à réduire l'occurrence des émissions.</w:t>
      </w:r>
    </w:p>
    <w:p w14:paraId="5E14F195" w14:textId="38B8ED08" w:rsidR="009E1426" w:rsidRPr="00AE0058" w:rsidRDefault="009E1426" w:rsidP="00E13372">
      <w:pPr>
        <w:pStyle w:val="Text"/>
        <w:keepNext/>
        <w:rPr>
          <w:b/>
        </w:rPr>
      </w:pPr>
      <w:r>
        <w:rPr>
          <w:b/>
        </w:rPr>
        <w:t xml:space="preserve">Concernant l'article 11, paragraphe 1, phrase 1, point 2</w:t>
      </w:r>
      <w:r>
        <w:rPr>
          <w:b/>
        </w:rPr>
        <w:t xml:space="preserve"> </w:t>
      </w:r>
    </w:p>
    <w:p w14:paraId="6484C754" w14:textId="3D1623B6" w:rsidR="009E1426" w:rsidRPr="00AE0058" w:rsidRDefault="009E1426" w:rsidP="009E1426">
      <w:pPr>
        <w:pStyle w:val="Text"/>
      </w:pPr>
      <w:r>
        <w:t xml:space="preserve">Afin de remplir les obligations de fourniture envers Eurostat et d'assurer une subdivision uniforme des domaines environnementaux dans toutes les statistiques environnementales, le domaine environnemental politiquement significatif de la protection du climat est également différencié selon les sous-domaines «substances actives pour le climat», «énergies renouvelables» et «efficacité énergétique» dans le cadre des statistiques sur les dépenses courantes de protection de l'environnement selon l'article 11, paragraphe 1, phrase 1, point 2 .</w:t>
      </w:r>
    </w:p>
    <w:p w14:paraId="54DFD86D" w14:textId="5FDCC6E8" w:rsidR="009E1426" w:rsidRPr="00AE0058" w:rsidRDefault="009E1426" w:rsidP="00E13372">
      <w:pPr>
        <w:pStyle w:val="Text"/>
        <w:keepNext/>
        <w:rPr>
          <w:b/>
        </w:rPr>
      </w:pPr>
      <w:r>
        <w:rPr>
          <w:b/>
        </w:rPr>
        <w:t xml:space="preserve">Concernant l’</w:t>
      </w:r>
      <w:r>
        <w:rPr>
          <w:b/>
        </w:rPr>
        <w:t xml:space="preserve">article 11, paragraphe 1, phrase 2</w:t>
      </w:r>
      <w:r>
        <w:rPr>
          <w:b/>
        </w:rPr>
        <w:t xml:space="preserve"> </w:t>
      </w:r>
    </w:p>
    <w:p w14:paraId="2A7EB18E" w14:textId="77777777" w:rsidR="009E1426" w:rsidRPr="00AE0058" w:rsidRDefault="009E1426" w:rsidP="009E1426">
      <w:pPr>
        <w:pStyle w:val="Text"/>
      </w:pPr>
      <w:r>
        <w:t xml:space="preserve">Les décideurs politiques ont besoin d'une base de données complète et valide pour la gestion efficace des mesures visant à construire une économie durable.</w:t>
      </w:r>
      <w:r>
        <w:t xml:space="preserve"> </w:t>
      </w:r>
      <w:r>
        <w:t xml:space="preserve">Toutes les mesures climatiques et environnementales, c'est-à-dire les biens, technologies et services qui servent à éliminer les problèmes environnementaux et à renforcer la conservation des ressources, ne disposent pas actuellement de données officielles pour l'évaluation monétaire afin de répondre à l'obligation de fourniture européenne en vertu du règlement (UE) n° 691/2011 (qui remplace le règlement (CE) n° 295/2008) ou pour servir des objectifs politiques tels que le Green Deal européen.</w:t>
      </w:r>
      <w:r>
        <w:t xml:space="preserve"> </w:t>
      </w:r>
      <w:r>
        <w:t xml:space="preserve">Par exemple, on manque de données sur l'électromobilité ou sur les mesures de conservation des ressources limitées.</w:t>
      </w:r>
    </w:p>
    <w:p w14:paraId="596E53E6" w14:textId="554D0C91" w:rsidR="009E1426" w:rsidRPr="00AE0058" w:rsidRDefault="009E1426" w:rsidP="009E1426">
      <w:pPr>
        <w:pStyle w:val="Text"/>
      </w:pPr>
      <w:r>
        <w:t xml:space="preserve">En outre, les mesures climatiques et environnementales à prendre en compte sont soumises à un grand dynamisme en raison des progrès technologiques et de l'évolution des priorités politiques, ce qui nécessite un ajustement constant des mesures climatiques et environnementales à prendre en compte dans les statistiques.</w:t>
      </w:r>
      <w:r>
        <w:t xml:space="preserve"> </w:t>
      </w:r>
      <w:r>
        <w:t xml:space="preserve">En tant que premier fournisseur de services d'information en Allemagne, la statistique publique doit pouvoir adapter l'enquête et les programmes sur lesquels elle repose en temps voulu pour répondre aux obligations européennes de fourniture, notamment en vertu du règlement (UE) n° 691/2011 du Parlement européen et du Conseil du 6 juillet 2011 relatif aux comptes économiques européens de l'environnement (JO</w:t>
      </w:r>
      <w:r>
        <w:t xml:space="preserve"> </w:t>
      </w:r>
      <w:r>
        <w:t xml:space="preserve">L 192 du 22.7.2011, p. 1), tel que modifié par le règlement (UE) n° 538/2014 (JO L 158 du 27.5.2014, p. 113), c'est-à-dire de combler les lacunes en matière de données et de proposer des données plus rapides et plus complètes pour le suivi des mesures climatiques et environnementales politiquement et écologiquement pertinentes.</w:t>
      </w:r>
      <w:r>
        <w:t xml:space="preserve"> </w:t>
      </w:r>
      <w:r>
        <w:t xml:space="preserve">Cela nécessite une modification de l'article 11, paragraphe 1, phrase 2, afin de permettre une certaine flexibilité dans la conception des enquêtes sur les dépenses de protection de l'environnement (article 11) en ce qui concerne les mesures climatiques et environnementales à prendre en compte légalement ainsi que de nouvelles priorités politiques dans ce domaine.</w:t>
      </w:r>
      <w:r>
        <w:t xml:space="preserve"> </w:t>
      </w:r>
      <w:r>
        <w:t xml:space="preserve">Une définition générale des mesures climatiques est donnée à cet effet, conjointement avec une référence à la classification des dépenses de protection de l'environnement (Classification of Environmental Protection Expenditures, CEPA) et à la classification des activités de gestion des ressources ((Classification of Ressource Management Activities, CReMA) existantes.</w:t>
      </w:r>
      <w:r>
        <w:t xml:space="preserve"> </w:t>
      </w:r>
      <w:r>
        <w:t xml:space="preserve">Par conséquent, toute mesure qui répond à la définition d'une mesure environnementale et qui peut être classée dans l'un des domaines environnementaux énumérés dans les classifications environnementales de la CEPA et du CReMA peut être étudiée dans le cadre des statistiques économiques environnementales.</w:t>
      </w:r>
      <w:r>
        <w:t xml:space="preserve"> </w:t>
      </w:r>
      <w:r>
        <w:t xml:space="preserve">Il n'est donc plus nécessaire de modifier au préalable la loi sur les statistiques environnementales afin de définir d'autres mesures climatiques et environnementales.</w:t>
      </w:r>
    </w:p>
    <w:p w14:paraId="78958B0C" w14:textId="77777777" w:rsidR="009E1426" w:rsidRPr="00AE0058" w:rsidRDefault="009E1426" w:rsidP="009E1426">
      <w:pPr>
        <w:pStyle w:val="Text"/>
      </w:pPr>
      <w:r>
        <w:t xml:space="preserve">Explication du terme «mesure environnementale»:</w:t>
      </w:r>
    </w:p>
    <w:p w14:paraId="1C044C2A" w14:textId="664362CA" w:rsidR="009E1426" w:rsidRPr="00AE0058" w:rsidRDefault="009E1426" w:rsidP="009E1426">
      <w:pPr>
        <w:pStyle w:val="Text"/>
      </w:pPr>
      <w:r>
        <w:t xml:space="preserve">Les mesures environnementales sont toutes les mesures et activités qui ont pour objectif premier la prévention, la réduction et l'élimination de la pollution et de toute autre forme de nuisance à l'environnement ou qui permettent une utilisation plus économe des ressources.</w:t>
      </w:r>
      <w:r>
        <w:t xml:space="preserve"> </w:t>
      </w:r>
      <w:r>
        <w:t xml:space="preserve">Ce terme est basé sur le règlement (UE) n° 691/2011 du Parlement européen et du Conseil du 6 juillet 2011 relatif aux comptes économiques européens de l'environnement (JO</w:t>
      </w:r>
      <w:r>
        <w:t xml:space="preserve"> </w:t>
      </w:r>
      <w:r>
        <w:t xml:space="preserve">L 192 du 22.7.2011, p. 1), tel que modifié par le règlement (UE) n° 538/2014 (JO L 158 du 27.5.2014, p. 113) et doit être compris, au sens de la loi sur les statistiques environnementales, d'une manière ouverte et générale, afin qu'il puisse couvrir toutes les mesures de protection de l'environnement possibles, en fonction des futurs développements techniques ou des priorités politiques.</w:t>
      </w:r>
      <w:r>
        <w:t xml:space="preserve"> </w:t>
      </w:r>
      <w:r>
        <w:t xml:space="preserve">Les mesures environnementales qui peuvent être attribuées à un domaine environnemental selon la classification des activités environnementales (CEPA) ou la classification des activités de gestion des ressources (CReMA) peuvent être demandées.</w:t>
      </w:r>
    </w:p>
    <w:p w14:paraId="07136BB9" w14:textId="12CCE1AC" w:rsidR="009E1426" w:rsidRPr="00AE0058" w:rsidRDefault="009E1426" w:rsidP="009E1426">
      <w:pPr>
        <w:pStyle w:val="VerweisBegrndung"/>
        <w:rPr>
          <w:rStyle w:val="Binnenverweis"/>
        </w:rPr>
      </w:pPr>
      <w:r>
        <w:t xml:space="preserve">Concernant le </w:t>
      </w:r>
      <w:r>
        <w:rPr>
          <w:rStyle w:val="Binnenverweis"/>
        </w:rPr>
        <w:t xml:space="preserve">point 10</w:t>
      </w:r>
    </w:p>
    <w:p w14:paraId="37DDAAFA" w14:textId="016BE8A5" w:rsidR="008C386B" w:rsidRPr="00AE0058" w:rsidRDefault="008C386B" w:rsidP="00E13372">
      <w:pPr>
        <w:pStyle w:val="Text"/>
      </w:pPr>
      <w:r>
        <w:t xml:space="preserve">Concernant l'article 12</w:t>
      </w:r>
      <w:r>
        <w:t xml:space="preserve"> </w:t>
      </w:r>
    </w:p>
    <w:p w14:paraId="326FA67F" w14:textId="210B3F59" w:rsidR="009E1426" w:rsidRPr="00AE0058" w:rsidRDefault="009E1426" w:rsidP="009E1426">
      <w:pPr>
        <w:pStyle w:val="VerweisBegrndung"/>
      </w:pPr>
      <w:r>
        <w:t xml:space="preserve">Concernant la </w:t>
      </w:r>
      <w:r>
        <w:rPr>
          <w:rStyle w:val="Binnenverweis"/>
        </w:rPr>
        <w:t xml:space="preserve">lettre a)</w:t>
      </w:r>
    </w:p>
    <w:p w14:paraId="11A983E7" w14:textId="51901FBC" w:rsidR="009E1426" w:rsidRPr="00AE0058" w:rsidRDefault="009E1426" w:rsidP="009E1426">
      <w:pPr>
        <w:pStyle w:val="VerweisBegrndung"/>
      </w:pPr>
      <w:r>
        <w:t xml:space="preserve">Concernant la </w:t>
      </w:r>
      <w:r>
        <w:rPr>
          <w:rStyle w:val="Binnenverweis"/>
        </w:rPr>
        <w:t xml:space="preserve">lettre double aa</w:t>
      </w:r>
    </w:p>
    <w:p w14:paraId="1C1C900A" w14:textId="43B85402" w:rsidR="009E1426" w:rsidRPr="00AE0058" w:rsidRDefault="009E1426" w:rsidP="009E1426">
      <w:pPr>
        <w:pStyle w:val="VerweisBegrndung"/>
      </w:pPr>
      <w:r>
        <w:t xml:space="preserve">Concernant la </w:t>
      </w:r>
      <w:r>
        <w:rPr>
          <w:rStyle w:val="Binnenverweis"/>
        </w:rPr>
        <w:t xml:space="preserve">lettre triple aaa</w:t>
      </w:r>
    </w:p>
    <w:p w14:paraId="0ECE8309" w14:textId="6C25E053" w:rsidR="009E1426" w:rsidRPr="00AE0058" w:rsidRDefault="004B0E83" w:rsidP="009E1426">
      <w:pPr>
        <w:pStyle w:val="Text"/>
      </w:pPr>
      <w:r>
        <w:t xml:space="preserve">Étant donné que les informations sur les caractéristiques d'enquête conformément à l'article 12, paragraphe 1, phrase 1, point 1, doivent être relevées également dans la ventilation par mesures environnementales, le début de l'enquête doit être reporté à l'année de déclaration 2021.</w:t>
      </w:r>
    </w:p>
    <w:p w14:paraId="536B5AF2" w14:textId="78BE9DE9" w:rsidR="009E1426" w:rsidRPr="00AE0058" w:rsidRDefault="009E1426" w:rsidP="009E1426">
      <w:pPr>
        <w:pStyle w:val="VerweisBegrndung"/>
      </w:pPr>
      <w:r>
        <w:t xml:space="preserve">Concernant la </w:t>
      </w:r>
      <w:r>
        <w:rPr>
          <w:rStyle w:val="Binnenverweis"/>
        </w:rPr>
        <w:t xml:space="preserve">triple lettre bbb</w:t>
      </w:r>
    </w:p>
    <w:p w14:paraId="588CC530" w14:textId="7E514BFB" w:rsidR="009E1426" w:rsidRPr="00AE0058" w:rsidRDefault="00BB298B" w:rsidP="009E1426">
      <w:pPr>
        <w:pStyle w:val="Text"/>
      </w:pPr>
      <w:r>
        <w:rPr>
          <w:rStyle w:val="Marker"/>
          <w:color w:val="auto"/>
        </w:rPr>
        <w:t xml:space="preserve">Les chiffres d'affaires avec mesures environnementales sont différenciés en fonction des clients nationaux et étrangers.</w:t>
      </w:r>
      <w:r>
        <w:rPr>
          <w:rStyle w:val="Marker"/>
          <w:color w:val="auto"/>
        </w:rPr>
        <w:t xml:space="preserve"> </w:t>
      </w:r>
      <w:r>
        <w:rPr>
          <w:rStyle w:val="Marker"/>
          <w:color w:val="auto"/>
        </w:rPr>
        <w:t xml:space="preserve">La codification de la mesure environnementale permet une attribution à un domaine environnemental, mais elle n'est pas demandée en supplément.</w:t>
      </w:r>
      <w:r>
        <w:rPr>
          <w:rStyle w:val="Marker"/>
          <w:color w:val="auto"/>
        </w:rPr>
        <w:t xml:space="preserve"> </w:t>
      </w:r>
      <w:r>
        <w:rPr>
          <w:rStyle w:val="Marker"/>
          <w:color w:val="auto"/>
        </w:rPr>
        <w:t xml:space="preserve">Par conséquent, il convient de supprimer «par domaines environnementaux».</w:t>
      </w:r>
    </w:p>
    <w:p w14:paraId="266D1383" w14:textId="1A68D07F" w:rsidR="009E1426" w:rsidRPr="00AE0058" w:rsidRDefault="009E1426" w:rsidP="009E1426">
      <w:pPr>
        <w:pStyle w:val="VerweisBegrndung"/>
      </w:pPr>
      <w:r>
        <w:t xml:space="preserve">Concernant la </w:t>
      </w:r>
      <w:r>
        <w:rPr>
          <w:rStyle w:val="Binnenverweis"/>
        </w:rPr>
        <w:t xml:space="preserve">double lettre bb)</w:t>
      </w:r>
    </w:p>
    <w:p w14:paraId="4192552B" w14:textId="6AAC0AF9" w:rsidR="009E1426" w:rsidRPr="00AE0058" w:rsidRDefault="009E1426" w:rsidP="009E1426">
      <w:pPr>
        <w:pStyle w:val="Text"/>
      </w:pPr>
      <w:r>
        <w:t xml:space="preserve">Au lieu de l'annexe IV du règlement (UE) n° 691/2011, il convient de se référer à son annexe V.</w:t>
      </w:r>
      <w:r>
        <w:t xml:space="preserve"> </w:t>
      </w:r>
      <w:r>
        <w:t xml:space="preserve">Il s'agit d'un correctif car l'annexe V est pertinente pour les enquêtes qui fournissent des factures du secteur des biens et services environnementaux conformément à l'article 3, paragraphe 1, lettre e du règlement (UE) n° 691/2011.</w:t>
      </w:r>
      <w:r>
        <w:t xml:space="preserve"> </w:t>
      </w:r>
      <w:r>
        <w:t xml:space="preserve">Le relevé des biens et de services pour la protection de l'environnement au titre de l'article 12 relevant de cette classification, il convient donc de se référer à l'annexe V.</w:t>
      </w:r>
    </w:p>
    <w:p w14:paraId="25DA1E86" w14:textId="418539D9" w:rsidR="009E1426" w:rsidRPr="00AE0058" w:rsidRDefault="009E1426" w:rsidP="009E1426">
      <w:pPr>
        <w:pStyle w:val="Text"/>
      </w:pPr>
      <w:r>
        <w:t xml:space="preserve">Les décideurs politiques ont besoin d'une base de données complète et valide pour la gestion efficace des mesures visant à construire une économie durable.</w:t>
      </w:r>
      <w:r>
        <w:t xml:space="preserve"> </w:t>
      </w:r>
      <w:r>
        <w:t xml:space="preserve">Toutes les mesures climatiques et environnementales, c'est-à-dire les biens, technologies et services qui servent à éliminer les problèmes environnementaux et à renforcer la conservation des ressources, ne disposent pas actuellement de données officielles pour l'évaluation monétaire afin de répondre à l'obligation de fourniture européenne en vertu du règlement (UE) n° 691/2011 ou pour servir des objectifs politiques tels que le Green Deal européen.</w:t>
      </w:r>
      <w:r>
        <w:t xml:space="preserve"> </w:t>
      </w:r>
      <w:r>
        <w:t xml:space="preserve">Par exemple, on manque de données sur l'électromobilité ou sur les mesures de conservation des ressources limitées.</w:t>
      </w:r>
    </w:p>
    <w:p w14:paraId="5B6518E2" w14:textId="3BDC28EA" w:rsidR="00AE6CB7" w:rsidRPr="00AE0058" w:rsidRDefault="00AE6CB7" w:rsidP="00AE6CB7">
      <w:pPr>
        <w:pStyle w:val="Text"/>
      </w:pPr>
      <w:r>
        <w:t xml:space="preserve">En outre, les mesures climatiques et environnementales à prendre en compte sont soumises à un grand dynamisme en raison des progrès technologiques et de l'évolution des priorités politiques, ce qui nécessite un ajustement constant des mesures climatiques et environnementales à prendre en compte dans les statistiques.</w:t>
      </w:r>
      <w:r>
        <w:t xml:space="preserve"> </w:t>
      </w:r>
      <w:r>
        <w:t xml:space="preserve">En tant que premier fournisseur de services d'information en Allemagne, la statistique publique doit pouvoir adapter l'enquête et les programmes sur lesquels elle repose en temps voulu pour répondre aux obligations européennes de fourniture, notamment en vertu du règlement (UE) n° 691/2011, c'est-à-dire pour combler les lacunes en matière de données et pour offrir plus rapidement et plus complètement des données sur le suivi des mesures climatiques et environnementales pertinentes sur le plan politique et écologique.</w:t>
      </w:r>
      <w:r>
        <w:t xml:space="preserve"> </w:t>
      </w:r>
      <w:r>
        <w:t xml:space="preserve">Cela nécessite une modification de l'article 12, afin de permettre une certaine flexibilité dans la conception des enquêtes sur les dépenses de protection de l'environnement en ce qui concerne les mesures climatiques et environnementales à prendre en compte ainsi que de nouvelles priorités politiques dans ce domaine.</w:t>
      </w:r>
      <w:r>
        <w:t xml:space="preserve"> </w:t>
      </w:r>
      <w:r>
        <w:t xml:space="preserve">Une définition générale des mesures climatiques est donnée à cet effet, conjointement avec une référence à la classification des dépenses de protection de l'environnement (Classification of Environmental Protection Expenditures, CEPA) et à la classification des activités de gestion des ressources ((Classification of Ressource Management Activities, CReMA) existantes.</w:t>
      </w:r>
      <w:r>
        <w:t xml:space="preserve"> </w:t>
      </w:r>
      <w:r>
        <w:t xml:space="preserve">Par conséquent, toute mesure qui répond à la définition d'une mesure environnementale et qui peut être classée dans l'un des domaines environnementaux énumérés dans les classifications environnementales de la CEPA et du CReMA peut être étudiée dans le cadre des statistiques économiques environnementales.</w:t>
      </w:r>
      <w:r>
        <w:t xml:space="preserve"> </w:t>
      </w:r>
      <w:r>
        <w:t xml:space="preserve">Il n'est donc plus nécessaire de modifier au préalable la loi sur les statistiques environnementales lorsque de nouvelles mesures climatiques et environnementales doivent être prises en compte.</w:t>
      </w:r>
    </w:p>
    <w:p w14:paraId="50787ACE" w14:textId="081A800A" w:rsidR="00AE6CB7" w:rsidRPr="00AE0058" w:rsidRDefault="00AE6CB7" w:rsidP="00AE6CB7">
      <w:pPr>
        <w:pStyle w:val="Text"/>
      </w:pPr>
      <w:r>
        <w:t xml:space="preserve">Concernant le terme «mesure environnementale», voir l'exposé des motifs de l'article 11.</w:t>
      </w:r>
    </w:p>
    <w:p w14:paraId="3EB80FAE" w14:textId="61AE30A2" w:rsidR="009E1426" w:rsidRPr="00AE0058" w:rsidRDefault="009E1426" w:rsidP="009E1426">
      <w:pPr>
        <w:pStyle w:val="VerweisBegrndung"/>
      </w:pPr>
      <w:r>
        <w:t xml:space="preserve">Concernant la </w:t>
      </w:r>
      <w:r>
        <w:rPr>
          <w:rStyle w:val="Binnenverweis"/>
        </w:rPr>
        <w:t xml:space="preserve">lettre b)</w:t>
      </w:r>
    </w:p>
    <w:p w14:paraId="261E274F" w14:textId="7BAEA9BD" w:rsidR="00AE6CB7" w:rsidRPr="00AE0058" w:rsidRDefault="00AE6CB7" w:rsidP="00AE6CB7">
      <w:pPr>
        <w:pStyle w:val="Text"/>
      </w:pPr>
      <w:r>
        <w:t xml:space="preserve">Avec la dernière modification de l'UStatG en 2017, le périmètre de déclaration des statistiques sur les biens et services pour la protection de l'environnement a été étendu à tous les secteurs de l'économie - à l'exception de l'agriculture - car l'industrie de la protection de l'environnement est un secteur transversal dont les fabricants (tant ceux spécialisés dans la protection de l'environnement que ceux non spécialisés) se trouvent dans tous les secteurs de l'économie.</w:t>
      </w:r>
      <w:r>
        <w:t xml:space="preserve"> </w:t>
      </w:r>
      <w:r>
        <w:t xml:space="preserve">En contrepartie, des seuils d'intervention ont été introduits dans tous les secteurs afin d'alléger le fardeau de l'économie.</w:t>
      </w:r>
      <w:r>
        <w:t xml:space="preserve"> </w:t>
      </w:r>
      <w:r>
        <w:t xml:space="preserve">Le seuil défini à l'article 12, paragraphe 2, point 4 pour le secteur des services est ajusté à la base des données disponibles.</w:t>
      </w:r>
      <w:r>
        <w:t xml:space="preserve"> </w:t>
      </w:r>
      <w:r>
        <w:t xml:space="preserve">Étant donné que seules les données sur le chiffre d'affaires au niveau des entreprises sont disponibles pour le secteur des services, le seuil se réfère aux entreprises dont le chiffre d'affaires total est d'au moins un million d'euros.</w:t>
      </w:r>
      <w:r>
        <w:t xml:space="preserve"> </w:t>
      </w:r>
      <w:r>
        <w:t xml:space="preserve">La modification garantit une définition claire du seuil et donc une compilation précise du périmètre de déclaration.</w:t>
      </w:r>
      <w:r>
        <w:t xml:space="preserve"> </w:t>
      </w:r>
      <w:r>
        <w:t xml:space="preserve">De cette façon, on peut éviter une charge supplémentaire pour les unités qui ne doivent pas être interrogées.</w:t>
      </w:r>
    </w:p>
    <w:p w14:paraId="6A5D767C" w14:textId="4FA3F46C" w:rsidR="009E1426" w:rsidRPr="00AE0058" w:rsidRDefault="009E1426" w:rsidP="009E1426">
      <w:pPr>
        <w:pStyle w:val="VerweisBegrndung"/>
      </w:pPr>
      <w:r>
        <w:t xml:space="preserve">Concernant le </w:t>
      </w:r>
      <w:r>
        <w:rPr>
          <w:rStyle w:val="Binnenverweis"/>
        </w:rPr>
        <w:t xml:space="preserve">point 11</w:t>
      </w:r>
    </w:p>
    <w:p w14:paraId="30337232" w14:textId="753EF896" w:rsidR="009E1426" w:rsidRPr="00AE0058" w:rsidRDefault="009E1426" w:rsidP="009E1426">
      <w:pPr>
        <w:pStyle w:val="VerweisBegrndung"/>
      </w:pPr>
      <w:r>
        <w:t xml:space="preserve">Concernant la </w:t>
      </w:r>
      <w:r>
        <w:rPr>
          <w:rStyle w:val="Binnenverweis"/>
        </w:rPr>
        <w:t xml:space="preserve">lettre a</w:t>
      </w:r>
    </w:p>
    <w:p w14:paraId="34D9352A" w14:textId="03843C59" w:rsidR="009E1426" w:rsidRPr="00AE0058" w:rsidRDefault="009E1426" w:rsidP="009E1426">
      <w:pPr>
        <w:pStyle w:val="VerweisBegrndung"/>
      </w:pPr>
      <w:r>
        <w:t xml:space="preserve">Concernant la </w:t>
      </w:r>
      <w:r>
        <w:rPr>
          <w:rStyle w:val="Binnenverweis"/>
        </w:rPr>
        <w:t xml:space="preserve">lettre double aa</w:t>
      </w:r>
    </w:p>
    <w:p w14:paraId="0BD9650D" w14:textId="77777777" w:rsidR="009E1426" w:rsidRPr="00AE0058" w:rsidRDefault="009E1426" w:rsidP="009E1426">
      <w:pPr>
        <w:pStyle w:val="Text"/>
      </w:pPr>
      <w:r>
        <w:t xml:space="preserve">L'utilisation du terme général «coordonnées» vise à tenir compte des évolutions techniques dans le domaine des moyens de communication.</w:t>
      </w:r>
    </w:p>
    <w:p w14:paraId="0D9E5F41" w14:textId="51E06874" w:rsidR="009E1426" w:rsidRPr="00AE0058" w:rsidRDefault="009E1426" w:rsidP="009E1426">
      <w:pPr>
        <w:pStyle w:val="VerweisBegrndung"/>
      </w:pPr>
      <w:r>
        <w:t xml:space="preserve">Concernant la </w:t>
      </w:r>
      <w:r>
        <w:rPr>
          <w:rStyle w:val="Binnenverweis"/>
        </w:rPr>
        <w:t xml:space="preserve">double lettre bb)</w:t>
      </w:r>
    </w:p>
    <w:p w14:paraId="0FB8F0F2" w14:textId="1090685B" w:rsidR="009E1426" w:rsidRPr="00AE0058" w:rsidRDefault="00C91D93" w:rsidP="009E1426">
      <w:pPr>
        <w:pStyle w:val="Text"/>
        <w:rPr>
          <w:rStyle w:val="Marker"/>
          <w:color w:val="000000" w:themeColor="text1"/>
        </w:rPr>
      </w:pPr>
      <w:r>
        <w:rPr>
          <w:rStyle w:val="Marker"/>
          <w:color w:val="000000" w:themeColor="text1"/>
        </w:rPr>
        <w:t xml:space="preserve">Le remplacement du mot «référence externe» par «référence» est un ajustement rédactionnel.</w:t>
      </w:r>
      <w:r>
        <w:rPr>
          <w:rStyle w:val="Marker"/>
          <w:color w:val="000000" w:themeColor="text1"/>
        </w:rPr>
        <w:t xml:space="preserve"> </w:t>
      </w:r>
      <w:r>
        <w:rPr>
          <w:rStyle w:val="Marker"/>
          <w:color w:val="000000" w:themeColor="text1"/>
        </w:rPr>
        <w:t xml:space="preserve">La suppression des mots «dans un Land» permet de prendre en compte les livraisons entre Länder.</w:t>
      </w:r>
      <w:r>
        <w:rPr>
          <w:rStyle w:val="Marker"/>
          <w:color w:val="000000" w:themeColor="text1"/>
        </w:rPr>
        <w:t xml:space="preserve"> </w:t>
      </w:r>
      <w:r>
        <w:rPr>
          <w:rStyle w:val="Marker"/>
          <w:color w:val="000000" w:themeColor="text1"/>
        </w:rPr>
        <w:t xml:space="preserve">Ceci représente la mise en réseau régionale et suprarégionale des entreprises d'approvisionnement en eau qui sert à garantir l'approvisionnement en eau potable.</w:t>
      </w:r>
    </w:p>
    <w:p w14:paraId="60443D2C" w14:textId="73B46146" w:rsidR="006B0FF0" w:rsidRPr="00AE0058" w:rsidRDefault="006B0FF0" w:rsidP="006B0FF0">
      <w:pPr>
        <w:pStyle w:val="VerweisBegrndung"/>
      </w:pPr>
      <w:r>
        <w:t xml:space="preserve">Concernant la </w:t>
      </w:r>
      <w:r>
        <w:rPr>
          <w:rStyle w:val="Binnenverweis"/>
        </w:rPr>
        <w:t xml:space="preserve">double lettre cc)</w:t>
      </w:r>
    </w:p>
    <w:p w14:paraId="0F001433" w14:textId="2EBEE19D" w:rsidR="006966B9" w:rsidRPr="00AE0058" w:rsidRDefault="006966B9" w:rsidP="009E1426">
      <w:pPr>
        <w:pStyle w:val="Text"/>
      </w:pPr>
      <w:r>
        <w:t xml:space="preserve">Sans la caractéristique auxiliaire supplémentaire, aucun rapprochement entre les enquêtes selon l'article 5a (2) et selon l'article5a (3) point 5 et 6 n'est possible.</w:t>
      </w:r>
      <w:r>
        <w:t xml:space="preserve"> </w:t>
      </w:r>
      <w:r>
        <w:t xml:space="preserve">Cependant, la clause de l'article 5a (3) points 5 et 6 visant à alléger la charge des fabricants d'emballages réutilisables soumis à déclaration est inefficace sans rapprochement.</w:t>
      </w:r>
    </w:p>
    <w:p w14:paraId="1F971A75" w14:textId="51BAB5CB" w:rsidR="006B0FF0" w:rsidRPr="00AE0058" w:rsidRDefault="006B0FF0" w:rsidP="006B0FF0">
      <w:pPr>
        <w:pStyle w:val="VerweisBegrndung"/>
      </w:pPr>
      <w:r>
        <w:t xml:space="preserve">Concernant la </w:t>
      </w:r>
      <w:r>
        <w:rPr>
          <w:rStyle w:val="Binnenverweis"/>
        </w:rPr>
        <w:t xml:space="preserve">double lettre dd</w:t>
      </w:r>
    </w:p>
    <w:p w14:paraId="50CDD397" w14:textId="19433D43" w:rsidR="009E1426" w:rsidRPr="00AE0058" w:rsidRDefault="009E1426" w:rsidP="009E1426">
      <w:pPr>
        <w:pStyle w:val="VerweisBegrndung"/>
      </w:pPr>
      <w:r>
        <w:t xml:space="preserve">Concernant la </w:t>
      </w:r>
      <w:r>
        <w:rPr>
          <w:rStyle w:val="Binnenverweis"/>
        </w:rPr>
        <w:t xml:space="preserve">lettre b)</w:t>
      </w:r>
    </w:p>
    <w:p w14:paraId="033B3554" w14:textId="332AD19E" w:rsidR="009E1426" w:rsidRPr="00AE0058" w:rsidRDefault="00476265" w:rsidP="009E1426">
      <w:pPr>
        <w:pStyle w:val="Text"/>
      </w:pPr>
      <w:r>
        <w:rPr>
          <w:rStyle w:val="Marker"/>
          <w:color w:val="auto"/>
        </w:rPr>
        <w:t xml:space="preserve">Cette règle permet de combiner les informations fournies par les déclarants pour l'enquête avec les caractéristiques auxiliaires telles que le nom et l'adresse des entreprises de distribution d'eau et est requise pour l'assurance qualité en vérifiant les déclarations sur les quantités livrées et achetées dans le secteur non public de l'eau.</w:t>
      </w:r>
    </w:p>
    <w:p w14:paraId="0100CAFE" w14:textId="41C22B35" w:rsidR="009E1426" w:rsidRPr="00AE0058" w:rsidRDefault="009E1426" w:rsidP="009E1426">
      <w:pPr>
        <w:pStyle w:val="VerweisBegrndung"/>
      </w:pPr>
      <w:r>
        <w:t xml:space="preserve">Concernant le </w:t>
      </w:r>
      <w:r>
        <w:rPr>
          <w:rStyle w:val="Binnenverweis"/>
        </w:rPr>
        <w:t xml:space="preserve">point 12</w:t>
      </w:r>
    </w:p>
    <w:p w14:paraId="197851FF" w14:textId="7F848EDD" w:rsidR="009E1426" w:rsidRPr="00AE0058" w:rsidRDefault="009E1426" w:rsidP="009E1426">
      <w:pPr>
        <w:pStyle w:val="VerweisBegrndung"/>
      </w:pPr>
      <w:r>
        <w:t xml:space="preserve">Concernant la </w:t>
      </w:r>
      <w:r>
        <w:rPr>
          <w:rStyle w:val="Binnenverweis"/>
        </w:rPr>
        <w:t xml:space="preserve">lettre a</w:t>
      </w:r>
    </w:p>
    <w:p w14:paraId="1C559D53" w14:textId="41FD2AE3" w:rsidR="009E1426" w:rsidRPr="00AE0058" w:rsidRDefault="009E1426" w:rsidP="009E1426">
      <w:pPr>
        <w:pStyle w:val="VerweisBegrndung"/>
        <w:rPr>
          <w:rStyle w:val="Binnenverweis"/>
        </w:rPr>
      </w:pPr>
      <w:r>
        <w:t xml:space="preserve">Concernant la </w:t>
      </w:r>
      <w:r>
        <w:rPr>
          <w:rStyle w:val="Binnenverweis"/>
        </w:rPr>
        <w:t xml:space="preserve">lettre double aa</w:t>
      </w:r>
    </w:p>
    <w:p w14:paraId="4C99EA9B" w14:textId="00708C71" w:rsidR="0074190B" w:rsidRPr="00AE0058" w:rsidRDefault="00340937" w:rsidP="00340937">
      <w:pPr>
        <w:pStyle w:val="Text"/>
      </w:pPr>
      <w:r>
        <w:rPr>
          <w:rStyle w:val="Marker"/>
          <w:color w:val="auto"/>
        </w:rPr>
        <w:t xml:space="preserve">Les unités visées à l'article 5, paragraphe 1, communiquent des données sur les installations fixes et mobiles.</w:t>
      </w:r>
      <w:r>
        <w:rPr>
          <w:rStyle w:val="Marker"/>
          <w:color w:val="auto"/>
        </w:rPr>
        <w:t xml:space="preserve"> </w:t>
      </w:r>
      <w:r>
        <w:rPr>
          <w:rStyle w:val="Marker"/>
          <w:color w:val="auto"/>
        </w:rPr>
        <w:t xml:space="preserve">L'équipement mobile n'est pas seulement exploité par le propriétaire ou la direction, mais peut également être utilisé par d'autres personnes dans le cadre d'une relation de location ou de crédit-bail.</w:t>
      </w:r>
      <w:r>
        <w:rPr>
          <w:rStyle w:val="Marker"/>
          <w:color w:val="auto"/>
        </w:rPr>
        <w:t xml:space="preserve"> </w:t>
      </w:r>
      <w:r>
        <w:rPr>
          <w:rStyle w:val="Marker"/>
          <w:color w:val="auto"/>
        </w:rPr>
        <w:t xml:space="preserve">Afin de renforcer l'obligation d'information des locataires et des preneurs à bail, il convient de modifier le libellé de la loi pour y inclure les «utilisateurs/utilisatrices».</w:t>
      </w:r>
      <w:r>
        <w:rPr>
          <w:rStyle w:val="Marker"/>
          <w:color w:val="auto"/>
        </w:rPr>
        <w:t xml:space="preserve"> </w:t>
      </w:r>
      <w:r>
        <w:rPr>
          <w:rStyle w:val="Marker"/>
          <w:color w:val="auto"/>
        </w:rPr>
        <w:t xml:space="preserve">Ceci afin d'éviter que les locataires ou les preneurs à bail se sentent dégagés de l'obligation de déclaration en raison de la classification «direction» ou «propriétaire».</w:t>
      </w:r>
      <w:r>
        <w:rPr>
          <w:rStyle w:val="Marker"/>
          <w:color w:val="auto"/>
        </w:rPr>
        <w:t xml:space="preserve"> </w:t>
      </w:r>
      <w:r>
        <w:rPr>
          <w:rStyle w:val="Marker"/>
          <w:color w:val="auto"/>
        </w:rPr>
        <w:t xml:space="preserve">C'est une condition préalable nécessaire à une collecte de données complète, qui est, entre autres, la base du respect des obligations de déclaration envers l'UE (par exemple pour la détermination du taux de recyclage conformément à la directive-cadre sur les déchets).</w:t>
      </w:r>
      <w:r>
        <w:rPr>
          <w:rStyle w:val="Marker"/>
          <w:color w:val="auto"/>
        </w:rPr>
        <w:t xml:space="preserve"> </w:t>
      </w:r>
    </w:p>
    <w:p w14:paraId="5BB1DBEC" w14:textId="4FFFE25C" w:rsidR="009E1426" w:rsidRPr="00AE0058" w:rsidRDefault="009E1426" w:rsidP="009E1426">
      <w:pPr>
        <w:pStyle w:val="VerweisBegrndung"/>
        <w:rPr>
          <w:rStyle w:val="Binnenverweis"/>
        </w:rPr>
      </w:pPr>
      <w:r>
        <w:t xml:space="preserve">Concernant la </w:t>
      </w:r>
      <w:r>
        <w:rPr>
          <w:rStyle w:val="Binnenverweis"/>
        </w:rPr>
        <w:t xml:space="preserve">double lettre bb)</w:t>
      </w:r>
    </w:p>
    <w:p w14:paraId="259406C3" w14:textId="7F8BA99F" w:rsidR="004213CE" w:rsidRPr="00AE0058" w:rsidRDefault="004213CE" w:rsidP="004213CE">
      <w:pPr>
        <w:pStyle w:val="Text"/>
      </w:pPr>
      <w:r>
        <w:t xml:space="preserve">L'article 5a a été nouvellement inclus dans la UStatG en raison de changements dans les directives européennes.</w:t>
      </w:r>
      <w:r>
        <w:t xml:space="preserve"> </w:t>
      </w:r>
      <w:r>
        <w:t xml:space="preserve">À cette fin, il faut déterminer les parties soumises à obligation d'information.</w:t>
      </w:r>
    </w:p>
    <w:p w14:paraId="3AD43FEE" w14:textId="4F09D29C" w:rsidR="004213CE" w:rsidRPr="00AE0058" w:rsidRDefault="004213CE" w:rsidP="004213CE">
      <w:pPr>
        <w:pStyle w:val="Text"/>
      </w:pPr>
      <w:r>
        <w:t xml:space="preserve">Conformément à l'article 10 de la loi sur les emballages, les distributeurs d'emballages soumis au système doivent communiquer à l'Office central du registre des emballages visé à l'article 3, paragraphe 18 de la loi sur les emballages, les données dont la collecte est régie par l'article 5a, paragraphe 1.</w:t>
      </w:r>
      <w:r>
        <w:t xml:space="preserve"> </w:t>
      </w:r>
      <w:r>
        <w:t xml:space="preserve">Pour sa part, l'Office central du registre des emballages est tenu, en vertu de l'article 14, paragraphe 2, point 4, lettre a, de fournir des informations sur ces données.</w:t>
      </w:r>
      <w:r>
        <w:t xml:space="preserve"> </w:t>
      </w:r>
    </w:p>
    <w:p w14:paraId="7BA5662C" w14:textId="33F0E9DE" w:rsidR="004213CE" w:rsidRPr="00AE0058" w:rsidRDefault="004213CE" w:rsidP="004213CE">
      <w:pPr>
        <w:pStyle w:val="Text"/>
      </w:pPr>
      <w:r>
        <w:t xml:space="preserve">Les destinataires de l'article 5a, paragraphes 2 à 5, sont tenus de fournir des informations en vertu de l'article 14, paragraphe 2, point 4, lettre b.</w:t>
      </w:r>
      <w:r>
        <w:t xml:space="preserve"> </w:t>
      </w:r>
    </w:p>
    <w:p w14:paraId="134DA896" w14:textId="41EA355A" w:rsidR="004213CE" w:rsidRPr="00AE0058" w:rsidRDefault="004213CE" w:rsidP="004213CE">
      <w:pPr>
        <w:pStyle w:val="Text"/>
      </w:pPr>
      <w:r>
        <w:t xml:space="preserve">Les destinataires de l'article 5a, paragraphes 6 et 7, sont tenus de fournir des informations en vertu de l'article 14, paragraphe 2, point 4, lettre c.</w:t>
      </w:r>
      <w:r>
        <w:t xml:space="preserve"> </w:t>
      </w:r>
    </w:p>
    <w:p w14:paraId="2C3DBD4E" w14:textId="46B5FD7E" w:rsidR="006B0FF0" w:rsidRPr="00AE0058" w:rsidRDefault="006B0FF0" w:rsidP="006B0FF0">
      <w:pPr>
        <w:pStyle w:val="VerweisBegrndung"/>
      </w:pPr>
      <w:r>
        <w:t xml:space="preserve">Concernant la </w:t>
      </w:r>
      <w:r>
        <w:rPr>
          <w:rStyle w:val="Binnenverweis"/>
        </w:rPr>
        <w:t xml:space="preserve">double lettre cc)</w:t>
      </w:r>
    </w:p>
    <w:p w14:paraId="0E732EA1" w14:textId="0D07109F" w:rsidR="00AC4CB4" w:rsidRPr="00AE0058" w:rsidRDefault="007A4DC0" w:rsidP="00AC4CB4">
      <w:pPr>
        <w:pStyle w:val="Text"/>
      </w:pPr>
      <w:r>
        <w:rPr>
          <w:rStyle w:val="Marker"/>
          <w:color w:val="auto"/>
        </w:rPr>
        <w:t xml:space="preserve">La modification a apporté des ajustements mineurs à la terminologie.</w:t>
      </w:r>
    </w:p>
    <w:p w14:paraId="788B2EC4" w14:textId="2307A34B" w:rsidR="00907F7B" w:rsidRPr="00AE0058" w:rsidRDefault="00907F7B" w:rsidP="00907F7B">
      <w:pPr>
        <w:pStyle w:val="VerweisBegrndung"/>
      </w:pPr>
      <w:r>
        <w:t xml:space="preserve">Concernant la </w:t>
      </w:r>
      <w:r>
        <w:rPr>
          <w:rStyle w:val="Binnenverweis"/>
        </w:rPr>
        <w:t xml:space="preserve">double lettre hh</w:t>
      </w:r>
    </w:p>
    <w:p w14:paraId="03A85C2B" w14:textId="5296521F" w:rsidR="003E22AD" w:rsidRPr="00AE0058" w:rsidRDefault="003E22AD" w:rsidP="003E22AD">
      <w:pPr>
        <w:pStyle w:val="Text"/>
      </w:pPr>
      <w:r>
        <w:t xml:space="preserve">Il s'agit d'une harmonisation avec l'article 12, qui utilise le terme «organisation».</w:t>
      </w:r>
    </w:p>
    <w:p w14:paraId="4F283DA1" w14:textId="1066E410" w:rsidR="009E1426" w:rsidRPr="00AE0058" w:rsidRDefault="009E1426" w:rsidP="00581470">
      <w:pPr>
        <w:pStyle w:val="VerweisBegrndung"/>
        <w:rPr>
          <w:rStyle w:val="Binnenverweis"/>
          <w:b w:val="0"/>
        </w:rPr>
      </w:pPr>
      <w:r>
        <w:t xml:space="preserve">Concernant la </w:t>
      </w:r>
      <w:r>
        <w:rPr>
          <w:rStyle w:val="Binnenverweis"/>
        </w:rPr>
        <w:t xml:space="preserve">lettre b)</w:t>
      </w:r>
    </w:p>
    <w:p w14:paraId="70AA1C9D" w14:textId="05B38B8C" w:rsidR="004213CE" w:rsidRPr="00AE0058" w:rsidRDefault="004213CE" w:rsidP="004213CE">
      <w:pPr>
        <w:pStyle w:val="Text"/>
      </w:pPr>
      <w:r>
        <w:t xml:space="preserve">L'article 14, paragraphe 4, est pertinent pour les enquêtes menées au titre des articles 11 et 12.</w:t>
      </w:r>
      <w:r>
        <w:t xml:space="preserve"> </w:t>
      </w:r>
      <w:r>
        <w:t xml:space="preserve">Afin que la caractéristique «créateur d'entreprise» puisse également être appliquée sans problème à l'enquête menée en vertu de l'article 12, les établissements et organismes doivent également pouvoir être des destinataires de la règle juridique.</w:t>
      </w:r>
    </w:p>
    <w:p w14:paraId="40F32F53" w14:textId="0A967DE2" w:rsidR="00907F7B" w:rsidRPr="00AE0058" w:rsidRDefault="00907F7B" w:rsidP="00907F7B">
      <w:pPr>
        <w:pStyle w:val="VerweisBegrndung"/>
      </w:pPr>
      <w:r>
        <w:t xml:space="preserve">Concernant le </w:t>
      </w:r>
      <w:r>
        <w:rPr>
          <w:rStyle w:val="Binnenverweis"/>
        </w:rPr>
        <w:t xml:space="preserve">point 13</w:t>
      </w:r>
    </w:p>
    <w:p w14:paraId="6D291D1E" w14:textId="0738E98E" w:rsidR="006B0FF0" w:rsidRPr="00AE0058" w:rsidRDefault="006B0FF0" w:rsidP="006B0FF0">
      <w:pPr>
        <w:pStyle w:val="VerweisBegrndung"/>
      </w:pPr>
      <w:r>
        <w:t xml:space="preserve">Concernant la </w:t>
      </w:r>
      <w:r>
        <w:rPr>
          <w:rStyle w:val="Binnenverweis"/>
        </w:rPr>
        <w:t xml:space="preserve">lettre a</w:t>
      </w:r>
    </w:p>
    <w:p w14:paraId="1EA59BD1" w14:textId="77777777" w:rsidR="005B4931" w:rsidRPr="00AE0058" w:rsidRDefault="005B4931" w:rsidP="005B4931">
      <w:pPr>
        <w:pStyle w:val="Text"/>
        <w:rPr>
          <w:rStyle w:val="Marker"/>
          <w:color w:val="000000" w:themeColor="text1"/>
        </w:rPr>
      </w:pPr>
      <w:r>
        <w:rPr>
          <w:rStyle w:val="Marker"/>
          <w:color w:val="000000" w:themeColor="text1"/>
        </w:rPr>
        <w:t xml:space="preserve">Sur la base des tâches qui lui incombent en vertu de la loi sur les emballages, l'Office central du registre des emballages visé à l'article 3, paragraphe 18 de la loi sur les emballages, dispose des coordonnées et des adresses de nombreux fabricants et distributeurs d'emballages.</w:t>
      </w:r>
      <w:r>
        <w:rPr>
          <w:rStyle w:val="Marker"/>
          <w:color w:val="000000" w:themeColor="text1"/>
        </w:rPr>
        <w:t xml:space="preserve"> </w:t>
      </w:r>
      <w:r>
        <w:rPr>
          <w:rStyle w:val="Marker"/>
          <w:color w:val="000000" w:themeColor="text1"/>
        </w:rPr>
        <w:t xml:space="preserve">Afin de permettre et de faciliter la création de périmètres de déclaration applicables et complets en ce qui concerne les destinataires visés à l'article 5a, l'Office central du registre des emballages est tenu de fournir des informations sur les adresses dont il dispose.</w:t>
      </w:r>
    </w:p>
    <w:p w14:paraId="1A8B0D2A" w14:textId="57532B94" w:rsidR="00907F7B" w:rsidRPr="00AE0058" w:rsidRDefault="005B4931" w:rsidP="00907F7B">
      <w:pPr>
        <w:pStyle w:val="Text"/>
        <w:rPr>
          <w:rStyle w:val="Marker"/>
          <w:color w:val="000000" w:themeColor="text1"/>
        </w:rPr>
      </w:pPr>
      <w:r>
        <w:rPr>
          <w:rStyle w:val="Marker"/>
          <w:color w:val="000000" w:themeColor="text1"/>
        </w:rPr>
        <w:t xml:space="preserve">Une disposition correspondante est également prévue pour la personne morale qui, conformément à l'article 31, paragraphe 1, phrase 4 de la loi sur les emballages, est chargée de traiter les demandes de remboursement de la consigne.</w:t>
      </w:r>
      <w:r>
        <w:rPr>
          <w:rStyle w:val="Marker"/>
          <w:color w:val="000000" w:themeColor="text1"/>
        </w:rPr>
        <w:t xml:space="preserve"> </w:t>
      </w:r>
      <w:r>
        <w:rPr>
          <w:rStyle w:val="Marker"/>
          <w:color w:val="000000" w:themeColor="text1"/>
        </w:rPr>
        <w:t xml:space="preserve">Actuellement, cette personne morale est la Deutsche Pfandgesellschaft GmbH, mais cette tâche pourrait également être assumée par une autre entité juridique à l'avenir.</w:t>
      </w:r>
    </w:p>
    <w:p w14:paraId="31BCD41E" w14:textId="77777777" w:rsidR="008F3996" w:rsidRPr="00AE0058" w:rsidRDefault="008F3996" w:rsidP="008F3996">
      <w:pPr>
        <w:pStyle w:val="Text"/>
        <w:rPr>
          <w:rStyle w:val="Marker"/>
          <w:color w:val="000000" w:themeColor="text1"/>
        </w:rPr>
      </w:pPr>
      <w:r>
        <w:rPr>
          <w:rStyle w:val="Marker"/>
          <w:color w:val="000000" w:themeColor="text1"/>
        </w:rPr>
        <w:t xml:space="preserve">Les autorités chargées de la collecte des déchets, par exemple, peuvent confier cette collecte à des tiers.</w:t>
      </w:r>
      <w:r>
        <w:rPr>
          <w:rStyle w:val="Marker"/>
          <w:color w:val="000000" w:themeColor="text1"/>
        </w:rPr>
        <w:t xml:space="preserve"> </w:t>
      </w:r>
      <w:r>
        <w:rPr>
          <w:rStyle w:val="Marker"/>
          <w:color w:val="000000" w:themeColor="text1"/>
        </w:rPr>
        <w:t xml:space="preserve">Afin de pouvoir interroger ces tiers, les autorités responsables en vertu du droit national sont tenues de mettre également à disposition les adresses de ces tiers pour l'enquête.</w:t>
      </w:r>
      <w:r>
        <w:rPr>
          <w:rStyle w:val="Marker"/>
          <w:color w:val="000000" w:themeColor="text1"/>
        </w:rPr>
        <w:t xml:space="preserve"> </w:t>
      </w:r>
    </w:p>
    <w:p w14:paraId="34F12A33" w14:textId="63B759CE" w:rsidR="006B0FF0" w:rsidRPr="00AE0058" w:rsidRDefault="006B0FF0" w:rsidP="006B0FF0">
      <w:pPr>
        <w:pStyle w:val="VerweisBegrndung"/>
      </w:pPr>
      <w:r>
        <w:t xml:space="preserve">Concernant la </w:t>
      </w:r>
      <w:r>
        <w:rPr>
          <w:rStyle w:val="Binnenverweis"/>
        </w:rPr>
        <w:t xml:space="preserve">lettre b)</w:t>
      </w:r>
    </w:p>
    <w:p w14:paraId="3066B6EB" w14:textId="668EB2D6" w:rsidR="005E6FCC" w:rsidRPr="00AE0058" w:rsidRDefault="005E6FCC" w:rsidP="00907F7B">
      <w:pPr>
        <w:pStyle w:val="Text"/>
        <w:rPr>
          <w:rStyle w:val="Marker"/>
          <w:color w:val="auto"/>
        </w:rPr>
      </w:pPr>
      <w:r>
        <w:rPr>
          <w:rStyle w:val="Marker"/>
          <w:color w:val="auto"/>
        </w:rPr>
        <w:t xml:space="preserve">La modification représente une adaptation rédactionnelle aux règlements actuels sur la mise en œuvre de la législation sur la protection de l'environnement dans les Länder.</w:t>
      </w:r>
    </w:p>
    <w:p w14:paraId="057A0EDF" w14:textId="059098F7" w:rsidR="00907F7B" w:rsidRPr="00AE0058" w:rsidRDefault="00907F7B" w:rsidP="00907F7B">
      <w:pPr>
        <w:pStyle w:val="VerweisBegrndung"/>
      </w:pPr>
      <w:r>
        <w:t xml:space="preserve">Concernant le </w:t>
      </w:r>
      <w:r>
        <w:rPr>
          <w:rStyle w:val="Binnenverweis"/>
        </w:rPr>
        <w:t xml:space="preserve">point 14</w:t>
      </w:r>
    </w:p>
    <w:p w14:paraId="353383E8" w14:textId="27DE1122" w:rsidR="00907F7B" w:rsidRPr="00AE0058" w:rsidRDefault="00907F7B" w:rsidP="00907F7B">
      <w:pPr>
        <w:pStyle w:val="VerweisBegrndung"/>
      </w:pPr>
      <w:r>
        <w:t xml:space="preserve">Concernant la </w:t>
      </w:r>
      <w:r>
        <w:rPr>
          <w:rStyle w:val="Binnenverweis"/>
        </w:rPr>
        <w:t xml:space="preserve">lettre a</w:t>
      </w:r>
    </w:p>
    <w:p w14:paraId="1458204B" w14:textId="33E9CE28" w:rsidR="00907F7B" w:rsidRPr="00AE0058" w:rsidRDefault="00907F7B" w:rsidP="00907F7B">
      <w:pPr>
        <w:pStyle w:val="Text"/>
      </w:pPr>
      <w:r>
        <w:t xml:space="preserve">Les tableaux des résultats de l'enquête conformément à l'article 3 sont publiés non seulement par les offices statistiques des Länder, mais aussi par l'Office fédéral de la statistique.</w:t>
      </w:r>
    </w:p>
    <w:p w14:paraId="4D1464D6" w14:textId="47A0EAE7" w:rsidR="00907F7B" w:rsidRPr="00AE0058" w:rsidRDefault="00907F7B" w:rsidP="00907F7B">
      <w:pPr>
        <w:pStyle w:val="VerweisBegrndung"/>
      </w:pPr>
      <w:r>
        <w:t xml:space="preserve">Concernant la </w:t>
      </w:r>
      <w:r>
        <w:rPr>
          <w:rStyle w:val="Binnenverweis"/>
        </w:rPr>
        <w:t xml:space="preserve">lettre b)</w:t>
      </w:r>
    </w:p>
    <w:p w14:paraId="6F5FE50A" w14:textId="2B969160" w:rsidR="004213CE" w:rsidRPr="00AE0058" w:rsidRDefault="004213CE" w:rsidP="004213CE">
      <w:pPr>
        <w:pStyle w:val="Text"/>
      </w:pPr>
      <w:r>
        <w:rPr>
          <w:rStyle w:val="Marker"/>
          <w:color w:val="auto"/>
        </w:rPr>
        <w:t xml:space="preserve">Les statistiques sur les investissements pour la protection de l'environnement sont régies par l'article 11, paragraphe 1, phrase 1, point 1.</w:t>
      </w:r>
    </w:p>
    <w:p w14:paraId="777D77DC" w14:textId="564ECFB4" w:rsidR="00907F7B" w:rsidRPr="00AE0058" w:rsidRDefault="00907F7B" w:rsidP="00907F7B">
      <w:pPr>
        <w:pStyle w:val="VerweisBegrndung"/>
      </w:pPr>
      <w:r>
        <w:t xml:space="preserve">Concernant la </w:t>
      </w:r>
      <w:r>
        <w:rPr>
          <w:rStyle w:val="Binnenverweis"/>
        </w:rPr>
        <w:t xml:space="preserve">lettre c</w:t>
      </w:r>
    </w:p>
    <w:p w14:paraId="236C2677" w14:textId="4B9674F6" w:rsidR="00907F7B" w:rsidRPr="00AE0058" w:rsidRDefault="00907F7B" w:rsidP="008D7C26">
      <w:r>
        <w:t xml:space="preserve">Afin de réduire la charge générale dans le domaine des statistiques environnementales et d'éviter des enquêtes supplémentaires, les données déjà disponibles dans les offices statistiques des Länder doivent être utilisées de la manière la plus complète et la plus souple possible à des fins statistiques.</w:t>
      </w:r>
      <w:r>
        <w:t xml:space="preserve"> </w:t>
      </w:r>
      <w:r>
        <w:t xml:space="preserve">La modification crée la condition préalable pour que l'Office fédéral de la statistique puisse disposer de données individuelles issues des statistiques environnementales sans anonymisation pour un traitement supplémentaire de l'état fédéral, par exemple pour un développement technique et méthodologique ultérieur.</w:t>
      </w:r>
      <w:r>
        <w:t xml:space="preserve"> </w:t>
      </w:r>
      <w:r>
        <w:t xml:space="preserve">Il s'agit, par exemple, de compilations à l'échelle nationale des bilans hydriques locaux (captage et consommation d'eau ainsi que rejet d'eaux usées) par secteur économique.</w:t>
      </w:r>
    </w:p>
    <w:p w14:paraId="2EA65EF2" w14:textId="385DCC50" w:rsidR="00907F7B" w:rsidRPr="00AE0058" w:rsidRDefault="00907F7B" w:rsidP="00907F7B">
      <w:pPr>
        <w:pStyle w:val="VerweisBegrndung"/>
        <w:rPr>
          <w:rStyle w:val="Binnenverweis"/>
        </w:rPr>
      </w:pPr>
      <w:r>
        <w:t xml:space="preserve">Concernant la </w:t>
      </w:r>
      <w:r>
        <w:rPr>
          <w:rStyle w:val="Binnenverweis"/>
        </w:rPr>
        <w:t xml:space="preserve">lettre d</w:t>
      </w:r>
    </w:p>
    <w:p w14:paraId="3F952D0D" w14:textId="46A88DDF" w:rsidR="00907F7B" w:rsidRPr="00AE0058" w:rsidRDefault="00907F7B" w:rsidP="00907F7B">
      <w:pPr>
        <w:pStyle w:val="Text"/>
      </w:pPr>
      <w:r>
        <w:t xml:space="preserve">Afin de remplir les obligations de la République fédérale d'Allemagne en vertu du droit européen et international, en particulier de la directive sur l'information en matière d'environnement (directive 2003/4/CE du Parlement européen et du Conseil du 28 janvier 2003 concernant l'accès du public à l'information en matière d'environnement) et de la directive 2012/19/UE du Parlement européen et du Conseil du 4 juillet 2012 relative aux déchets d'équipements électriques et électroniques (DEEE) (JO L 197 du 24.7.2012, p. 38), et pour ses propres analyses, l'Agence fédérale de l'environnement a besoin des données d'enquête obtenues par l'Office fédéral de la statistique et les offices statistiques des Länder et a également besoin, à cette fin, de certaines données issues de ces enquêtes.</w:t>
      </w:r>
    </w:p>
    <w:p w14:paraId="2DC668EF" w14:textId="1481648D" w:rsidR="00907F7B" w:rsidRPr="00AE0058" w:rsidRDefault="00907F7B" w:rsidP="00907F7B">
      <w:pPr>
        <w:pStyle w:val="VerweisBegrndung"/>
      </w:pPr>
      <w:r>
        <w:t xml:space="preserve">Concernant le </w:t>
      </w:r>
      <w:r>
        <w:rPr>
          <w:rStyle w:val="Binnenverweis"/>
        </w:rPr>
        <w:t xml:space="preserve">point 15</w:t>
      </w:r>
    </w:p>
    <w:p w14:paraId="2FB45D76" w14:textId="4B3413BA" w:rsidR="00907F7B" w:rsidRPr="00AE0058" w:rsidRDefault="00907F7B" w:rsidP="00907F7B">
      <w:pPr>
        <w:pStyle w:val="Text"/>
      </w:pPr>
      <w:r>
        <w:t xml:space="preserve">La modification apporte un ajustement à la terminologie actuelle.</w:t>
      </w:r>
    </w:p>
    <w:p w14:paraId="5A445906" w14:textId="7C43DE55" w:rsidR="00907F7B" w:rsidRPr="00AE0058" w:rsidRDefault="00907F7B" w:rsidP="00907F7B">
      <w:pPr>
        <w:pStyle w:val="VerweisBegrndung"/>
      </w:pPr>
      <w:r>
        <w:t xml:space="preserve">Concernant l’</w:t>
      </w:r>
      <w:r>
        <w:rPr>
          <w:rStyle w:val="Binnenverweis"/>
        </w:rPr>
        <w:t xml:space="preserve">article 2</w:t>
      </w:r>
      <w:r>
        <w:t xml:space="preserve"> (modification de la loi sur les emballages)</w:t>
      </w:r>
    </w:p>
    <w:p w14:paraId="2D3C9535" w14:textId="24F3DC6A" w:rsidR="007E7424" w:rsidRPr="00AE0058" w:rsidRDefault="007E7424" w:rsidP="007E7424">
      <w:pPr>
        <w:pStyle w:val="Text"/>
      </w:pPr>
      <w:r>
        <w:t xml:space="preserve">Il s'agit d'une modification consécutive à la modification de l'UStatG.</w:t>
      </w:r>
      <w:r>
        <w:t xml:space="preserve"> </w:t>
      </w:r>
      <w:r>
        <w:t xml:space="preserve">L'Office central du registre des emballages visé à l'article 3, paragraphe 18 de la loi sur les emballages, doit être mis en mesure de remplir les obligations qui lui sont imposées par la modification de la loi sur les statistiques environnementales.</w:t>
      </w:r>
    </w:p>
    <w:p w14:paraId="5AF58678" w14:textId="4775EFA3" w:rsidR="00907F7B" w:rsidRPr="00AE0058" w:rsidRDefault="00907F7B" w:rsidP="00907F7B">
      <w:pPr>
        <w:pStyle w:val="VerweisBegrndung"/>
      </w:pPr>
      <w:r>
        <w:t xml:space="preserve">Concernant le </w:t>
      </w:r>
      <w:r>
        <w:rPr>
          <w:rStyle w:val="Binnenverweis"/>
        </w:rPr>
        <w:t xml:space="preserve">point 1</w:t>
      </w:r>
    </w:p>
    <w:p w14:paraId="0E8E3FF2" w14:textId="3262F17B" w:rsidR="00907F7B" w:rsidRPr="00AE0058" w:rsidRDefault="006C1920" w:rsidP="00907F7B">
      <w:pPr>
        <w:pStyle w:val="Text"/>
      </w:pPr>
      <w:r>
        <w:rPr>
          <w:rStyle w:val="Marker"/>
          <w:color w:val="auto"/>
        </w:rPr>
        <w:t xml:space="preserve">Ce changement est dû au remplacement de l'article 5, paragraphe 2, abrogé par le nouvel article 5a.</w:t>
      </w:r>
    </w:p>
    <w:p w14:paraId="55A32300" w14:textId="6FBEA9D7" w:rsidR="00907F7B" w:rsidRPr="00AE0058" w:rsidRDefault="00907F7B" w:rsidP="00907F7B">
      <w:pPr>
        <w:pStyle w:val="VerweisBegrndung"/>
      </w:pPr>
      <w:r>
        <w:t xml:space="preserve">Concernant le </w:t>
      </w:r>
      <w:r>
        <w:rPr>
          <w:rStyle w:val="Binnenverweis"/>
        </w:rPr>
        <w:t xml:space="preserve">point 2</w:t>
      </w:r>
    </w:p>
    <w:p w14:paraId="28D6BBA0" w14:textId="52E4D5AF" w:rsidR="00907F7B" w:rsidRPr="00AE0058" w:rsidRDefault="006C1920" w:rsidP="00907F7B">
      <w:pPr>
        <w:pStyle w:val="Text"/>
      </w:pPr>
      <w:r>
        <w:rPr>
          <w:rStyle w:val="Marker"/>
          <w:color w:val="auto"/>
        </w:rPr>
        <w:t xml:space="preserve">L'enquête sera menée comme une enquête secondaire:</w:t>
      </w:r>
      <w:r>
        <w:rPr>
          <w:rStyle w:val="Marker"/>
          <w:color w:val="auto"/>
        </w:rPr>
        <w:t xml:space="preserve"> </w:t>
      </w:r>
      <w:r>
        <w:rPr>
          <w:rStyle w:val="Marker"/>
          <w:color w:val="auto"/>
        </w:rPr>
        <w:t xml:space="preserve">Les données (administratives) déjà disponibles à l'office central ne sont pas collectées à nouveau séparément par les systèmes et solutions sectorielles, mais directement auprès de l'office central (réduction des obligations statistiques).</w:t>
      </w:r>
    </w:p>
    <w:p w14:paraId="0BEC9233" w14:textId="6544B445" w:rsidR="00907F7B" w:rsidRPr="00AE0058" w:rsidRDefault="00907F7B" w:rsidP="00907F7B">
      <w:pPr>
        <w:pStyle w:val="VerweisBegrndung"/>
      </w:pPr>
      <w:r>
        <w:t xml:space="preserve">Concernant l'</w:t>
      </w:r>
      <w:r>
        <w:rPr>
          <w:rStyle w:val="Binnenverweis"/>
        </w:rPr>
        <w:t xml:space="preserve">article 3</w:t>
      </w:r>
      <w:r>
        <w:t xml:space="preserve"> (entrée en vigueur)</w:t>
      </w:r>
    </w:p>
    <w:p w14:paraId="1E4A06CE" w14:textId="75F2C679" w:rsidR="008A397D" w:rsidRPr="00AE0058" w:rsidRDefault="008D7C26" w:rsidP="00907F7B">
      <w:pPr>
        <w:pStyle w:val="Text"/>
      </w:pPr>
      <w:r>
        <w:t xml:space="preserve">Comme l'obligation de déclaration à l'UE sur l'auto-compostage existe déjà à depuis l'année de déclaration 2020 en vertu de la législation européenne pertinente, l'entrée en vigueur à cet égard est déjà fixée pour le jour suivant la promulgation de la loi, par dérogation aux autres règlements, afin que les offices statistiques disposent de suffisamment de temps pour collecter et traiter les données.</w:t>
      </w:r>
      <w:r>
        <w:t xml:space="preserve"> </w:t>
      </w:r>
      <w:r>
        <w:t xml:space="preserve">.</w:t>
      </w:r>
    </w:p>
    <w:sectPr w:rsidR="008A397D" w:rsidRPr="00AE0058" w:rsidSect="001F550D">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BD655" w14:textId="77777777" w:rsidR="000F0F82" w:rsidRDefault="000F0F82" w:rsidP="005D1540">
      <w:pPr>
        <w:spacing w:before="0" w:after="0"/>
      </w:pPr>
      <w:r>
        <w:separator/>
      </w:r>
    </w:p>
  </w:endnote>
  <w:endnote w:type="continuationSeparator" w:id="0">
    <w:p w14:paraId="7B16D9EA" w14:textId="77777777" w:rsidR="000F0F82" w:rsidRDefault="000F0F82" w:rsidP="005D1540">
      <w:pPr>
        <w:spacing w:before="0" w:after="0"/>
      </w:pPr>
      <w:r>
        <w:continuationSeparator/>
      </w:r>
    </w:p>
  </w:endnote>
  <w:endnote w:type="continuationNotice" w:id="1">
    <w:p w14:paraId="0858F5D1" w14:textId="77777777" w:rsidR="000F0F82" w:rsidRDefault="000F0F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taNormalLF-Roman">
    <w:altName w:val="Times New Roman"/>
    <w:charset w:val="00"/>
    <w:family w:val="swiss"/>
    <w:pitch w:val="variable"/>
    <w:sig w:usb0="8000002F" w:usb1="10000048"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3C41E" w14:textId="77777777" w:rsidR="000F0F82" w:rsidRDefault="000F0F82" w:rsidP="005D1540">
      <w:pPr>
        <w:spacing w:before="0" w:after="0"/>
      </w:pPr>
      <w:r>
        <w:separator/>
      </w:r>
    </w:p>
  </w:footnote>
  <w:footnote w:type="continuationSeparator" w:id="0">
    <w:p w14:paraId="67ECEF9B" w14:textId="77777777" w:rsidR="000F0F82" w:rsidRDefault="000F0F82" w:rsidP="005D1540">
      <w:pPr>
        <w:spacing w:before="0" w:after="0"/>
      </w:pPr>
      <w:r>
        <w:continuationSeparator/>
      </w:r>
    </w:p>
  </w:footnote>
  <w:footnote w:type="continuationNotice" w:id="1">
    <w:p w14:paraId="2D7196FF" w14:textId="77777777" w:rsidR="000F0F82" w:rsidRDefault="000F0F82">
      <w:pPr>
        <w:spacing w:before="0" w:after="0"/>
      </w:pPr>
    </w:p>
  </w:footnote>
  <w:footnote w:id="2">
    <w:p w14:paraId="4DFC6932" w14:textId="351F64A8" w:rsidR="00AC5546" w:rsidRDefault="00AC5546">
      <w:pPr>
        <w:pStyle w:val="FootnoteText"/>
      </w:pPr>
      <w:r>
        <w:rPr>
          <w:rStyle w:val="FootnoteReference"/>
        </w:rPr>
        <w:footnoteRef/>
      </w:r>
      <w:r>
        <w:rPr>
          <w:rStyle w:val="FootnoteReference"/>
          <w:vertAlign w:val="baseline"/>
        </w:rPr>
        <w:t xml:space="preserve">)</w:t>
      </w:r>
      <w:r>
        <w:tab/>
        <w:t xml:space="preserve">La présente loi vise à assurer la transposition de la directive 94/62/CE du Parlement européen et du Conseil du 20 décembre 1994 relative aux emballages et aux déchets d'emballages (JO L 365 du 31.12.1994, p. 10), modifiée en dernier lieu par la directive (UE) 2018/852 du Parlement européen et du Conseil du 30 mai 2018 (JO</w:t>
      </w:r>
      <w:r>
        <w:t xml:space="preserve"> </w:t>
      </w:r>
      <w:r>
        <w:t xml:space="preserve">L 150 du 14.06.2018, p.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68BD" w14:textId="0AB1C64B" w:rsidR="00AC5546" w:rsidRPr="001F550D" w:rsidRDefault="00AC5546" w:rsidP="001F550D">
    <w:pPr>
      <w:pStyle w:val="Header"/>
    </w:pPr>
    <w:r>
      <w:tab/>
    </w:r>
    <w:r>
      <w:t xml:space="preserve">- </w:t>
    </w:r>
    <w:r>
      <w:fldChar w:fldCharType="begin"/>
    </w:r>
    <w:r>
      <w:instrText xml:space="preserve"> PAGE  \* MERGEFORMAT </w:instrText>
    </w:r>
    <w:r>
      <w:fldChar w:fldCharType="separate"/>
    </w:r>
    <w:r>
      <w:t>2</w:t>
    </w:r>
    <w:r>
      <w:fldChar w:fldCharType="end"/>
    </w:r>
    <w:r>
      <w:t xml:space="preserve"> -</w:t>
      <w:tab/>
    </w:r>
    <w:r>
      <w:rPr>
        <w:sz w:val="18"/>
      </w:rPr>
      <w:t xml:space="preserve">Version:</w:t>
    </w:r>
    <w:r>
      <w:rPr>
        <w:sz w:val="18"/>
      </w:rPr>
      <w:t xml:space="preserve"> </w:t>
    </w:r>
    <w:r>
      <w:rPr>
        <w:sz w:val="18"/>
      </w:rPr>
      <w:t xml:space="preserve">0.2.2021  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D725" w14:textId="554F2F1F" w:rsidR="00AC5546" w:rsidRPr="001F550D" w:rsidRDefault="00AC5546" w:rsidP="006C07FA">
    <w:pPr>
      <w:pStyle w:val="Header"/>
      <w:jc w:val="right"/>
    </w:pPr>
    <w:r>
      <w:rPr>
        <w:sz w:val="18"/>
      </w:rPr>
      <w:t xml:space="preserve">Version:</w:t>
    </w:r>
    <w:r>
      <w:rPr>
        <w:sz w:val="18"/>
      </w:rPr>
      <w:t xml:space="preserve"> </w:t>
    </w:r>
    <w:r>
      <w:rPr>
        <w:sz w:val="18"/>
      </w:rPr>
      <w:t xml:space="preserve">1.2.2021  16:22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0971705"/>
    <w:multiLevelType w:val="hybridMultilevel"/>
    <w:tmpl w:val="B48CDA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2"/>
    </w:lvlOverride>
    <w:lvlOverride w:ilvl="3">
      <w:startOverride w:val="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8"/>
  </w:num>
  <w:num w:numId="14">
    <w:abstractNumId w:val="25"/>
  </w:num>
  <w:num w:numId="15">
    <w:abstractNumId w:val="17"/>
  </w:num>
  <w:num w:numId="16">
    <w:abstractNumId w:val="3"/>
  </w:num>
  <w:num w:numId="17">
    <w:abstractNumId w:val="10"/>
  </w:num>
  <w:num w:numId="18">
    <w:abstractNumId w:val="0"/>
  </w:num>
  <w:num w:numId="19">
    <w:abstractNumId w:val="24"/>
  </w:num>
  <w:num w:numId="20">
    <w:abstractNumId w:val="11"/>
  </w:num>
  <w:num w:numId="21">
    <w:abstractNumId w:val="20"/>
  </w:num>
  <w:num w:numId="22">
    <w:abstractNumId w:val="2"/>
  </w:num>
  <w:num w:numId="23">
    <w:abstractNumId w:val="16"/>
  </w:num>
  <w:num w:numId="24">
    <w:abstractNumId w:val="7"/>
  </w:num>
  <w:num w:numId="25">
    <w:abstractNumId w:val="6"/>
  </w:num>
  <w:num w:numId="26">
    <w:abstractNumId w:val="15"/>
  </w:num>
  <w:num w:numId="27">
    <w:abstractNumId w:val="21"/>
  </w:num>
  <w:num w:numId="28">
    <w:abstractNumId w:val="8"/>
  </w:num>
  <w:num w:numId="29">
    <w:abstractNumId w:val="12"/>
  </w:num>
  <w:num w:numId="30">
    <w:abstractNumId w:val="1"/>
  </w:num>
  <w:num w:numId="31">
    <w:abstractNumId w:val="14"/>
  </w:num>
  <w:num w:numId="32">
    <w:abstractNumId w:val="4"/>
  </w:num>
  <w:num w:numId="33">
    <w:abstractNumId w:val="23"/>
  </w:num>
  <w:num w:numId="34">
    <w:abstractNumId w:val="22"/>
  </w:num>
  <w:num w:numId="35">
    <w:abstractNumId w:val="9"/>
  </w:num>
  <w:num w:numId="3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proofState w:spelling="dirty" w:grammar="dirty"/>
  <w:attachedTemplate r:id="rId1"/>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26ms] [Main] [eNormCommandSeilegx::SEILEGX.Marker.GotoFirstMarkerInDocument]"/>
    <w:docVar w:name="BefehlsHistorie_Befehl02" w:val="Aktualisierung der Strukturanzeige [3251ms] [Main] [eNormCommandLocal::DynamicStructureCheck.UpdateStructure]"/>
    <w:docVar w:name="BefehlsHistorie_Befehl65" w:val="Begründungsbereich erzeugen [2330ms] [Main] [eNormCommandLocal::BegründungsCommands.BGBegründungsbereichErzeugen]"/>
    <w:docVar w:name="BefehlsHistorie_Befehl66" w:val="Aktualisierung der Strukturanzeige [1664ms] [Main] [eNormCommandLocal::DynamicStructureCheck.UpdateStructure]"/>
    <w:docVar w:name="BefehlsHistorie_Befehl67" w:val="Aktualisierung der Strukturanzeige [1038ms] [Main] [eNormCommandLocal::DynamicStructureCheck.UpdateStructure]"/>
    <w:docVar w:name="BefehlsHistorie_Befehl68" w:val="Revision einrücken (Markierung) [354ms] [Main] [eNormCommandSeilegx::SEILEGX.eNormCmds.LWRevisionAusrichten]"/>
    <w:docVar w:name="BefehlsHistorie_Befehl69" w:val="Revision einrücken (Markierung) [323ms] [Main] [eNormCommandSeilegx::SEILEGX.eNormCmds.LWRevisionAusrichten]"/>
    <w:docVar w:name="BefehlsHistorie_Befehl70" w:val="Aktualisierung der Strukturanzeige [1555ms] [Main] [eNormCommandLocal::DynamicStructureCheck.UpdateStructure]"/>
    <w:docVar w:name="BefehlsHistorie_Befehl71" w:val="Begründungsgerüst aktualisieren [2934ms] [Main] [eNormCommandLocal::BegründungsCommands.BGAktualisieren]"/>
    <w:docVar w:name="BefehlsHistorie_Befehl72" w:val="Aktualisierung der Strukturanzeige [1186ms] [Main] [eNormCommandLocal::DynamicStructureCheck.UpdateStructure]"/>
    <w:docVar w:name="BefehlsHistorie_Befehl73" w:val="Aktualisierung der Strukturanzeige [1322ms] [Main] [eNormCommandLocal::DynamicStructureCheck.UpdateStructure]"/>
    <w:docVar w:name="BefehlsHistorie_Befehl74" w:val="Zur Regelung springen [537ms] [Main] [eNormCommandLocal::BegründungsCommands.BGGeheZuRegelung]"/>
    <w:docVar w:name="BefehlsHistorie_BefehlsZähler" w:val="2"/>
    <w:docVar w:name="BefehlsKontext_SpeichernOOXML_Maximum" w:val="1150ms"/>
    <w:docVar w:name="BefehlsKontext_SpeichernOOXML_Schnitt" w:val="1150ms"/>
    <w:docVar w:name="BMJ" w:val="True"/>
    <w:docVar w:name="CUSTOMER" w:val="8"/>
    <w:docVar w:name="DQCDateTime" w:val="28.01.2021 11:21:38"/>
    <w:docVar w:name="DQCHighlighting" w:val="0"/>
    <w:docVar w:name="DQCPart_Begruendung" w:val="0"/>
    <w:docVar w:name="DQCPart_Dokument" w:val="0"/>
    <w:docVar w:name="DQCPart_Regelungsteil" w:val="0"/>
    <w:docVar w:name="DQCPart_Vorblatt" w:val="0"/>
    <w:docVar w:name="DQCResult_Aenderungsbefehl" w:val="0;11"/>
    <w:docVar w:name="DQCResult_Binnenverweise" w:val="0;0"/>
    <w:docVar w:name="DQCResult_Citations" w:val="0;27"/>
    <w:docVar w:name="DQCResult_EinzelneRegelungsteile" w:val="1;1"/>
    <w:docVar w:name="DQCResult_EmbeddedObjects" w:val="0;0"/>
    <w:docVar w:name="DQCResult_Gliederung" w:val="0;2"/>
    <w:docVar w:name="DQCResult_Marker" w:val="0;0"/>
    <w:docVar w:name="DQCResult_Metadata" w:val="0;0"/>
    <w:docVar w:name="DQCResult_ModifiedCharFormat" w:val="0;512"/>
    <w:docVar w:name="DQCResult_ModifiedMargins" w:val="0;0"/>
    <w:docVar w:name="DQCResult_ModifiedNumbering" w:val="0;0"/>
    <w:docVar w:name="DQCResult_StructureCheck" w:val="0;0"/>
    <w:docVar w:name="DQCResult_SuperfluousWhitespace" w:val="0;0"/>
    <w:docVar w:name="DQCResult_TermsAndDiction" w:val="0;10"/>
    <w:docVar w:name="DQCResult_Verweise" w:val="0;0"/>
    <w:docVar w:name="DQCWithWarnings" w:val="0"/>
    <w:docVar w:name="EN_DocFileDateTimeAtOpen" w:val="08.02.2021 11:10:43"/>
    <w:docVar w:name="eNV_06A4174E8BAA413DA5B409EA68ABF851" w:val="Doppelbuchstabe bb"/>
    <w:docVar w:name="eNV_06A4174E8BAA413DA5B409EA68ABF851_Struct" w:val="Artikel 1 Nummer 11 Buchstabe a Doppelbuchstabe bb;6;Struktur:1/0/11/1/2;CheckSums:-1/-1/-1/-1/-1;eNV_06A4174E8BAA413DA5B409EA68ABF851_1@@2"/>
    <w:docVar w:name="eNV_0724C3E2EE8B4AE389B31A02518044AA" w:val="Buchstabe d"/>
    <w:docVar w:name="eNV_0724C3E2EE8B4AE389B31A02518044AA_Struct" w:val="Artikel 1 Nummer 14 Buchstabe d;6;Struktur:1/0/14/4;CheckSums:-1/-1/-1/-1;eNV_0724C3E2EE8B4AE389B31A02518044AA_1@@2"/>
    <w:docVar w:name="eNV_0A95B372C7E44562AFE9966708ED8AD4_Struct" w:val="§ 1 Nummer 16;2;Struktur:1/0/16;CheckSums:-1/-1/-1;eNV_0A95B372C7E44562AFE9966708ED8AD4_1@@2"/>
    <w:docVar w:name="eNV_0B9C25099D3A4E9B8B90247F918B5505" w:val="Dreifachbuchstabe aaa"/>
    <w:docVar w:name="eNV_0B9C25099D3A4E9B8B90247F918B5505_Struct" w:val="Artikel 1 Nummer 10 Buchstabe a Doppelbuchstabe aa Dreifachbuchstabe aaa;6;Struktur:1/0/10/1/1/1;CheckSums:-1/-1/-1/-1/-1/-1;eNV_0B9C25099D3A4E9B8B90247F918B5505_1@@2"/>
    <w:docVar w:name="eNV_0D1BEB61EACE40E6B3BD0D016021B844" w:val="Doppelbuchstabe bb"/>
    <w:docVar w:name="eNV_0D1BEB61EACE40E6B3BD0D016021B844_Struct" w:val="Artikel 1 Nummer 10 Buchstabe a Doppelbuchstabe bb;6;Struktur:1/0/10/1/2;CheckSums:-1/-1/-1/-1/-1;eNV_0D1BEB61EACE40E6B3BD0D016021B844_1@@2"/>
    <w:docVar w:name="eNV_0FC12D2A490F41358821CABD67B8A01B" w:val="Nummer 10"/>
    <w:docVar w:name="eNV_0FC12D2A490F41358821CABD67B8A01B_Struct" w:val="Artikel 1 Nummer 10;6;Struktur:1/0/10;CheckSums:-1/-1/-1;eNV_0FC12D2A490F41358821CABD67B8A01B_1@@2"/>
    <w:docVar w:name="eNV_1013B81588E14BE8A61125A936CDD2E3" w:val="Doppelbuchstabe cc"/>
    <w:docVar w:name="eNV_1013B81588E14BE8A61125A936CDD2E3_Struct" w:val="Artikel 1 Nummer 11 Buchstabe a Doppelbuchstabe cc;6;Struktur:1/0/11/1/3;CheckSums:-1/-1/-1/-1/-1;eNV_1013B81588E14BE8A61125A936CDD2E3_1@@2"/>
    <w:docVar w:name="eNV_14E25007273B42E9A8E2D38453A6CE4D" w:val="Doppelbuchstabe aa"/>
    <w:docVar w:name="eNV_14E25007273B42E9A8E2D38453A6CE4D_Struct" w:val="Artikel 1 Nummer 11 Buchstabe a Doppelbuchstabe aa;6;Struktur:1/0/11/1/1;CheckSums:-1/-1/-1/-1/-1;eNV_14E25007273B42E9A8E2D38453A6CE4D_1@@2"/>
    <w:docVar w:name="eNV_14FBF0E48B52467B960F59686F135207" w:val="Doppelbuchstabe bb"/>
    <w:docVar w:name="eNV_14FBF0E48B52467B960F59686F135207_Struct" w:val="Artikel 1 Nummer 1 Buchstabe a Doppelbuchstabe bb;6;Struktur:1/0/1/1/2;CheckSums:-1/-1/-1/-1/-1;eNV_14FBF0E48B52467B960F59686F135207_1@@2"/>
    <w:docVar w:name="eNV_1555FAE285AF40C9A227B33D63A404BF_Struct" w:val="§ 1 Nummer 8 Buchstabe b Doppelbuchstabe cc;2;Struktur:1/0/8/2/3;CheckSums:-1/-1/-1/-1/-1;eNV_1555FAE285AF40C9A227B33D63A404BF_1@@2"/>
    <w:docVar w:name="eNV_1894A2AAD1104D2AAFC5FD6F05D2BE2A" w:val="Buchstabe c"/>
    <w:docVar w:name="eNV_1894A2AAD1104D2AAFC5FD6F05D2BE2A_Struct" w:val="Artikel 1 Nummer 14 Buchstabe c;6;Struktur:1/0/14/3;CheckSums:-1/-1/-1/-1;eNV_1894A2AAD1104D2AAFC5FD6F05D2BE2A_1@@2"/>
    <w:docVar w:name="eNV_1F6D5C60960E4C63BCABE47F098C4C5C_Struct" w:val="§ 1 Nummer 8 Buchstabe b;2;Struktur:1/0/8/2;CheckSums:-1/-1/-1/-1;eNV_1F6D5C60960E4C63BCABE47F098C4C5C_1@@2"/>
    <w:docVar w:name="eNV_231D4CFCFF8546608FB6D92F04783E94_Struct" w:val="§ 1 Nummer 7 Buchstabe a Doppelbuchstabe cc;2;Struktur:1/0/7/1/3;CheckSums:-1/-1/-1/-1/-1;eNV_231D4CFCFF8546608FB6D92F04783E94_1@@2"/>
    <w:docVar w:name="eNV_24CC49E86443434089618C630945645D" w:val="Buchstabe b"/>
    <w:docVar w:name="eNV_24CC49E86443434089618C630945645D_Struct" w:val="Artikel 1 Nummer 11 Buchstabe b;6;Struktur:1/0/11/2;CheckSums:-1/-1/-1/-1;eNV_24CC49E86443434089618C630945645D_1@@2"/>
    <w:docVar w:name="eNV_267A0DEB6626483EAC332C8B0448D0EF_Struct" w:val="Artikel 1 Nummer 12 Buchstabe a Doppelbuchstabe gg;6;Struktur:1/0/12/1/7;CheckSums:-1/-1/-1/-1/-1;eNV_267A0DEB6626483EAC332C8B0448D0EF_1@@2"/>
    <w:docVar w:name="eNV_27AEE0AC75D54CCD9F3BB955CA852702_Struct" w:val="§ 1 Nummer 8 Buchstabe a Doppelbuchstabe aa;2;Struktur:1/0/8/1/1;CheckSums:-1/-1/-1/-1/-1;eNV_27AEE0AC75D54CCD9F3BB955CA852702_1@@2"/>
    <w:docVar w:name="eNV_29284B1D547A47E98251699629F3DEE3" w:val="Nummer 9"/>
    <w:docVar w:name="eNV_29284B1D547A47E98251699629F3DEE3_Struct" w:val="Artikel 1 Nummer 9;6;Struktur:1/0/9;CheckSums:-1/-1/-1;eNV_29284B1D547A47E98251699629F3DEE3_1@@2"/>
    <w:docVar w:name="eNV_297C7DBCBC0C435397C71372043EF364" w:val="Artikel 3"/>
    <w:docVar w:name="eNV_297C7DBCBC0C435397C71372043EF364_Struct" w:val="Artikel 3;6;Struktur:3;CheckSums:-1;eNV_297C7DBCBC0C435397C71372043EF364_1@@2"/>
    <w:docVar w:name="eNV_29AD5E65852C47BF95FC33B581DA0B19_Struct" w:val="Artikel 1 Nummer 12 Buchstabe a Doppelbuchstabe dd;6;Struktur:1/0/12/1/4;CheckSums:-1/-1/-1/-1/-1;eNV_29AD5E65852C47BF95FC33B581DA0B19_1@@2"/>
    <w:docVar w:name="eNV_2BCE328C3D304B96987F664F2198A65D_Struct" w:val="Doppelbuchstabe cc;2;Struktur:-1/-1/-1/-1/3;CheckSums:-1/-1/-1/-1/-1;eNV_2BCE328C3D304B96987F664F2198A65D_1@@2"/>
    <w:docVar w:name="eNV_31BED33C63DE475090F6BD1BC9DD27CE_Struct" w:val="Artikel 1 Nummer 12 Buchstabe a Doppelbuchstabe ff;6;Struktur:1/0/12/1/6;CheckSums:-1/-1/-1/-1/-1;eNV_31BED33C63DE475090F6BD1BC9DD27CE_1@@2"/>
    <w:docVar w:name="eNV_3366BA07B01C4BB885FC04F865B3B389_Struct" w:val="§ 1 Nummer 7 Buchstabe b Doppelbuchstabe aa;2;Struktur:1/0/7/2/1;CheckSums:-1/-1/-1/-1/-1;eNV_3366BA07B01C4BB885FC04F865B3B389_1@@2"/>
    <w:docVar w:name="eNV_34188D8A3806408C8BA25BB72E366894_Struct" w:val="Artikel 1 Nummer 12 Buchstabe a Doppelbuchstabe ee;6;Struktur:1/0/12/1/5;CheckSums:-1/-1/-1/-1/-1;eNV_34188D8A3806408C8BA25BB72E366894_1@@2"/>
    <w:docVar w:name="eNV_41C17A4F7BB54AB098A52DDA63A05590_Struct" w:val="§ 1 Nummer 8 Buchstabe b Doppelbuchstabe bb;2;Struktur:1/0/8/2/2;CheckSums:-1/-1/-1/-1/-1;eNV_41C17A4F7BB54AB098A52DDA63A05590_1@@2"/>
    <w:docVar w:name="eNV_44D982235C3A4125B58FB2DA0C2BAA39" w:val="Nummer 2"/>
    <w:docVar w:name="eNV_44D982235C3A4125B58FB2DA0C2BAA39_Struct" w:val="Artikel 2 Nummer 2;6;Struktur:2/0/2;CheckSums:-1/-1/-1;eNV_44D982235C3A4125B58FB2DA0C2BAA39_1@@2"/>
    <w:docVar w:name="eNV_471994EB723B4F71AA90C130C5146424_Struct" w:val="Artikel 1 Nummer 7 Buchstabe b Doppelbuchstabe aa;6;Struktur:1/0/7/2/1;CheckSums:-1/-1/-1/-1/-1;eNV_471994EB723B4F71AA90C130C5146424_1@@2"/>
    <w:docVar w:name="eNV_4A7EBEDB9F3543CEB939C43226520D4F_Struct" w:val="§ 1 Nummer 7 Buchstabe b;2;Struktur:1/0/7/2;CheckSums:-1/-1/-1/-1;eNV_4A7EBEDB9F3543CEB939C43226520D4F_1@@2"/>
    <w:docVar w:name="eNV_4A91B50ECC074D96BB1CAD826966DB5A" w:val="Buchstabe b"/>
    <w:docVar w:name="eNV_4A91B50ECC074D96BB1CAD826966DB5A_Struct" w:val="Artikel 1 Nummer 1 Buchstabe b;6;Struktur:1/0/1/2;CheckSums:-1/-1/-1/-1;eNV_4A91B50ECC074D96BB1CAD826966DB5A_1@@2"/>
    <w:docVar w:name="eNV_5BBA1CDC6F8D44359317D05BDD97078A_Struct" w:val="§ 1 Nummer 13 Buchstabe c;2;Struktur:1/0/13/3;CheckSums:-1/-1/-1/-1;eNV_5BBA1CDC6F8D44359317D05BDD97078A_1@@2"/>
    <w:docVar w:name="eNV_5CCACD29CC1340CE9BF116D4F03E89B5" w:val="Nummer 14"/>
    <w:docVar w:name="eNV_5CCACD29CC1340CE9BF116D4F03E89B5_Struct" w:val="Artikel 1 Nummer 14;6;Struktur:1/0/14;CheckSums:-1/-1/-1;eNV_5CCACD29CC1340CE9BF116D4F03E89B5_1@@2"/>
    <w:docVar w:name="eNV_5E7D535AE0474E4E9BBC566E352A6BA1_Struct" w:val="§ 1 Nummer 12 Doppelbuchstabe dd;2;Struktur:1/0/12/0/4;CheckSums:-1/-1/-1/-1/-1;eNV_5E7D535AE0474E4E9BBC566E352A6BA1_1@@2"/>
    <w:docVar w:name="eNV_6AF07D16E4F74E28B1FD0B57ED1B8845" w:val="Buchstabe a"/>
    <w:docVar w:name="eNV_6AF07D16E4F74E28B1FD0B57ED1B8845_Struct" w:val="Artikel 1 Nummer 11 Buchstabe a;6;Struktur:1/0/11/1;CheckSums:-1/-1/-1/-1;eNV_6AF07D16E4F74E28B1FD0B57ED1B8845_1@@2"/>
    <w:docVar w:name="eNV_700A2E7A57084117B3C29B338BAA2B44" w:val="Buchstabe a"/>
    <w:docVar w:name="eNV_700A2E7A57084117B3C29B338BAA2B44_Struct" w:val="Artikel 1 Nummer 10 Buchstabe a;6;Struktur:1/0/10/1;CheckSums:-1/-1/-1/-1;eNV_700A2E7A57084117B3C29B338BAA2B44_1@@2"/>
    <w:docVar w:name="eNV_71F13A1D32BE49E4999A0C8B7BD82167" w:val="Nummer 13"/>
    <w:docVar w:name="eNV_71F13A1D32BE49E4999A0C8B7BD82167_Struct" w:val="Artikel 1 Nummer 13;6;Struktur:1/0/13;CheckSums:-1/-1/-1;eNV_71F13A1D32BE49E4999A0C8B7BD82167_1@@2"/>
    <w:docVar w:name="eNV_7D5E16DFA2B24E82B6F8E78E56AD4872_Struct" w:val="§ 1 Nummer 11 Buchstabe a Doppelbuchstabe cc;2;Struktur:1/0/11/1/3;CheckSums:-1/-1/-1/-1/-1;eNV_7D5E16DFA2B24E82B6F8E78E56AD4872_1@@2"/>
    <w:docVar w:name="eNV_8A28E0430EAA4487BAFE235BFEB8A615" w:val="Doppelbuchstabe aa"/>
    <w:docVar w:name="eNV_8A28E0430EAA4487BAFE235BFEB8A615_Struct" w:val="Artikel 1 Nummer 12 Buchstabe a Doppelbuchstabe aa;6;Struktur:1/0/12/1/1;CheckSums:-1/-1/-1/-1/-1;eNV_8A28E0430EAA4487BAFE235BFEB8A615_1@@2"/>
    <w:docVar w:name="eNV_8B35C5566D354308A82C64B4684AFD4C_Struct" w:val="§ 1 Nummer 8 Buchstabe a Doppelbuchstabe bb;2;Struktur:1/0/8/1/2;CheckSums:-1/-1/-1/-1/-1;eNV_8B35C5566D354308A82C64B4684AFD4C_1@@2"/>
    <w:docVar w:name="eNV_8E85AB447C1944409B89B574BDB91660_Struct" w:val="§ 1 Nummer 13 Buchstabe d;2;Struktur:1/0/13/4;CheckSums:-1/-1/-1/-1;eNV_8E85AB447C1944409B89B574BDB91660_1@@2"/>
    <w:docVar w:name="eNV_924C1C4B739E4406882DFC4CB9EC084F" w:val="Nummer 15"/>
    <w:docVar w:name="eNV_924C1C4B739E4406882DFC4CB9EC084F_Struct" w:val="Artikel 1 Nummer 15;6;Struktur:1/0/15;CheckSums:-1/-1/-1;eNV_924C1C4B739E4406882DFC4CB9EC084F_1@@2"/>
    <w:docVar w:name="eNV_99CE60777CA441D0866FE8E4237C6278" w:val="Artikel 2"/>
    <w:docVar w:name="eNV_99CE60777CA441D0866FE8E4237C6278_Struct" w:val="Artikel 2;6;Struktur:2;CheckSums:-1;eNV_99CE60777CA441D0866FE8E4237C6278_1@@2"/>
    <w:docVar w:name="eNV_99EEF5C816DE4C02AF7AE479A867CFD8_Struct" w:val="Artikel 1 Nummer 12 Buchstabe a Doppelbuchstabe aa Dreifachbuchstabe aaa;6;Struktur:1/0/12/1/1/1;CheckSums:-1/-1/-1/-1/-1/-1;eNV_99EEF5C816DE4C02AF7AE479A867CFD8_1@@2"/>
    <w:docVar w:name="eNV_9CAE74EE2FF04736BB5EBB1193F962FC" w:val="Buchstabe a"/>
    <w:docVar w:name="eNV_9CAE74EE2FF04736BB5EBB1193F962FC_Struct" w:val="Artikel 1 Nummer 1 Buchstabe a;6;Struktur:1/0/1/1;CheckSums:-1/-1/-1/-1;eNV_9CAE74EE2FF04736BB5EBB1193F962FC_1@@2"/>
    <w:docVar w:name="eNV_9CEFD052826E4D1BBFC328DDEB36B71D" w:val="Buchstabe a"/>
    <w:docVar w:name="eNV_9CEFD052826E4D1BBFC328DDEB36B71D_Struct" w:val="Artikel 1 Nummer 14 Buchstabe a;6;Struktur:1/0/14/1;CheckSums:-1/-1/-1/-1;eNV_9CEFD052826E4D1BBFC328DDEB36B71D_1@@2"/>
    <w:docVar w:name="eNV_A0202C39B36141DDB7B0DDC5257ED538" w:val="Buchstabe b"/>
    <w:docVar w:name="eNV_A0202C39B36141DDB7B0DDC5257ED538_Struct" w:val="Artikel 1 Nummer 13 Buchstabe b;6;Struktur:1/0/13/2;CheckSums:-1/-1/-1/-1;eNV_A0202C39B36141DDB7B0DDC5257ED538_1@@2"/>
    <w:docVar w:name="eNV_A4C00053FEF04DEDAA64DF97DB4B9768_Struct" w:val="Artikel 1 Nummer 3 Buchstabe a;6;Struktur:1/0/3/1;CheckSums:-1/-1/-1/-1;eNV_A4C00053FEF04DEDAA64DF97DB4B9768_1@@2"/>
    <w:docVar w:name="eNV_A5875FC3AB164C7A898001BA7174BE0E" w:val="Doppelbuchstabe dd"/>
    <w:docVar w:name="eNV_A5875FC3AB164C7A898001BA7174BE0E_Struct" w:val="Artikel 1 Nummer 11 Buchstabe a Doppelbuchstabe dd;6;Struktur:1/0/11/1/4;CheckSums:-1/-1/-1/-1/-1;eNV_A5875FC3AB164C7A898001BA7174BE0E_1@@2"/>
    <w:docVar w:name="eNV_AB6843B867A242F3981DFDC06121F66E" w:val="Nummer 5"/>
    <w:docVar w:name="eNV_AB6843B867A242F3981DFDC06121F66E_Struct" w:val="Artikel 1 Nummer 5;6;Struktur:1/0/5;CheckSums:-1/-1/-1;eNV_AB6843B867A242F3981DFDC06121F66E_1@@2"/>
    <w:docVar w:name="eNV_ADFDFC8BC67D40CA9534EF157F69331E_Struct" w:val="Artikel 1 Nummer 7 Buchstabe a Doppelbuchstabe aa;6;Struktur:1/0/7/1/1;CheckSums:-1/-1/-1/-1/-1;eNV_ADFDFC8BC67D40CA9534EF157F69331E_1@@2"/>
    <w:docVar w:name="eNV_B9DC853076D44E3C830F76DD6AF29CF5" w:val="Nummer 1"/>
    <w:docVar w:name="eNV_B9DC853076D44E3C830F76DD6AF29CF5_Struct" w:val="Artikel 2 Nummer 1;6;Struktur:2/0/1;CheckSums:-1/-1/-1;eNV_B9DC853076D44E3C830F76DD6AF29CF5_1@@2"/>
    <w:docVar w:name="eNV_BA7652AA18AA486DAF08D363610A1F7E_Struct" w:val="§ 1 Nummer 7 Buchstabe a Doppelbuchstabe bb;2;Struktur:1/0/7/1/2;CheckSums:-1/-1/-1/-1/-1;eNV_BA7652AA18AA486DAF08D363610A1F7E_1@@2"/>
    <w:docVar w:name="eNV_BD261607B0CD405787BFBFB78198A831" w:val="Nummer 7"/>
    <w:docVar w:name="eNV_BD261607B0CD405787BFBFB78198A831_Struct" w:val="Artikel 1 Nummer 7;6;Struktur:1/0/7;CheckSums:-1/-1/-1;eNV_BD261607B0CD405787BFBFB78198A831_1@@2"/>
    <w:docVar w:name="eNV_BDE5BD1C4DC74C47A8AA2241B1C54217" w:val="Artikel 1"/>
    <w:docVar w:name="eNV_BDE5BD1C4DC74C47A8AA2241B1C54217_Struct" w:val="Artikel 1;6;Struktur:1;CheckSums:-1;eNV_BDE5BD1C4DC74C47A8AA2241B1C54217_1@@2"/>
    <w:docVar w:name="eNV_BE652C4ACA6A44AFA4C49172EF0CBA9C_Struct" w:val="§ 1 Nummer 7 Buchstabe b Doppelbuchstabe bb;2;Struktur:1/0/7/2/2;CheckSums:-1/-1/-1/-1/-1;eNV_BE652C4ACA6A44AFA4C49172EF0CBA9C_1@@2"/>
    <w:docVar w:name="eNV_BF64DB0639384507AEA7DED5CA1EFBD3" w:val="Buchstabe b"/>
    <w:docVar w:name="eNV_BF64DB0639384507AEA7DED5CA1EFBD3_Struct" w:val="Artikel 1 Nummer 10 Buchstabe b;6;Struktur:1/0/10/2;CheckSums:-1/-1/-1/-1;eNV_BF64DB0639384507AEA7DED5CA1EFBD3_1@@2"/>
    <w:docVar w:name="eNV_C1F363279B604E27A828E818E1F78C01_Struct" w:val="§ 1 Nummer 12 Buchstabe b;2;Struktur:1/0/12/2;CheckSums:-1/-1/-1/-1;eNV_C1F363279B604E27A828E818E1F78C01_1@@2"/>
    <w:docVar w:name="eNV_C72D5E7CC47F45CF9B446D171C293AB0" w:val="Nummer 4"/>
    <w:docVar w:name="eNV_C72D5E7CC47F45CF9B446D171C293AB0_Struct" w:val="Artikel 1 Nummer 4;6;Struktur:1/0/4;CheckSums:-1/-1/-1;eNV_C72D5E7CC47F45CF9B446D171C293AB0_1@@2"/>
    <w:docVar w:name="eNV_CB1639C9E4D64C2EAAD865CF4132CBEA" w:val="Nummer 6"/>
    <w:docVar w:name="eNV_CB1639C9E4D64C2EAAD865CF4132CBEA_Struct" w:val="Artikel 1 Nummer 6;6;Struktur:1/0/6;CheckSums:-1/-1/-1;eNV_CB1639C9E4D64C2EAAD865CF4132CBEA_1@@2"/>
    <w:docVar w:name="eNV_CB3E3D60F6ED49F98976130B15C72462" w:val="Dreifachbuchstabe bbb"/>
    <w:docVar w:name="eNV_CB3E3D60F6ED49F98976130B15C72462_Struct" w:val="Artikel 1 Nummer 10 Buchstabe a Doppelbuchstabe aa Dreifachbuchstabe bbb;6;Struktur:1/0/10/1/1/2;CheckSums:-1/-1/-1/-1/-1/-1;eNV_CB3E3D60F6ED49F98976130B15C72462_1@@2"/>
    <w:docVar w:name="eNV_CBA448FDDD2D474D8D9C651764E41BCC_Struct" w:val="§ 1 Nummer 8 Buchstabe a;2;Struktur:1/0/8/1;CheckSums:-1/-1/-1/-1;eNV_CBA448FDDD2D474D8D9C651764E41BCC_1@@2"/>
    <w:docVar w:name="eNV_CC583A98006C4039B49472D39408159D" w:val="Nummer 3"/>
    <w:docVar w:name="eNV_CC583A98006C4039B49472D39408159D_Struct" w:val="Artikel 1 Nummer 3;6;Struktur:1/0/3;CheckSums:-1/-1/-1;eNV_CC583A98006C4039B49472D39408159D_1@@2"/>
    <w:docVar w:name="eNV_CD39D63F9990467E84DD82D412174201" w:val="Buchstabe b"/>
    <w:docVar w:name="eNV_CD39D63F9990467E84DD82D412174201_Struct" w:val="Artikel 1 Nummer 12 Buchstabe b;6;Struktur:1/0/12/2;CheckSums:-1/-1/-1/-1;eNV_CD39D63F9990467E84DD82D412174201_1@@2"/>
    <w:docVar w:name="eNV_CEF6EF113BA646D39942EB727D75A8F4" w:val="Nummer 1"/>
    <w:docVar w:name="eNV_CEF6EF113BA646D39942EB727D75A8F4_Struct" w:val="Artikel 1 Nummer 1;6;Struktur:1/0/1;CheckSums:-1/-1/-1;eNV_CEF6EF113BA646D39942EB727D75A8F4_1@@2"/>
    <w:docVar w:name="eNV_D4E7CBF7404D4CE4BFB7125B1ADC5CA5_Struct" w:val="§ 1 Nummer 13 Buchstabe a;2;Struktur:1/0/13/1;CheckSums:-1/-1/-1/-1;eNV_D4E7CBF7404D4CE4BFB7125B1ADC5CA5_1@@2"/>
    <w:docVar w:name="eNV_D5E8C67376AA42EA9549E325940EED2C" w:val="Buchstabe a"/>
    <w:docVar w:name="eNV_D5E8C67376AA42EA9549E325940EED2C_Struct" w:val="Artikel 1 Nummer 12 Buchstabe a;6;Struktur:1/0/12/1;CheckSums:-1/-1/-1/-1;eNV_D5E8C67376AA42EA9549E325940EED2C_1@@2"/>
    <w:docVar w:name="eNV_D91ED0A934B244679B7DD4879759DCA1_Struct" w:val="§ 1 Nummer 7 Buchstabe a Doppelbuchstabe aa;2;Struktur:1/0/7/1/1;CheckSums:-1/-1/-1/-1/-1;eNV_D91ED0A934B244679B7DD4879759DCA1_1@@2"/>
    <w:docVar w:name="eNV_DAE31EB644684FBAB36B6CBF9D061C99" w:val="Doppelbuchstabe bb"/>
    <w:docVar w:name="eNV_DAE31EB644684FBAB36B6CBF9D061C99_Struct" w:val="Artikel 1 Nummer 12 Buchstabe a Doppelbuchstabe bb;6;Struktur:1/0/12/1/2;CheckSums:-1/-1/-1/-1/-1;eNV_DAE31EB644684FBAB36B6CBF9D061C99_1@@2"/>
    <w:docVar w:name="eNV_DE93D9C7F6B443F99F1575732F6EA5A1_Struct" w:val="Artikel 1 Nummer 12 Buchstabe a Doppelbuchstabe aa Dreifachbuchstabe ccc;6;Struktur:1/0/12/1/1/3;CheckSums:-1/-1/-1/-1/-1/-1;eNV_DE93D9C7F6B443F99F1575732F6EA5A1_1@@2"/>
    <w:docVar w:name="eNV_DF604488B8994E8E85DA0411327D2181_Struct" w:val="§ 1 Nummer 7 Buchstabe a;2;Struktur:1/0/7/1;CheckSums:-1/-1/-1/-1;eNV_DF604488B8994E8E85DA0411327D2181_1@@2"/>
    <w:docVar w:name="eNV_DF60C261ED8347FEB2C6FD6F9E940639" w:val="Nummer 8"/>
    <w:docVar w:name="eNV_DF60C261ED8347FEB2C6FD6F9E940639_Struct" w:val="Artikel 1 Nummer 8;6;Struktur:1/0/8;CheckSums:-1/-1/-1;eNV_DF60C261ED8347FEB2C6FD6F9E940639_1@@2"/>
    <w:docVar w:name="eNV_E182AE22B9D34B9B86E245E496C33FBD" w:val="Nummer 11"/>
    <w:docVar w:name="eNV_E182AE22B9D34B9B86E245E496C33FBD_Struct" w:val="Artikel 1 Nummer 11;6;Struktur:1/0/11;CheckSums:-1/-1/-1;eNV_E182AE22B9D34B9B86E245E496C33FBD_1@@2"/>
    <w:docVar w:name="eNV_E28FF3FB83DD4C79A4A612DCB5B5C82B" w:val="Doppelbuchstabe aa"/>
    <w:docVar w:name="eNV_E28FF3FB83DD4C79A4A612DCB5B5C82B_Struct" w:val="Artikel 1 Nummer 1 Buchstabe a Doppelbuchstabe aa;6;Struktur:1/0/1/1/1;CheckSums:-1/-1/-1/-1/-1;eNV_E28FF3FB83DD4C79A4A612DCB5B5C82B_1@@2"/>
    <w:docVar w:name="eNV_E9ADB020A73C4A859709B60F4E79313C_Struct" w:val="§ 1 Nummer 8 Buchstabe b Doppelbuchstabe aa;2;Struktur:1/0/8/2/1;CheckSums:-1/-1/-1/-1/-1;eNV_E9ADB020A73C4A859709B60F4E79313C_1@@2"/>
    <w:docVar w:name="eNV_EDD5CECE9E8E4F4596F1F736448D0A1F_Struct" w:val="Artikel 1 Nummer 12 Buchstabe a Doppelbuchstabe aa Dreifachbuchstabe bbb;6;Struktur:1/0/12/1/1/2;CheckSums:-1/-1/-1/-1/-1/-1;eNV_EDD5CECE9E8E4F4596F1F736448D0A1F_1@@2"/>
    <w:docVar w:name="eNV_EE851CFEA74C4A0AA173E4C334AD4C1D_Struct" w:val="Artikel 1 Nummer 3 Buchstabe b;6;Struktur:1/0/3/2;CheckSums:-1/-1/-1/-1;eNV_EE851CFEA74C4A0AA173E4C334AD4C1D_1@@2"/>
    <w:docVar w:name="eNV_EF625305ECEE4AB1812E042763169AED_Struct" w:val="§ 1 Nummer 11 Buchstabe a Doppelbuchstabe dd;2;Struktur:1/0/11/1/4;CheckSums:-1/-1/-1/-1/-1;eNV_EF625305ECEE4AB1812E042763169AED_1@@2"/>
    <w:docVar w:name="eNV_F25B8D7F748740E7A932E4B7FFB739DD" w:val="Doppelbuchstabe hh"/>
    <w:docVar w:name="eNV_F25B8D7F748740E7A932E4B7FFB739DD_Struct" w:val="Artikel 1 Nummer 12 Buchstabe a Doppelbuchstabe hh;6;Struktur:1/0/12/1/8;CheckSums:-1/-1/-1/-1/-1;eNV_F25B8D7F748740E7A932E4B7FFB739DD_1@@2"/>
    <w:docVar w:name="eNV_F30973858F6C486FB9B6758F25C6CC6D_Struct" w:val="Artikel 1 Nummer 12 Buchstabe a;6;Struktur:1/0/12/1/0;CheckSums:-1/-1/-1/-1/-1;eNV_F30973858F6C486FB9B6758F25C6CC6D_1@@2"/>
    <w:docVar w:name="eNV_F3B11589D89740BDB05AEB7D8ADBBB52" w:val="Buchstabe b"/>
    <w:docVar w:name="eNV_F3B11589D89740BDB05AEB7D8ADBBB52_Struct" w:val="Artikel 1 Nummer 14 Buchstabe b;6;Struktur:1/0/14/2;CheckSums:-1/-1/-1/-1;eNV_F3B11589D89740BDB05AEB7D8ADBBB52_1@@2"/>
    <w:docVar w:name="eNV_F626649796A047169761B1EADD38409A_Struct" w:val="Nummer 3;2;Struktur:-1/-1/3;CheckSums:-1/-1/-1;eNV_F626649796A047169761B1EADD38409A_1@@2"/>
    <w:docVar w:name="eNV_F7403DE77B46418585AF98992AF393DB" w:val="Nummer 2"/>
    <w:docVar w:name="eNV_F7403DE77B46418585AF98992AF393DB_Struct" w:val="Artikel 1 Nummer 2;6;Struktur:1/0/2;CheckSums:-1/-1/-1;eNV_F7403DE77B46418585AF98992AF393DB_1@@2"/>
    <w:docVar w:name="eNV_F86A28B5F8CE4559B46C8CDFA675F014" w:val="Nummer 12"/>
    <w:docVar w:name="eNV_F86A28B5F8CE4559B46C8CDFA675F014_Struct" w:val="Artikel 1 Nummer 12;6;Struktur:1/0/12;CheckSums:-1/-1/-1;eNV_F86A28B5F8CE4559B46C8CDFA675F014_1@@2"/>
    <w:docVar w:name="eNV_FA4EAF139CC4444FA7BD1E2A430836C8" w:val="Buchstabe a"/>
    <w:docVar w:name="eNV_FA4EAF139CC4444FA7BD1E2A430836C8_Struct" w:val="Artikel 1 Nummer 13 Buchstabe a;6;Struktur:1/0/13/1;CheckSums:-1/-1/-1/-1;eNV_FA4EAF139CC4444FA7BD1E2A430836C8_1@@2"/>
    <w:docVar w:name="eNV_FC92ED3ADF9741B6B15C10F5892EC569_Struct" w:val="§ 1 Nummer 12 Doppelbuchstabe ee;2;Struktur:1/0/12/0/5;CheckSums:-1/-1/-1/-1/-1;eNV_FC92ED3ADF9741B6B15C10F5892EC569_1@@2"/>
    <w:docVar w:name="eNV_FE891968B57D44878BDEB9695C6C9239" w:val="Doppelbuchstabe cc"/>
    <w:docVar w:name="eNV_FE891968B57D44878BDEB9695C6C9239_Struct" w:val="Artikel 1 Nummer 12 Buchstabe a Doppelbuchstabe cc;6;Struktur:1/0/12/1/3;CheckSums:-1/-1/-1/-1/-1;eNV_FE891968B57D44878BDEB9695C6C9239_1@@2"/>
    <w:docVar w:name="eNV_FEA489147BEF43C1A5340A20A9B9B7D7" w:val="Doppelbuchstabe aa"/>
    <w:docVar w:name="eNV_FEA489147BEF43C1A5340A20A9B9B7D7_Struct" w:val="Artikel 1 Nummer 10 Buchstabe a Doppelbuchstabe aa;6;Struktur:1/0/10/1/1;CheckSums:-1/-1/-1/-1/-1;eNV_FEA489147BEF43C1A5340A20A9B9B7D7_1@@2"/>
    <w:docVar w:name="eNV_FF66C108BAF446798228FBA1D953FDBA_Struct" w:val="§ 1 Nummer 12 Buchstabe a Doppelbuchstabe cc;2;Struktur:1/0/12/1/3;CheckSums:-1/-1/-1/-1/-1;eNV_FF66C108BAF446798228FBA1D953FDBA_1@@2"/>
    <w:docVar w:name="LW_DocType" w:val="AENDER"/>
    <w:docVar w:name="LWCons_Langue" w:val="DE"/>
  </w:docVars>
  <w:rsids>
    <w:rsidRoot w:val="004705E2"/>
    <w:rsid w:val="0000050F"/>
    <w:rsid w:val="00000A0E"/>
    <w:rsid w:val="0000100D"/>
    <w:rsid w:val="00001542"/>
    <w:rsid w:val="0000288B"/>
    <w:rsid w:val="0000316B"/>
    <w:rsid w:val="000035C1"/>
    <w:rsid w:val="000037FF"/>
    <w:rsid w:val="0000431D"/>
    <w:rsid w:val="0000456D"/>
    <w:rsid w:val="00004F52"/>
    <w:rsid w:val="000135A7"/>
    <w:rsid w:val="00014477"/>
    <w:rsid w:val="00014FEE"/>
    <w:rsid w:val="00016325"/>
    <w:rsid w:val="0001635D"/>
    <w:rsid w:val="0002015B"/>
    <w:rsid w:val="00020330"/>
    <w:rsid w:val="00021DF5"/>
    <w:rsid w:val="000226C1"/>
    <w:rsid w:val="000251B7"/>
    <w:rsid w:val="00025B89"/>
    <w:rsid w:val="00030336"/>
    <w:rsid w:val="00030FB5"/>
    <w:rsid w:val="000310F4"/>
    <w:rsid w:val="00031363"/>
    <w:rsid w:val="00032CD8"/>
    <w:rsid w:val="00032CDD"/>
    <w:rsid w:val="000333D2"/>
    <w:rsid w:val="000339AF"/>
    <w:rsid w:val="00034160"/>
    <w:rsid w:val="0003416E"/>
    <w:rsid w:val="00034D4D"/>
    <w:rsid w:val="00034DCD"/>
    <w:rsid w:val="0003646A"/>
    <w:rsid w:val="0004027E"/>
    <w:rsid w:val="00043965"/>
    <w:rsid w:val="00043F0D"/>
    <w:rsid w:val="0004520F"/>
    <w:rsid w:val="00045823"/>
    <w:rsid w:val="00045F6D"/>
    <w:rsid w:val="0004692B"/>
    <w:rsid w:val="000475B8"/>
    <w:rsid w:val="00047BA1"/>
    <w:rsid w:val="00047F33"/>
    <w:rsid w:val="0005174F"/>
    <w:rsid w:val="000526F0"/>
    <w:rsid w:val="00052A0D"/>
    <w:rsid w:val="0005413E"/>
    <w:rsid w:val="00054475"/>
    <w:rsid w:val="00055193"/>
    <w:rsid w:val="00055A1D"/>
    <w:rsid w:val="00056263"/>
    <w:rsid w:val="00056DE4"/>
    <w:rsid w:val="00057336"/>
    <w:rsid w:val="00057E52"/>
    <w:rsid w:val="00060927"/>
    <w:rsid w:val="00063C98"/>
    <w:rsid w:val="00063E37"/>
    <w:rsid w:val="00066C91"/>
    <w:rsid w:val="00070B13"/>
    <w:rsid w:val="00071892"/>
    <w:rsid w:val="000720B4"/>
    <w:rsid w:val="00072523"/>
    <w:rsid w:val="00075097"/>
    <w:rsid w:val="00075BBB"/>
    <w:rsid w:val="0008360C"/>
    <w:rsid w:val="0008363A"/>
    <w:rsid w:val="000856B5"/>
    <w:rsid w:val="000862E2"/>
    <w:rsid w:val="00087852"/>
    <w:rsid w:val="00087DA6"/>
    <w:rsid w:val="00091369"/>
    <w:rsid w:val="00095151"/>
    <w:rsid w:val="00095690"/>
    <w:rsid w:val="0009689E"/>
    <w:rsid w:val="000A124C"/>
    <w:rsid w:val="000A192B"/>
    <w:rsid w:val="000A28CD"/>
    <w:rsid w:val="000A2EE3"/>
    <w:rsid w:val="000A32C3"/>
    <w:rsid w:val="000A3748"/>
    <w:rsid w:val="000A458C"/>
    <w:rsid w:val="000A4A16"/>
    <w:rsid w:val="000A5B2A"/>
    <w:rsid w:val="000A6D4E"/>
    <w:rsid w:val="000B1962"/>
    <w:rsid w:val="000B257A"/>
    <w:rsid w:val="000B2725"/>
    <w:rsid w:val="000B2F65"/>
    <w:rsid w:val="000B3642"/>
    <w:rsid w:val="000B3B78"/>
    <w:rsid w:val="000B450B"/>
    <w:rsid w:val="000B5B4F"/>
    <w:rsid w:val="000B6526"/>
    <w:rsid w:val="000B719A"/>
    <w:rsid w:val="000C3068"/>
    <w:rsid w:val="000C32DC"/>
    <w:rsid w:val="000C571F"/>
    <w:rsid w:val="000C6A92"/>
    <w:rsid w:val="000C74A4"/>
    <w:rsid w:val="000D52D0"/>
    <w:rsid w:val="000D6C0F"/>
    <w:rsid w:val="000D7C86"/>
    <w:rsid w:val="000E1C4B"/>
    <w:rsid w:val="000E1FB7"/>
    <w:rsid w:val="000E379E"/>
    <w:rsid w:val="000E54A3"/>
    <w:rsid w:val="000E6544"/>
    <w:rsid w:val="000F00A7"/>
    <w:rsid w:val="000F0E2A"/>
    <w:rsid w:val="000F0F82"/>
    <w:rsid w:val="000F176C"/>
    <w:rsid w:val="000F3746"/>
    <w:rsid w:val="000F4E7A"/>
    <w:rsid w:val="000F59F4"/>
    <w:rsid w:val="000F7856"/>
    <w:rsid w:val="00101026"/>
    <w:rsid w:val="001010D6"/>
    <w:rsid w:val="00102ED6"/>
    <w:rsid w:val="0010567E"/>
    <w:rsid w:val="00106387"/>
    <w:rsid w:val="00107C99"/>
    <w:rsid w:val="001100AC"/>
    <w:rsid w:val="001102BD"/>
    <w:rsid w:val="0011240F"/>
    <w:rsid w:val="0011251F"/>
    <w:rsid w:val="001158D5"/>
    <w:rsid w:val="00116DFA"/>
    <w:rsid w:val="001179E1"/>
    <w:rsid w:val="00117FDD"/>
    <w:rsid w:val="001203C5"/>
    <w:rsid w:val="001205F9"/>
    <w:rsid w:val="00120830"/>
    <w:rsid w:val="001208F2"/>
    <w:rsid w:val="001226FC"/>
    <w:rsid w:val="001239F6"/>
    <w:rsid w:val="0012563E"/>
    <w:rsid w:val="00125DF7"/>
    <w:rsid w:val="001267DF"/>
    <w:rsid w:val="00126C95"/>
    <w:rsid w:val="00127749"/>
    <w:rsid w:val="00133BBD"/>
    <w:rsid w:val="00133FD2"/>
    <w:rsid w:val="0013400C"/>
    <w:rsid w:val="001340D6"/>
    <w:rsid w:val="001357B0"/>
    <w:rsid w:val="0013639E"/>
    <w:rsid w:val="00136D86"/>
    <w:rsid w:val="00140C96"/>
    <w:rsid w:val="00141E4F"/>
    <w:rsid w:val="0014584C"/>
    <w:rsid w:val="001461A2"/>
    <w:rsid w:val="00146D53"/>
    <w:rsid w:val="00152334"/>
    <w:rsid w:val="00155FAC"/>
    <w:rsid w:val="00156BA8"/>
    <w:rsid w:val="00156C7F"/>
    <w:rsid w:val="00156FE5"/>
    <w:rsid w:val="001601F9"/>
    <w:rsid w:val="00162A64"/>
    <w:rsid w:val="001636B4"/>
    <w:rsid w:val="00170381"/>
    <w:rsid w:val="001708D5"/>
    <w:rsid w:val="00171203"/>
    <w:rsid w:val="00171317"/>
    <w:rsid w:val="001718D7"/>
    <w:rsid w:val="0017276B"/>
    <w:rsid w:val="0017331B"/>
    <w:rsid w:val="00173A26"/>
    <w:rsid w:val="00173ACC"/>
    <w:rsid w:val="001818D1"/>
    <w:rsid w:val="00181E1E"/>
    <w:rsid w:val="001822DE"/>
    <w:rsid w:val="0018238B"/>
    <w:rsid w:val="00182F98"/>
    <w:rsid w:val="00186417"/>
    <w:rsid w:val="00187055"/>
    <w:rsid w:val="001874C1"/>
    <w:rsid w:val="00190F75"/>
    <w:rsid w:val="00191A08"/>
    <w:rsid w:val="00191EEB"/>
    <w:rsid w:val="00192A28"/>
    <w:rsid w:val="0019346E"/>
    <w:rsid w:val="00194E50"/>
    <w:rsid w:val="001952F5"/>
    <w:rsid w:val="00195652"/>
    <w:rsid w:val="0019778C"/>
    <w:rsid w:val="00197B8D"/>
    <w:rsid w:val="001A39E7"/>
    <w:rsid w:val="001A434B"/>
    <w:rsid w:val="001A4424"/>
    <w:rsid w:val="001A4CD5"/>
    <w:rsid w:val="001A5741"/>
    <w:rsid w:val="001A60FF"/>
    <w:rsid w:val="001A76A7"/>
    <w:rsid w:val="001B7BD7"/>
    <w:rsid w:val="001C01E4"/>
    <w:rsid w:val="001C0EA5"/>
    <w:rsid w:val="001C1978"/>
    <w:rsid w:val="001C24B6"/>
    <w:rsid w:val="001C3904"/>
    <w:rsid w:val="001C3FE1"/>
    <w:rsid w:val="001C4753"/>
    <w:rsid w:val="001C5522"/>
    <w:rsid w:val="001D046D"/>
    <w:rsid w:val="001D1DEE"/>
    <w:rsid w:val="001D39CE"/>
    <w:rsid w:val="001D686E"/>
    <w:rsid w:val="001D7536"/>
    <w:rsid w:val="001E020B"/>
    <w:rsid w:val="001E090D"/>
    <w:rsid w:val="001E1AFE"/>
    <w:rsid w:val="001E32F3"/>
    <w:rsid w:val="001E4546"/>
    <w:rsid w:val="001E655B"/>
    <w:rsid w:val="001E659A"/>
    <w:rsid w:val="001E76F5"/>
    <w:rsid w:val="001E7F50"/>
    <w:rsid w:val="001F0DC2"/>
    <w:rsid w:val="001F1E3A"/>
    <w:rsid w:val="001F2E91"/>
    <w:rsid w:val="001F2F20"/>
    <w:rsid w:val="001F550D"/>
    <w:rsid w:val="001F7C2E"/>
    <w:rsid w:val="0020080C"/>
    <w:rsid w:val="00203ED8"/>
    <w:rsid w:val="0020652B"/>
    <w:rsid w:val="0021276C"/>
    <w:rsid w:val="00213B81"/>
    <w:rsid w:val="0021442E"/>
    <w:rsid w:val="00214548"/>
    <w:rsid w:val="00215086"/>
    <w:rsid w:val="0022007B"/>
    <w:rsid w:val="0022030F"/>
    <w:rsid w:val="0022059B"/>
    <w:rsid w:val="0022088A"/>
    <w:rsid w:val="00220B67"/>
    <w:rsid w:val="00221BB8"/>
    <w:rsid w:val="00223834"/>
    <w:rsid w:val="0022502C"/>
    <w:rsid w:val="002251CA"/>
    <w:rsid w:val="002266A8"/>
    <w:rsid w:val="00227350"/>
    <w:rsid w:val="00227794"/>
    <w:rsid w:val="00227D94"/>
    <w:rsid w:val="00230A62"/>
    <w:rsid w:val="00233A5C"/>
    <w:rsid w:val="00234D04"/>
    <w:rsid w:val="002416FE"/>
    <w:rsid w:val="002423F2"/>
    <w:rsid w:val="0024336E"/>
    <w:rsid w:val="002479F8"/>
    <w:rsid w:val="0025139D"/>
    <w:rsid w:val="00252101"/>
    <w:rsid w:val="002559CD"/>
    <w:rsid w:val="00255DB5"/>
    <w:rsid w:val="002563FB"/>
    <w:rsid w:val="00257896"/>
    <w:rsid w:val="002609F2"/>
    <w:rsid w:val="00261D9D"/>
    <w:rsid w:val="00261E19"/>
    <w:rsid w:val="00263284"/>
    <w:rsid w:val="00263856"/>
    <w:rsid w:val="0026435F"/>
    <w:rsid w:val="002673BA"/>
    <w:rsid w:val="002703AA"/>
    <w:rsid w:val="00272515"/>
    <w:rsid w:val="00274D4E"/>
    <w:rsid w:val="0027501D"/>
    <w:rsid w:val="0027594F"/>
    <w:rsid w:val="00280BC8"/>
    <w:rsid w:val="002823DD"/>
    <w:rsid w:val="002830FD"/>
    <w:rsid w:val="00283C00"/>
    <w:rsid w:val="00284713"/>
    <w:rsid w:val="00286584"/>
    <w:rsid w:val="002876B7"/>
    <w:rsid w:val="00290A84"/>
    <w:rsid w:val="00290C43"/>
    <w:rsid w:val="00292D7E"/>
    <w:rsid w:val="00294063"/>
    <w:rsid w:val="002945CF"/>
    <w:rsid w:val="0029562D"/>
    <w:rsid w:val="00296B6B"/>
    <w:rsid w:val="0029727F"/>
    <w:rsid w:val="002A043B"/>
    <w:rsid w:val="002A1AAE"/>
    <w:rsid w:val="002A46EC"/>
    <w:rsid w:val="002B005F"/>
    <w:rsid w:val="002B00AB"/>
    <w:rsid w:val="002B114B"/>
    <w:rsid w:val="002B2952"/>
    <w:rsid w:val="002B5232"/>
    <w:rsid w:val="002B605B"/>
    <w:rsid w:val="002B6FAC"/>
    <w:rsid w:val="002C10F4"/>
    <w:rsid w:val="002C2ED7"/>
    <w:rsid w:val="002C3008"/>
    <w:rsid w:val="002C3C5B"/>
    <w:rsid w:val="002C527A"/>
    <w:rsid w:val="002C5439"/>
    <w:rsid w:val="002C6588"/>
    <w:rsid w:val="002C7F95"/>
    <w:rsid w:val="002D0E07"/>
    <w:rsid w:val="002D10CE"/>
    <w:rsid w:val="002D250F"/>
    <w:rsid w:val="002D3C6B"/>
    <w:rsid w:val="002D5EC3"/>
    <w:rsid w:val="002D6682"/>
    <w:rsid w:val="002D79F3"/>
    <w:rsid w:val="002D7A0A"/>
    <w:rsid w:val="002D7E17"/>
    <w:rsid w:val="002E0F10"/>
    <w:rsid w:val="002E4120"/>
    <w:rsid w:val="002E4C48"/>
    <w:rsid w:val="002E570B"/>
    <w:rsid w:val="002E783F"/>
    <w:rsid w:val="002E7F44"/>
    <w:rsid w:val="002F0BCD"/>
    <w:rsid w:val="002F0F40"/>
    <w:rsid w:val="002F1CD7"/>
    <w:rsid w:val="002F4BEE"/>
    <w:rsid w:val="002F6370"/>
    <w:rsid w:val="00300090"/>
    <w:rsid w:val="003011E1"/>
    <w:rsid w:val="00301ECB"/>
    <w:rsid w:val="00302A79"/>
    <w:rsid w:val="00302B08"/>
    <w:rsid w:val="00303766"/>
    <w:rsid w:val="00306900"/>
    <w:rsid w:val="00310DAC"/>
    <w:rsid w:val="00311823"/>
    <w:rsid w:val="003137FB"/>
    <w:rsid w:val="00313BFD"/>
    <w:rsid w:val="00313DAF"/>
    <w:rsid w:val="00314431"/>
    <w:rsid w:val="00314AC3"/>
    <w:rsid w:val="00314EB5"/>
    <w:rsid w:val="00316C14"/>
    <w:rsid w:val="00317A14"/>
    <w:rsid w:val="00320144"/>
    <w:rsid w:val="0032091A"/>
    <w:rsid w:val="00321BC0"/>
    <w:rsid w:val="00322045"/>
    <w:rsid w:val="003238F7"/>
    <w:rsid w:val="00323C0C"/>
    <w:rsid w:val="00324B16"/>
    <w:rsid w:val="00325838"/>
    <w:rsid w:val="00327D12"/>
    <w:rsid w:val="00330794"/>
    <w:rsid w:val="00331628"/>
    <w:rsid w:val="00334B14"/>
    <w:rsid w:val="003364F1"/>
    <w:rsid w:val="00340937"/>
    <w:rsid w:val="00341200"/>
    <w:rsid w:val="0034228B"/>
    <w:rsid w:val="00343B7C"/>
    <w:rsid w:val="00344485"/>
    <w:rsid w:val="003444ED"/>
    <w:rsid w:val="003448EA"/>
    <w:rsid w:val="00345232"/>
    <w:rsid w:val="0034539C"/>
    <w:rsid w:val="003459D1"/>
    <w:rsid w:val="003506D2"/>
    <w:rsid w:val="003517C3"/>
    <w:rsid w:val="00351B67"/>
    <w:rsid w:val="003543EF"/>
    <w:rsid w:val="0035490B"/>
    <w:rsid w:val="00354CA4"/>
    <w:rsid w:val="00357943"/>
    <w:rsid w:val="00357B55"/>
    <w:rsid w:val="00357F73"/>
    <w:rsid w:val="00360398"/>
    <w:rsid w:val="0036325B"/>
    <w:rsid w:val="00364100"/>
    <w:rsid w:val="003646A0"/>
    <w:rsid w:val="0036549C"/>
    <w:rsid w:val="00366471"/>
    <w:rsid w:val="00372E31"/>
    <w:rsid w:val="00374B9F"/>
    <w:rsid w:val="003758D8"/>
    <w:rsid w:val="00375C5A"/>
    <w:rsid w:val="00376055"/>
    <w:rsid w:val="00376FAB"/>
    <w:rsid w:val="0037746B"/>
    <w:rsid w:val="00377C34"/>
    <w:rsid w:val="00384F98"/>
    <w:rsid w:val="00385B33"/>
    <w:rsid w:val="00385CDD"/>
    <w:rsid w:val="00387A5C"/>
    <w:rsid w:val="00391177"/>
    <w:rsid w:val="00391B62"/>
    <w:rsid w:val="00391E8B"/>
    <w:rsid w:val="00391FDD"/>
    <w:rsid w:val="0039204C"/>
    <w:rsid w:val="00392DD6"/>
    <w:rsid w:val="003936B6"/>
    <w:rsid w:val="003941B8"/>
    <w:rsid w:val="003943E7"/>
    <w:rsid w:val="003956AA"/>
    <w:rsid w:val="00395A86"/>
    <w:rsid w:val="00395DE4"/>
    <w:rsid w:val="00396276"/>
    <w:rsid w:val="00396DB7"/>
    <w:rsid w:val="003976D6"/>
    <w:rsid w:val="003A06B1"/>
    <w:rsid w:val="003A199E"/>
    <w:rsid w:val="003A1E19"/>
    <w:rsid w:val="003A1FE0"/>
    <w:rsid w:val="003A2ADF"/>
    <w:rsid w:val="003A2DB8"/>
    <w:rsid w:val="003A30CF"/>
    <w:rsid w:val="003A392E"/>
    <w:rsid w:val="003A4BEB"/>
    <w:rsid w:val="003A58EE"/>
    <w:rsid w:val="003A624A"/>
    <w:rsid w:val="003A6C1F"/>
    <w:rsid w:val="003A70ED"/>
    <w:rsid w:val="003A7756"/>
    <w:rsid w:val="003B0603"/>
    <w:rsid w:val="003B0D9A"/>
    <w:rsid w:val="003B130E"/>
    <w:rsid w:val="003B2C1E"/>
    <w:rsid w:val="003B37E2"/>
    <w:rsid w:val="003B51B1"/>
    <w:rsid w:val="003B5D00"/>
    <w:rsid w:val="003B729A"/>
    <w:rsid w:val="003B7CBF"/>
    <w:rsid w:val="003C1620"/>
    <w:rsid w:val="003C18B4"/>
    <w:rsid w:val="003C4864"/>
    <w:rsid w:val="003C4E72"/>
    <w:rsid w:val="003C583E"/>
    <w:rsid w:val="003C687B"/>
    <w:rsid w:val="003C6E4B"/>
    <w:rsid w:val="003D008B"/>
    <w:rsid w:val="003D0819"/>
    <w:rsid w:val="003D54F7"/>
    <w:rsid w:val="003D664C"/>
    <w:rsid w:val="003D68D9"/>
    <w:rsid w:val="003E0860"/>
    <w:rsid w:val="003E22AD"/>
    <w:rsid w:val="003E4216"/>
    <w:rsid w:val="003E6EC6"/>
    <w:rsid w:val="003F05E3"/>
    <w:rsid w:val="003F1199"/>
    <w:rsid w:val="003F12AC"/>
    <w:rsid w:val="003F1A05"/>
    <w:rsid w:val="003F272A"/>
    <w:rsid w:val="003F2F2D"/>
    <w:rsid w:val="003F4D5D"/>
    <w:rsid w:val="003F4E00"/>
    <w:rsid w:val="003F5274"/>
    <w:rsid w:val="003F5C90"/>
    <w:rsid w:val="003F73E2"/>
    <w:rsid w:val="003F7942"/>
    <w:rsid w:val="004007EB"/>
    <w:rsid w:val="0040295E"/>
    <w:rsid w:val="00405556"/>
    <w:rsid w:val="004063AE"/>
    <w:rsid w:val="004114F4"/>
    <w:rsid w:val="00412611"/>
    <w:rsid w:val="00412944"/>
    <w:rsid w:val="00412E5E"/>
    <w:rsid w:val="00413A48"/>
    <w:rsid w:val="00413D2B"/>
    <w:rsid w:val="0041614D"/>
    <w:rsid w:val="00420CDE"/>
    <w:rsid w:val="004213CE"/>
    <w:rsid w:val="004232AA"/>
    <w:rsid w:val="00423C1D"/>
    <w:rsid w:val="0042408C"/>
    <w:rsid w:val="00425352"/>
    <w:rsid w:val="00426A50"/>
    <w:rsid w:val="00427E8D"/>
    <w:rsid w:val="00433061"/>
    <w:rsid w:val="004346DE"/>
    <w:rsid w:val="00435E11"/>
    <w:rsid w:val="00437059"/>
    <w:rsid w:val="004374AC"/>
    <w:rsid w:val="00443370"/>
    <w:rsid w:val="004443DB"/>
    <w:rsid w:val="004450EB"/>
    <w:rsid w:val="00446A95"/>
    <w:rsid w:val="00446EFE"/>
    <w:rsid w:val="00447576"/>
    <w:rsid w:val="00447D8A"/>
    <w:rsid w:val="0045099A"/>
    <w:rsid w:val="004512AA"/>
    <w:rsid w:val="00452165"/>
    <w:rsid w:val="00452490"/>
    <w:rsid w:val="0045280E"/>
    <w:rsid w:val="00452B23"/>
    <w:rsid w:val="00453466"/>
    <w:rsid w:val="0045492C"/>
    <w:rsid w:val="0045583F"/>
    <w:rsid w:val="00455C81"/>
    <w:rsid w:val="00455E87"/>
    <w:rsid w:val="00456D6B"/>
    <w:rsid w:val="00460505"/>
    <w:rsid w:val="00460E2D"/>
    <w:rsid w:val="00462AD7"/>
    <w:rsid w:val="0046534F"/>
    <w:rsid w:val="00465D99"/>
    <w:rsid w:val="00466F95"/>
    <w:rsid w:val="004705E2"/>
    <w:rsid w:val="00470EE0"/>
    <w:rsid w:val="004718DF"/>
    <w:rsid w:val="00472043"/>
    <w:rsid w:val="00473D89"/>
    <w:rsid w:val="00475621"/>
    <w:rsid w:val="00476265"/>
    <w:rsid w:val="00477AE4"/>
    <w:rsid w:val="00480DA9"/>
    <w:rsid w:val="00485123"/>
    <w:rsid w:val="00485139"/>
    <w:rsid w:val="00486DC7"/>
    <w:rsid w:val="00486F92"/>
    <w:rsid w:val="00486FC9"/>
    <w:rsid w:val="00487BE7"/>
    <w:rsid w:val="00491B7A"/>
    <w:rsid w:val="004927E0"/>
    <w:rsid w:val="00492956"/>
    <w:rsid w:val="00493D73"/>
    <w:rsid w:val="004960D8"/>
    <w:rsid w:val="004971BB"/>
    <w:rsid w:val="00497B9E"/>
    <w:rsid w:val="00497D90"/>
    <w:rsid w:val="004A2275"/>
    <w:rsid w:val="004A24C5"/>
    <w:rsid w:val="004A4F08"/>
    <w:rsid w:val="004A5514"/>
    <w:rsid w:val="004A5602"/>
    <w:rsid w:val="004A7726"/>
    <w:rsid w:val="004A7A21"/>
    <w:rsid w:val="004B0E83"/>
    <w:rsid w:val="004B1123"/>
    <w:rsid w:val="004B505D"/>
    <w:rsid w:val="004B7234"/>
    <w:rsid w:val="004C04FE"/>
    <w:rsid w:val="004C4040"/>
    <w:rsid w:val="004C47E5"/>
    <w:rsid w:val="004C5393"/>
    <w:rsid w:val="004C5600"/>
    <w:rsid w:val="004D0A61"/>
    <w:rsid w:val="004D1AB5"/>
    <w:rsid w:val="004D2226"/>
    <w:rsid w:val="004D334A"/>
    <w:rsid w:val="004D5A7F"/>
    <w:rsid w:val="004D7B48"/>
    <w:rsid w:val="004E097E"/>
    <w:rsid w:val="004E25D3"/>
    <w:rsid w:val="004E48B2"/>
    <w:rsid w:val="004E490F"/>
    <w:rsid w:val="004E4B39"/>
    <w:rsid w:val="004E4D4B"/>
    <w:rsid w:val="004E50A2"/>
    <w:rsid w:val="004E5329"/>
    <w:rsid w:val="004E5DDE"/>
    <w:rsid w:val="004E77D6"/>
    <w:rsid w:val="004F0F6D"/>
    <w:rsid w:val="004F1D0E"/>
    <w:rsid w:val="004F1ECA"/>
    <w:rsid w:val="004F26E4"/>
    <w:rsid w:val="004F2AFE"/>
    <w:rsid w:val="004F3A17"/>
    <w:rsid w:val="004F5319"/>
    <w:rsid w:val="004F57A5"/>
    <w:rsid w:val="004F594E"/>
    <w:rsid w:val="004F59B9"/>
    <w:rsid w:val="004F5C68"/>
    <w:rsid w:val="004F7136"/>
    <w:rsid w:val="00500298"/>
    <w:rsid w:val="00500884"/>
    <w:rsid w:val="0050178F"/>
    <w:rsid w:val="00501BBC"/>
    <w:rsid w:val="0050223E"/>
    <w:rsid w:val="00502B42"/>
    <w:rsid w:val="00503FFE"/>
    <w:rsid w:val="0050434B"/>
    <w:rsid w:val="0050530C"/>
    <w:rsid w:val="00510185"/>
    <w:rsid w:val="00510CD6"/>
    <w:rsid w:val="0051192E"/>
    <w:rsid w:val="0051447E"/>
    <w:rsid w:val="00515A6D"/>
    <w:rsid w:val="00515B80"/>
    <w:rsid w:val="005174F8"/>
    <w:rsid w:val="00517A63"/>
    <w:rsid w:val="0052114B"/>
    <w:rsid w:val="00522486"/>
    <w:rsid w:val="00522F26"/>
    <w:rsid w:val="005234C2"/>
    <w:rsid w:val="005244D7"/>
    <w:rsid w:val="0052549C"/>
    <w:rsid w:val="005256F7"/>
    <w:rsid w:val="00532C70"/>
    <w:rsid w:val="00533DDD"/>
    <w:rsid w:val="00534074"/>
    <w:rsid w:val="00534D1E"/>
    <w:rsid w:val="005354E9"/>
    <w:rsid w:val="00537455"/>
    <w:rsid w:val="005376C1"/>
    <w:rsid w:val="005379A9"/>
    <w:rsid w:val="00540E57"/>
    <w:rsid w:val="00541EC0"/>
    <w:rsid w:val="00542223"/>
    <w:rsid w:val="00551751"/>
    <w:rsid w:val="00552FB2"/>
    <w:rsid w:val="00560469"/>
    <w:rsid w:val="005608A0"/>
    <w:rsid w:val="005608B6"/>
    <w:rsid w:val="0056158E"/>
    <w:rsid w:val="005702DB"/>
    <w:rsid w:val="00571DE1"/>
    <w:rsid w:val="00573732"/>
    <w:rsid w:val="0057793C"/>
    <w:rsid w:val="00581470"/>
    <w:rsid w:val="00581AB6"/>
    <w:rsid w:val="00582578"/>
    <w:rsid w:val="00583AA2"/>
    <w:rsid w:val="005846A7"/>
    <w:rsid w:val="005847E9"/>
    <w:rsid w:val="00585857"/>
    <w:rsid w:val="00586515"/>
    <w:rsid w:val="00586994"/>
    <w:rsid w:val="0058727C"/>
    <w:rsid w:val="00587703"/>
    <w:rsid w:val="0059024C"/>
    <w:rsid w:val="005912F6"/>
    <w:rsid w:val="005913F8"/>
    <w:rsid w:val="005923BB"/>
    <w:rsid w:val="0059766D"/>
    <w:rsid w:val="005A0337"/>
    <w:rsid w:val="005A1E4A"/>
    <w:rsid w:val="005A3B0C"/>
    <w:rsid w:val="005A55CF"/>
    <w:rsid w:val="005B14FB"/>
    <w:rsid w:val="005B4931"/>
    <w:rsid w:val="005B5A3F"/>
    <w:rsid w:val="005B74AD"/>
    <w:rsid w:val="005C1D72"/>
    <w:rsid w:val="005C389B"/>
    <w:rsid w:val="005C54D7"/>
    <w:rsid w:val="005C61C5"/>
    <w:rsid w:val="005D01CB"/>
    <w:rsid w:val="005D12E7"/>
    <w:rsid w:val="005D1540"/>
    <w:rsid w:val="005D1E01"/>
    <w:rsid w:val="005D2545"/>
    <w:rsid w:val="005D5506"/>
    <w:rsid w:val="005D694F"/>
    <w:rsid w:val="005D6AAE"/>
    <w:rsid w:val="005D7F81"/>
    <w:rsid w:val="005E1BF6"/>
    <w:rsid w:val="005E6D66"/>
    <w:rsid w:val="005E6DFB"/>
    <w:rsid w:val="005E6FCC"/>
    <w:rsid w:val="005F293E"/>
    <w:rsid w:val="005F4BF1"/>
    <w:rsid w:val="005F4DDF"/>
    <w:rsid w:val="005F5A12"/>
    <w:rsid w:val="005F65AA"/>
    <w:rsid w:val="005F6ABA"/>
    <w:rsid w:val="005F7D66"/>
    <w:rsid w:val="006001AE"/>
    <w:rsid w:val="00600A3E"/>
    <w:rsid w:val="00601020"/>
    <w:rsid w:val="006017E2"/>
    <w:rsid w:val="006018E3"/>
    <w:rsid w:val="0060358A"/>
    <w:rsid w:val="00604F80"/>
    <w:rsid w:val="00605A44"/>
    <w:rsid w:val="00605DF6"/>
    <w:rsid w:val="00606837"/>
    <w:rsid w:val="00606EAD"/>
    <w:rsid w:val="00607CF0"/>
    <w:rsid w:val="006159C7"/>
    <w:rsid w:val="00620AD7"/>
    <w:rsid w:val="00621740"/>
    <w:rsid w:val="006236CA"/>
    <w:rsid w:val="006244F8"/>
    <w:rsid w:val="006246B9"/>
    <w:rsid w:val="00625289"/>
    <w:rsid w:val="00627207"/>
    <w:rsid w:val="006278FD"/>
    <w:rsid w:val="00630200"/>
    <w:rsid w:val="006302CE"/>
    <w:rsid w:val="00631381"/>
    <w:rsid w:val="00632288"/>
    <w:rsid w:val="006405D1"/>
    <w:rsid w:val="006455C0"/>
    <w:rsid w:val="00645B0D"/>
    <w:rsid w:val="006462B6"/>
    <w:rsid w:val="006475C1"/>
    <w:rsid w:val="00647922"/>
    <w:rsid w:val="006507B5"/>
    <w:rsid w:val="0065536D"/>
    <w:rsid w:val="00657375"/>
    <w:rsid w:val="00660365"/>
    <w:rsid w:val="00660C83"/>
    <w:rsid w:val="00661D9E"/>
    <w:rsid w:val="0066280F"/>
    <w:rsid w:val="00662FF8"/>
    <w:rsid w:val="00665924"/>
    <w:rsid w:val="00665C13"/>
    <w:rsid w:val="006666CA"/>
    <w:rsid w:val="00666CB7"/>
    <w:rsid w:val="00666F84"/>
    <w:rsid w:val="00671255"/>
    <w:rsid w:val="006745FF"/>
    <w:rsid w:val="00675906"/>
    <w:rsid w:val="00676FC3"/>
    <w:rsid w:val="006805A7"/>
    <w:rsid w:val="006810E1"/>
    <w:rsid w:val="00682561"/>
    <w:rsid w:val="00682E11"/>
    <w:rsid w:val="00683904"/>
    <w:rsid w:val="00683C5C"/>
    <w:rsid w:val="006857CF"/>
    <w:rsid w:val="0068650A"/>
    <w:rsid w:val="00686F12"/>
    <w:rsid w:val="00687AA9"/>
    <w:rsid w:val="00693CFF"/>
    <w:rsid w:val="00694D2B"/>
    <w:rsid w:val="00694D79"/>
    <w:rsid w:val="00695556"/>
    <w:rsid w:val="006956B8"/>
    <w:rsid w:val="006966B9"/>
    <w:rsid w:val="00696AB3"/>
    <w:rsid w:val="00696DA5"/>
    <w:rsid w:val="006A0212"/>
    <w:rsid w:val="006A3CCD"/>
    <w:rsid w:val="006A587D"/>
    <w:rsid w:val="006B017F"/>
    <w:rsid w:val="006B0E98"/>
    <w:rsid w:val="006B0FF0"/>
    <w:rsid w:val="006B135F"/>
    <w:rsid w:val="006B1B3E"/>
    <w:rsid w:val="006B1F1E"/>
    <w:rsid w:val="006B235C"/>
    <w:rsid w:val="006B4595"/>
    <w:rsid w:val="006B59E6"/>
    <w:rsid w:val="006B6233"/>
    <w:rsid w:val="006B6C45"/>
    <w:rsid w:val="006B739A"/>
    <w:rsid w:val="006B7770"/>
    <w:rsid w:val="006B7EBD"/>
    <w:rsid w:val="006B7F6A"/>
    <w:rsid w:val="006C06C3"/>
    <w:rsid w:val="006C07FA"/>
    <w:rsid w:val="006C1920"/>
    <w:rsid w:val="006C2B85"/>
    <w:rsid w:val="006C68C3"/>
    <w:rsid w:val="006C6930"/>
    <w:rsid w:val="006C6FDF"/>
    <w:rsid w:val="006D02F4"/>
    <w:rsid w:val="006D06A6"/>
    <w:rsid w:val="006D094D"/>
    <w:rsid w:val="006D1223"/>
    <w:rsid w:val="006D1458"/>
    <w:rsid w:val="006D2983"/>
    <w:rsid w:val="006D2D92"/>
    <w:rsid w:val="006D2E5C"/>
    <w:rsid w:val="006D3212"/>
    <w:rsid w:val="006D4080"/>
    <w:rsid w:val="006D498A"/>
    <w:rsid w:val="006D53E6"/>
    <w:rsid w:val="006D63ED"/>
    <w:rsid w:val="006E047C"/>
    <w:rsid w:val="006E05C0"/>
    <w:rsid w:val="006E37E3"/>
    <w:rsid w:val="006E3EC9"/>
    <w:rsid w:val="006E7AA8"/>
    <w:rsid w:val="006F13B4"/>
    <w:rsid w:val="006F2FC4"/>
    <w:rsid w:val="006F4C27"/>
    <w:rsid w:val="006F6499"/>
    <w:rsid w:val="006F793A"/>
    <w:rsid w:val="006F7AD1"/>
    <w:rsid w:val="007021A8"/>
    <w:rsid w:val="00703334"/>
    <w:rsid w:val="00703B4C"/>
    <w:rsid w:val="007062C1"/>
    <w:rsid w:val="007109CA"/>
    <w:rsid w:val="00713BD1"/>
    <w:rsid w:val="007201CE"/>
    <w:rsid w:val="007219C8"/>
    <w:rsid w:val="00721F08"/>
    <w:rsid w:val="007250FA"/>
    <w:rsid w:val="00726E77"/>
    <w:rsid w:val="00730C69"/>
    <w:rsid w:val="00730F4F"/>
    <w:rsid w:val="00734EE4"/>
    <w:rsid w:val="007366C3"/>
    <w:rsid w:val="007366C8"/>
    <w:rsid w:val="0074190B"/>
    <w:rsid w:val="00742A8E"/>
    <w:rsid w:val="00743D57"/>
    <w:rsid w:val="00743E9C"/>
    <w:rsid w:val="0074484C"/>
    <w:rsid w:val="00744EBB"/>
    <w:rsid w:val="0074513C"/>
    <w:rsid w:val="00745449"/>
    <w:rsid w:val="007455AD"/>
    <w:rsid w:val="0074582E"/>
    <w:rsid w:val="007459BC"/>
    <w:rsid w:val="007467FC"/>
    <w:rsid w:val="00750908"/>
    <w:rsid w:val="00754614"/>
    <w:rsid w:val="00754B66"/>
    <w:rsid w:val="007554E9"/>
    <w:rsid w:val="00760072"/>
    <w:rsid w:val="00760B6C"/>
    <w:rsid w:val="00761C8E"/>
    <w:rsid w:val="00762CEA"/>
    <w:rsid w:val="0077042C"/>
    <w:rsid w:val="00770904"/>
    <w:rsid w:val="00773D54"/>
    <w:rsid w:val="007740A5"/>
    <w:rsid w:val="00774179"/>
    <w:rsid w:val="00774308"/>
    <w:rsid w:val="007752C8"/>
    <w:rsid w:val="0077555C"/>
    <w:rsid w:val="00777592"/>
    <w:rsid w:val="0078271B"/>
    <w:rsid w:val="007834D1"/>
    <w:rsid w:val="00783FD5"/>
    <w:rsid w:val="00785602"/>
    <w:rsid w:val="0078759F"/>
    <w:rsid w:val="007917AD"/>
    <w:rsid w:val="00792A54"/>
    <w:rsid w:val="00793F3E"/>
    <w:rsid w:val="0079428D"/>
    <w:rsid w:val="007958D3"/>
    <w:rsid w:val="00795A83"/>
    <w:rsid w:val="007A0CBC"/>
    <w:rsid w:val="007A21AB"/>
    <w:rsid w:val="007A26E3"/>
    <w:rsid w:val="007A4DC0"/>
    <w:rsid w:val="007A57EC"/>
    <w:rsid w:val="007B031A"/>
    <w:rsid w:val="007B13EC"/>
    <w:rsid w:val="007B206C"/>
    <w:rsid w:val="007B356B"/>
    <w:rsid w:val="007B3A6E"/>
    <w:rsid w:val="007B48D5"/>
    <w:rsid w:val="007B56E0"/>
    <w:rsid w:val="007B5778"/>
    <w:rsid w:val="007B590A"/>
    <w:rsid w:val="007B72EC"/>
    <w:rsid w:val="007C62B6"/>
    <w:rsid w:val="007C754B"/>
    <w:rsid w:val="007D10C1"/>
    <w:rsid w:val="007D2FF6"/>
    <w:rsid w:val="007D321F"/>
    <w:rsid w:val="007D5C8F"/>
    <w:rsid w:val="007D6E4B"/>
    <w:rsid w:val="007D797A"/>
    <w:rsid w:val="007D7B8E"/>
    <w:rsid w:val="007E2DA3"/>
    <w:rsid w:val="007E3D2D"/>
    <w:rsid w:val="007E4C79"/>
    <w:rsid w:val="007E5396"/>
    <w:rsid w:val="007E5D7C"/>
    <w:rsid w:val="007E621C"/>
    <w:rsid w:val="007E6573"/>
    <w:rsid w:val="007E6A77"/>
    <w:rsid w:val="007E7424"/>
    <w:rsid w:val="007E7778"/>
    <w:rsid w:val="007E77C4"/>
    <w:rsid w:val="007F00DD"/>
    <w:rsid w:val="007F0674"/>
    <w:rsid w:val="007F08AC"/>
    <w:rsid w:val="007F1082"/>
    <w:rsid w:val="007F26D4"/>
    <w:rsid w:val="007F2C75"/>
    <w:rsid w:val="007F5482"/>
    <w:rsid w:val="007F749C"/>
    <w:rsid w:val="007F7B8B"/>
    <w:rsid w:val="00801227"/>
    <w:rsid w:val="0080323B"/>
    <w:rsid w:val="00803CBA"/>
    <w:rsid w:val="00804A50"/>
    <w:rsid w:val="008074D6"/>
    <w:rsid w:val="008113B5"/>
    <w:rsid w:val="00811C7C"/>
    <w:rsid w:val="00812C3A"/>
    <w:rsid w:val="0081317D"/>
    <w:rsid w:val="008138CB"/>
    <w:rsid w:val="00813A7E"/>
    <w:rsid w:val="0081432A"/>
    <w:rsid w:val="00816615"/>
    <w:rsid w:val="00821C25"/>
    <w:rsid w:val="00822851"/>
    <w:rsid w:val="0082450C"/>
    <w:rsid w:val="00830D8B"/>
    <w:rsid w:val="008332C6"/>
    <w:rsid w:val="00833D9D"/>
    <w:rsid w:val="00837FE0"/>
    <w:rsid w:val="008410C4"/>
    <w:rsid w:val="0084493D"/>
    <w:rsid w:val="00845179"/>
    <w:rsid w:val="0084630D"/>
    <w:rsid w:val="00846340"/>
    <w:rsid w:val="00846B62"/>
    <w:rsid w:val="008475E8"/>
    <w:rsid w:val="00847E06"/>
    <w:rsid w:val="00850605"/>
    <w:rsid w:val="00851670"/>
    <w:rsid w:val="008552D1"/>
    <w:rsid w:val="00856AEC"/>
    <w:rsid w:val="008575C5"/>
    <w:rsid w:val="00857E5D"/>
    <w:rsid w:val="00861301"/>
    <w:rsid w:val="0086201A"/>
    <w:rsid w:val="00862B70"/>
    <w:rsid w:val="0086428D"/>
    <w:rsid w:val="00864BAD"/>
    <w:rsid w:val="00864F71"/>
    <w:rsid w:val="00865262"/>
    <w:rsid w:val="00866196"/>
    <w:rsid w:val="008678A4"/>
    <w:rsid w:val="00870215"/>
    <w:rsid w:val="00870F46"/>
    <w:rsid w:val="008729D8"/>
    <w:rsid w:val="00872DE0"/>
    <w:rsid w:val="0087483C"/>
    <w:rsid w:val="00874E79"/>
    <w:rsid w:val="00875B67"/>
    <w:rsid w:val="00875F4F"/>
    <w:rsid w:val="008766B1"/>
    <w:rsid w:val="00876882"/>
    <w:rsid w:val="00877BEF"/>
    <w:rsid w:val="0088029F"/>
    <w:rsid w:val="00881C97"/>
    <w:rsid w:val="008824B2"/>
    <w:rsid w:val="00883D5B"/>
    <w:rsid w:val="00884BDD"/>
    <w:rsid w:val="0088607F"/>
    <w:rsid w:val="00887B36"/>
    <w:rsid w:val="00887C5A"/>
    <w:rsid w:val="00892073"/>
    <w:rsid w:val="00892642"/>
    <w:rsid w:val="00894958"/>
    <w:rsid w:val="008949C3"/>
    <w:rsid w:val="008A066F"/>
    <w:rsid w:val="008A0861"/>
    <w:rsid w:val="008A3281"/>
    <w:rsid w:val="008A397D"/>
    <w:rsid w:val="008A3CE8"/>
    <w:rsid w:val="008A413E"/>
    <w:rsid w:val="008A59DC"/>
    <w:rsid w:val="008A63B1"/>
    <w:rsid w:val="008B3A8C"/>
    <w:rsid w:val="008B7B0A"/>
    <w:rsid w:val="008C0260"/>
    <w:rsid w:val="008C04CB"/>
    <w:rsid w:val="008C0814"/>
    <w:rsid w:val="008C1B6D"/>
    <w:rsid w:val="008C23F7"/>
    <w:rsid w:val="008C386B"/>
    <w:rsid w:val="008C7AC3"/>
    <w:rsid w:val="008D08F3"/>
    <w:rsid w:val="008D1D03"/>
    <w:rsid w:val="008D1D8F"/>
    <w:rsid w:val="008D26A8"/>
    <w:rsid w:val="008D33F3"/>
    <w:rsid w:val="008D3B24"/>
    <w:rsid w:val="008D6481"/>
    <w:rsid w:val="008D7C26"/>
    <w:rsid w:val="008E1661"/>
    <w:rsid w:val="008E2CBB"/>
    <w:rsid w:val="008E5208"/>
    <w:rsid w:val="008E69AE"/>
    <w:rsid w:val="008F2FD4"/>
    <w:rsid w:val="008F3996"/>
    <w:rsid w:val="008F4737"/>
    <w:rsid w:val="008F49F5"/>
    <w:rsid w:val="008F51A9"/>
    <w:rsid w:val="008F7037"/>
    <w:rsid w:val="00900292"/>
    <w:rsid w:val="0090216F"/>
    <w:rsid w:val="0090258C"/>
    <w:rsid w:val="009037C3"/>
    <w:rsid w:val="009041A9"/>
    <w:rsid w:val="00904282"/>
    <w:rsid w:val="00906ED6"/>
    <w:rsid w:val="0090743B"/>
    <w:rsid w:val="00907636"/>
    <w:rsid w:val="009078AA"/>
    <w:rsid w:val="00907F7B"/>
    <w:rsid w:val="00910BD2"/>
    <w:rsid w:val="00912065"/>
    <w:rsid w:val="0091334C"/>
    <w:rsid w:val="00916C8B"/>
    <w:rsid w:val="00917739"/>
    <w:rsid w:val="00917DFD"/>
    <w:rsid w:val="00920366"/>
    <w:rsid w:val="0092159B"/>
    <w:rsid w:val="00921919"/>
    <w:rsid w:val="00923BB2"/>
    <w:rsid w:val="00923DB0"/>
    <w:rsid w:val="00926125"/>
    <w:rsid w:val="009321C7"/>
    <w:rsid w:val="00932E47"/>
    <w:rsid w:val="00934A4A"/>
    <w:rsid w:val="00935A7A"/>
    <w:rsid w:val="00937682"/>
    <w:rsid w:val="009401D1"/>
    <w:rsid w:val="00940583"/>
    <w:rsid w:val="00940BD6"/>
    <w:rsid w:val="00942B1E"/>
    <w:rsid w:val="00944AAC"/>
    <w:rsid w:val="00944C02"/>
    <w:rsid w:val="009460EA"/>
    <w:rsid w:val="00946176"/>
    <w:rsid w:val="009463B1"/>
    <w:rsid w:val="00946649"/>
    <w:rsid w:val="00947D77"/>
    <w:rsid w:val="00952079"/>
    <w:rsid w:val="0095298E"/>
    <w:rsid w:val="00953DB9"/>
    <w:rsid w:val="00954E0A"/>
    <w:rsid w:val="009552B2"/>
    <w:rsid w:val="009575B9"/>
    <w:rsid w:val="00957C94"/>
    <w:rsid w:val="009602C6"/>
    <w:rsid w:val="00962AA9"/>
    <w:rsid w:val="00962B34"/>
    <w:rsid w:val="00962C62"/>
    <w:rsid w:val="00963C97"/>
    <w:rsid w:val="00966ADD"/>
    <w:rsid w:val="00966C94"/>
    <w:rsid w:val="0096734A"/>
    <w:rsid w:val="009715FC"/>
    <w:rsid w:val="00973CBD"/>
    <w:rsid w:val="00973FE0"/>
    <w:rsid w:val="00974B6D"/>
    <w:rsid w:val="00977B9C"/>
    <w:rsid w:val="009800BB"/>
    <w:rsid w:val="009802CB"/>
    <w:rsid w:val="00980397"/>
    <w:rsid w:val="00985295"/>
    <w:rsid w:val="0098621E"/>
    <w:rsid w:val="0098639F"/>
    <w:rsid w:val="00986770"/>
    <w:rsid w:val="0098689C"/>
    <w:rsid w:val="009873A6"/>
    <w:rsid w:val="00990231"/>
    <w:rsid w:val="00990855"/>
    <w:rsid w:val="009914FE"/>
    <w:rsid w:val="0099182E"/>
    <w:rsid w:val="00992964"/>
    <w:rsid w:val="00992E15"/>
    <w:rsid w:val="00993772"/>
    <w:rsid w:val="009949DA"/>
    <w:rsid w:val="0099569F"/>
    <w:rsid w:val="009A1986"/>
    <w:rsid w:val="009A1BF1"/>
    <w:rsid w:val="009A5500"/>
    <w:rsid w:val="009A70D9"/>
    <w:rsid w:val="009B066C"/>
    <w:rsid w:val="009B1D76"/>
    <w:rsid w:val="009B22B7"/>
    <w:rsid w:val="009B2651"/>
    <w:rsid w:val="009B26F4"/>
    <w:rsid w:val="009B32F6"/>
    <w:rsid w:val="009B400F"/>
    <w:rsid w:val="009B48F6"/>
    <w:rsid w:val="009B49EC"/>
    <w:rsid w:val="009B6488"/>
    <w:rsid w:val="009B6F24"/>
    <w:rsid w:val="009C1D6F"/>
    <w:rsid w:val="009C3831"/>
    <w:rsid w:val="009D01A0"/>
    <w:rsid w:val="009D11A3"/>
    <w:rsid w:val="009D2655"/>
    <w:rsid w:val="009D2FF5"/>
    <w:rsid w:val="009D3543"/>
    <w:rsid w:val="009D4369"/>
    <w:rsid w:val="009D4399"/>
    <w:rsid w:val="009D4A84"/>
    <w:rsid w:val="009D4D9D"/>
    <w:rsid w:val="009D5F52"/>
    <w:rsid w:val="009E02F4"/>
    <w:rsid w:val="009E11C1"/>
    <w:rsid w:val="009E13D4"/>
    <w:rsid w:val="009E1426"/>
    <w:rsid w:val="009E2305"/>
    <w:rsid w:val="009E446A"/>
    <w:rsid w:val="009E6068"/>
    <w:rsid w:val="009E60B3"/>
    <w:rsid w:val="009E7FC8"/>
    <w:rsid w:val="009F2F72"/>
    <w:rsid w:val="009F66BB"/>
    <w:rsid w:val="009F6D53"/>
    <w:rsid w:val="00A0125F"/>
    <w:rsid w:val="00A018EC"/>
    <w:rsid w:val="00A062A5"/>
    <w:rsid w:val="00A0652D"/>
    <w:rsid w:val="00A103FE"/>
    <w:rsid w:val="00A13944"/>
    <w:rsid w:val="00A13F1E"/>
    <w:rsid w:val="00A147E3"/>
    <w:rsid w:val="00A17FAB"/>
    <w:rsid w:val="00A22057"/>
    <w:rsid w:val="00A22F79"/>
    <w:rsid w:val="00A24281"/>
    <w:rsid w:val="00A24431"/>
    <w:rsid w:val="00A24F7C"/>
    <w:rsid w:val="00A259EE"/>
    <w:rsid w:val="00A26D26"/>
    <w:rsid w:val="00A27E6F"/>
    <w:rsid w:val="00A30464"/>
    <w:rsid w:val="00A30A9F"/>
    <w:rsid w:val="00A33A61"/>
    <w:rsid w:val="00A33D4C"/>
    <w:rsid w:val="00A34D4A"/>
    <w:rsid w:val="00A34E60"/>
    <w:rsid w:val="00A353F5"/>
    <w:rsid w:val="00A3593C"/>
    <w:rsid w:val="00A35F52"/>
    <w:rsid w:val="00A409D9"/>
    <w:rsid w:val="00A43443"/>
    <w:rsid w:val="00A43CEB"/>
    <w:rsid w:val="00A43E54"/>
    <w:rsid w:val="00A4516C"/>
    <w:rsid w:val="00A45669"/>
    <w:rsid w:val="00A46F96"/>
    <w:rsid w:val="00A4741A"/>
    <w:rsid w:val="00A50765"/>
    <w:rsid w:val="00A511DA"/>
    <w:rsid w:val="00A5205A"/>
    <w:rsid w:val="00A52514"/>
    <w:rsid w:val="00A52D55"/>
    <w:rsid w:val="00A56CB6"/>
    <w:rsid w:val="00A605FA"/>
    <w:rsid w:val="00A60CD1"/>
    <w:rsid w:val="00A63D48"/>
    <w:rsid w:val="00A64605"/>
    <w:rsid w:val="00A6487B"/>
    <w:rsid w:val="00A66BB9"/>
    <w:rsid w:val="00A66FB5"/>
    <w:rsid w:val="00A6733D"/>
    <w:rsid w:val="00A673A9"/>
    <w:rsid w:val="00A673D0"/>
    <w:rsid w:val="00A7300E"/>
    <w:rsid w:val="00A7776C"/>
    <w:rsid w:val="00A77886"/>
    <w:rsid w:val="00A80E21"/>
    <w:rsid w:val="00A81572"/>
    <w:rsid w:val="00A825C0"/>
    <w:rsid w:val="00A83383"/>
    <w:rsid w:val="00A837B9"/>
    <w:rsid w:val="00A8514B"/>
    <w:rsid w:val="00A86989"/>
    <w:rsid w:val="00A86C73"/>
    <w:rsid w:val="00A956BF"/>
    <w:rsid w:val="00A95D39"/>
    <w:rsid w:val="00A96EC2"/>
    <w:rsid w:val="00AA0650"/>
    <w:rsid w:val="00AA1378"/>
    <w:rsid w:val="00AA274F"/>
    <w:rsid w:val="00AA3246"/>
    <w:rsid w:val="00AA352B"/>
    <w:rsid w:val="00AA3AEF"/>
    <w:rsid w:val="00AA5EC1"/>
    <w:rsid w:val="00AA619D"/>
    <w:rsid w:val="00AB0F0A"/>
    <w:rsid w:val="00AB2F4C"/>
    <w:rsid w:val="00AB5F1B"/>
    <w:rsid w:val="00AC065C"/>
    <w:rsid w:val="00AC2A5A"/>
    <w:rsid w:val="00AC4CB4"/>
    <w:rsid w:val="00AC5546"/>
    <w:rsid w:val="00AC7891"/>
    <w:rsid w:val="00AC7A00"/>
    <w:rsid w:val="00AC7BF6"/>
    <w:rsid w:val="00AD27DC"/>
    <w:rsid w:val="00AD5824"/>
    <w:rsid w:val="00AE0058"/>
    <w:rsid w:val="00AE0685"/>
    <w:rsid w:val="00AE11E0"/>
    <w:rsid w:val="00AE1399"/>
    <w:rsid w:val="00AE1D04"/>
    <w:rsid w:val="00AE2E66"/>
    <w:rsid w:val="00AE4803"/>
    <w:rsid w:val="00AE53B4"/>
    <w:rsid w:val="00AE581D"/>
    <w:rsid w:val="00AE6415"/>
    <w:rsid w:val="00AE6CB7"/>
    <w:rsid w:val="00AF065E"/>
    <w:rsid w:val="00AF6B18"/>
    <w:rsid w:val="00B01433"/>
    <w:rsid w:val="00B01D39"/>
    <w:rsid w:val="00B01F94"/>
    <w:rsid w:val="00B025EE"/>
    <w:rsid w:val="00B039A3"/>
    <w:rsid w:val="00B05A27"/>
    <w:rsid w:val="00B07F3F"/>
    <w:rsid w:val="00B10A65"/>
    <w:rsid w:val="00B1182F"/>
    <w:rsid w:val="00B11980"/>
    <w:rsid w:val="00B13ADD"/>
    <w:rsid w:val="00B1514F"/>
    <w:rsid w:val="00B169CE"/>
    <w:rsid w:val="00B17CEC"/>
    <w:rsid w:val="00B2040E"/>
    <w:rsid w:val="00B20A33"/>
    <w:rsid w:val="00B215B5"/>
    <w:rsid w:val="00B21F1F"/>
    <w:rsid w:val="00B23FBA"/>
    <w:rsid w:val="00B25630"/>
    <w:rsid w:val="00B25AC0"/>
    <w:rsid w:val="00B26EA8"/>
    <w:rsid w:val="00B2766D"/>
    <w:rsid w:val="00B30A9D"/>
    <w:rsid w:val="00B31AAB"/>
    <w:rsid w:val="00B323A4"/>
    <w:rsid w:val="00B32DDB"/>
    <w:rsid w:val="00B33388"/>
    <w:rsid w:val="00B34C9D"/>
    <w:rsid w:val="00B3632C"/>
    <w:rsid w:val="00B508B6"/>
    <w:rsid w:val="00B51CA6"/>
    <w:rsid w:val="00B56511"/>
    <w:rsid w:val="00B60E13"/>
    <w:rsid w:val="00B626DD"/>
    <w:rsid w:val="00B6275F"/>
    <w:rsid w:val="00B62B01"/>
    <w:rsid w:val="00B639EE"/>
    <w:rsid w:val="00B63A78"/>
    <w:rsid w:val="00B648F4"/>
    <w:rsid w:val="00B64B4B"/>
    <w:rsid w:val="00B66141"/>
    <w:rsid w:val="00B713F0"/>
    <w:rsid w:val="00B72142"/>
    <w:rsid w:val="00B73404"/>
    <w:rsid w:val="00B73724"/>
    <w:rsid w:val="00B73E8D"/>
    <w:rsid w:val="00B757FD"/>
    <w:rsid w:val="00B84AAF"/>
    <w:rsid w:val="00B84F61"/>
    <w:rsid w:val="00B85934"/>
    <w:rsid w:val="00B8643A"/>
    <w:rsid w:val="00B907E0"/>
    <w:rsid w:val="00B93FBF"/>
    <w:rsid w:val="00B9475D"/>
    <w:rsid w:val="00B947DC"/>
    <w:rsid w:val="00B94B96"/>
    <w:rsid w:val="00B9584A"/>
    <w:rsid w:val="00B962CF"/>
    <w:rsid w:val="00B96604"/>
    <w:rsid w:val="00BA09F5"/>
    <w:rsid w:val="00BA0DEB"/>
    <w:rsid w:val="00BA14E8"/>
    <w:rsid w:val="00BA21D1"/>
    <w:rsid w:val="00BA28BD"/>
    <w:rsid w:val="00BA34F6"/>
    <w:rsid w:val="00BA3FBC"/>
    <w:rsid w:val="00BA5E22"/>
    <w:rsid w:val="00BB0A57"/>
    <w:rsid w:val="00BB1C01"/>
    <w:rsid w:val="00BB1D33"/>
    <w:rsid w:val="00BB298B"/>
    <w:rsid w:val="00BB2FBA"/>
    <w:rsid w:val="00BB53AB"/>
    <w:rsid w:val="00BB555C"/>
    <w:rsid w:val="00BB76A9"/>
    <w:rsid w:val="00BC2F89"/>
    <w:rsid w:val="00BC37C4"/>
    <w:rsid w:val="00BC3EF8"/>
    <w:rsid w:val="00BC3F91"/>
    <w:rsid w:val="00BC7BAF"/>
    <w:rsid w:val="00BD0F58"/>
    <w:rsid w:val="00BD2104"/>
    <w:rsid w:val="00BD2CCF"/>
    <w:rsid w:val="00BD4E72"/>
    <w:rsid w:val="00BD6352"/>
    <w:rsid w:val="00BD64EA"/>
    <w:rsid w:val="00BE1948"/>
    <w:rsid w:val="00BE230B"/>
    <w:rsid w:val="00BE38D6"/>
    <w:rsid w:val="00BF23C2"/>
    <w:rsid w:val="00BF29D0"/>
    <w:rsid w:val="00BF59B2"/>
    <w:rsid w:val="00BF6167"/>
    <w:rsid w:val="00C00D99"/>
    <w:rsid w:val="00C01418"/>
    <w:rsid w:val="00C0180A"/>
    <w:rsid w:val="00C0319D"/>
    <w:rsid w:val="00C04A7F"/>
    <w:rsid w:val="00C055B1"/>
    <w:rsid w:val="00C0754D"/>
    <w:rsid w:val="00C145C3"/>
    <w:rsid w:val="00C15A4C"/>
    <w:rsid w:val="00C17488"/>
    <w:rsid w:val="00C17C63"/>
    <w:rsid w:val="00C20AC0"/>
    <w:rsid w:val="00C20CA9"/>
    <w:rsid w:val="00C20F9C"/>
    <w:rsid w:val="00C2125D"/>
    <w:rsid w:val="00C21BC3"/>
    <w:rsid w:val="00C222BF"/>
    <w:rsid w:val="00C22AE8"/>
    <w:rsid w:val="00C23039"/>
    <w:rsid w:val="00C23319"/>
    <w:rsid w:val="00C23571"/>
    <w:rsid w:val="00C24AE2"/>
    <w:rsid w:val="00C24E6D"/>
    <w:rsid w:val="00C25F19"/>
    <w:rsid w:val="00C2647B"/>
    <w:rsid w:val="00C269EA"/>
    <w:rsid w:val="00C30419"/>
    <w:rsid w:val="00C31152"/>
    <w:rsid w:val="00C32D07"/>
    <w:rsid w:val="00C35CDC"/>
    <w:rsid w:val="00C3693F"/>
    <w:rsid w:val="00C37305"/>
    <w:rsid w:val="00C37863"/>
    <w:rsid w:val="00C40718"/>
    <w:rsid w:val="00C41B11"/>
    <w:rsid w:val="00C41B2E"/>
    <w:rsid w:val="00C42320"/>
    <w:rsid w:val="00C43D92"/>
    <w:rsid w:val="00C43EF3"/>
    <w:rsid w:val="00C45B61"/>
    <w:rsid w:val="00C50771"/>
    <w:rsid w:val="00C51B8E"/>
    <w:rsid w:val="00C53191"/>
    <w:rsid w:val="00C547BE"/>
    <w:rsid w:val="00C55799"/>
    <w:rsid w:val="00C603E0"/>
    <w:rsid w:val="00C60AA1"/>
    <w:rsid w:val="00C6186C"/>
    <w:rsid w:val="00C61EC2"/>
    <w:rsid w:val="00C63345"/>
    <w:rsid w:val="00C65795"/>
    <w:rsid w:val="00C66D9C"/>
    <w:rsid w:val="00C72551"/>
    <w:rsid w:val="00C72C8A"/>
    <w:rsid w:val="00C74AAF"/>
    <w:rsid w:val="00C75B48"/>
    <w:rsid w:val="00C76325"/>
    <w:rsid w:val="00C805F4"/>
    <w:rsid w:val="00C83A97"/>
    <w:rsid w:val="00C83E20"/>
    <w:rsid w:val="00C844FF"/>
    <w:rsid w:val="00C85505"/>
    <w:rsid w:val="00C857BD"/>
    <w:rsid w:val="00C858B9"/>
    <w:rsid w:val="00C86B2F"/>
    <w:rsid w:val="00C904AA"/>
    <w:rsid w:val="00C91D93"/>
    <w:rsid w:val="00C93134"/>
    <w:rsid w:val="00C95043"/>
    <w:rsid w:val="00C9652A"/>
    <w:rsid w:val="00C96C31"/>
    <w:rsid w:val="00CA11F6"/>
    <w:rsid w:val="00CA78D2"/>
    <w:rsid w:val="00CB0361"/>
    <w:rsid w:val="00CB06F2"/>
    <w:rsid w:val="00CB3287"/>
    <w:rsid w:val="00CB56B1"/>
    <w:rsid w:val="00CB621F"/>
    <w:rsid w:val="00CB77C0"/>
    <w:rsid w:val="00CB789F"/>
    <w:rsid w:val="00CC1B21"/>
    <w:rsid w:val="00CC3D26"/>
    <w:rsid w:val="00CC3D66"/>
    <w:rsid w:val="00CC526C"/>
    <w:rsid w:val="00CC71B5"/>
    <w:rsid w:val="00CD20B6"/>
    <w:rsid w:val="00CD6A93"/>
    <w:rsid w:val="00CD701C"/>
    <w:rsid w:val="00CE00A8"/>
    <w:rsid w:val="00CE223E"/>
    <w:rsid w:val="00CE2E9F"/>
    <w:rsid w:val="00CE2F39"/>
    <w:rsid w:val="00CE45B3"/>
    <w:rsid w:val="00CE4EA6"/>
    <w:rsid w:val="00CE5DAB"/>
    <w:rsid w:val="00CF1F28"/>
    <w:rsid w:val="00CF21B1"/>
    <w:rsid w:val="00CF3179"/>
    <w:rsid w:val="00CF4478"/>
    <w:rsid w:val="00CF4720"/>
    <w:rsid w:val="00CF52D9"/>
    <w:rsid w:val="00CF5D69"/>
    <w:rsid w:val="00CF5E43"/>
    <w:rsid w:val="00CF6AD8"/>
    <w:rsid w:val="00CF70E9"/>
    <w:rsid w:val="00CF7775"/>
    <w:rsid w:val="00CF7E3C"/>
    <w:rsid w:val="00CF7EBA"/>
    <w:rsid w:val="00D01204"/>
    <w:rsid w:val="00D0183B"/>
    <w:rsid w:val="00D01AC6"/>
    <w:rsid w:val="00D05389"/>
    <w:rsid w:val="00D066DF"/>
    <w:rsid w:val="00D07CC3"/>
    <w:rsid w:val="00D10A1C"/>
    <w:rsid w:val="00D121A6"/>
    <w:rsid w:val="00D139D3"/>
    <w:rsid w:val="00D143C9"/>
    <w:rsid w:val="00D20DF2"/>
    <w:rsid w:val="00D221A7"/>
    <w:rsid w:val="00D241FE"/>
    <w:rsid w:val="00D245FD"/>
    <w:rsid w:val="00D25AA4"/>
    <w:rsid w:val="00D2668E"/>
    <w:rsid w:val="00D2684C"/>
    <w:rsid w:val="00D26D7D"/>
    <w:rsid w:val="00D26DA5"/>
    <w:rsid w:val="00D27FF6"/>
    <w:rsid w:val="00D338CC"/>
    <w:rsid w:val="00D33D89"/>
    <w:rsid w:val="00D342FF"/>
    <w:rsid w:val="00D35D55"/>
    <w:rsid w:val="00D37A4E"/>
    <w:rsid w:val="00D40327"/>
    <w:rsid w:val="00D4293E"/>
    <w:rsid w:val="00D43309"/>
    <w:rsid w:val="00D43CAA"/>
    <w:rsid w:val="00D44F2C"/>
    <w:rsid w:val="00D45480"/>
    <w:rsid w:val="00D457FA"/>
    <w:rsid w:val="00D4693A"/>
    <w:rsid w:val="00D5417F"/>
    <w:rsid w:val="00D54C52"/>
    <w:rsid w:val="00D550BB"/>
    <w:rsid w:val="00D56B6B"/>
    <w:rsid w:val="00D56FDD"/>
    <w:rsid w:val="00D60EBF"/>
    <w:rsid w:val="00D624E4"/>
    <w:rsid w:val="00D636B1"/>
    <w:rsid w:val="00D64B1C"/>
    <w:rsid w:val="00D67385"/>
    <w:rsid w:val="00D673EF"/>
    <w:rsid w:val="00D6787C"/>
    <w:rsid w:val="00D70BCD"/>
    <w:rsid w:val="00D716E6"/>
    <w:rsid w:val="00D729C0"/>
    <w:rsid w:val="00D73869"/>
    <w:rsid w:val="00D74B10"/>
    <w:rsid w:val="00D7525A"/>
    <w:rsid w:val="00D752BC"/>
    <w:rsid w:val="00D76E44"/>
    <w:rsid w:val="00D77A21"/>
    <w:rsid w:val="00D77C74"/>
    <w:rsid w:val="00D81B85"/>
    <w:rsid w:val="00D83627"/>
    <w:rsid w:val="00D857CC"/>
    <w:rsid w:val="00D8664D"/>
    <w:rsid w:val="00D87341"/>
    <w:rsid w:val="00D90626"/>
    <w:rsid w:val="00D91352"/>
    <w:rsid w:val="00D913EB"/>
    <w:rsid w:val="00D95BD6"/>
    <w:rsid w:val="00D963D6"/>
    <w:rsid w:val="00DA15CC"/>
    <w:rsid w:val="00DA1981"/>
    <w:rsid w:val="00DA3B5A"/>
    <w:rsid w:val="00DA5F4D"/>
    <w:rsid w:val="00DB14D2"/>
    <w:rsid w:val="00DB1B63"/>
    <w:rsid w:val="00DB29E0"/>
    <w:rsid w:val="00DB4B08"/>
    <w:rsid w:val="00DB6651"/>
    <w:rsid w:val="00DB6C68"/>
    <w:rsid w:val="00DB7859"/>
    <w:rsid w:val="00DB7A58"/>
    <w:rsid w:val="00DC0857"/>
    <w:rsid w:val="00DC225C"/>
    <w:rsid w:val="00DC2BA2"/>
    <w:rsid w:val="00DC2BC3"/>
    <w:rsid w:val="00DC2F09"/>
    <w:rsid w:val="00DC384A"/>
    <w:rsid w:val="00DC4E35"/>
    <w:rsid w:val="00DC5F97"/>
    <w:rsid w:val="00DC69B0"/>
    <w:rsid w:val="00DD09FB"/>
    <w:rsid w:val="00DD7883"/>
    <w:rsid w:val="00DE020C"/>
    <w:rsid w:val="00DE2DEB"/>
    <w:rsid w:val="00DE41FA"/>
    <w:rsid w:val="00DE430B"/>
    <w:rsid w:val="00DE57AB"/>
    <w:rsid w:val="00DE71A3"/>
    <w:rsid w:val="00DE767B"/>
    <w:rsid w:val="00DF00BE"/>
    <w:rsid w:val="00DF16A7"/>
    <w:rsid w:val="00DF43BB"/>
    <w:rsid w:val="00DF77AF"/>
    <w:rsid w:val="00E00965"/>
    <w:rsid w:val="00E00A24"/>
    <w:rsid w:val="00E00E7B"/>
    <w:rsid w:val="00E014C9"/>
    <w:rsid w:val="00E02F59"/>
    <w:rsid w:val="00E041CC"/>
    <w:rsid w:val="00E04E68"/>
    <w:rsid w:val="00E05FCF"/>
    <w:rsid w:val="00E069C2"/>
    <w:rsid w:val="00E06B2B"/>
    <w:rsid w:val="00E07014"/>
    <w:rsid w:val="00E077EC"/>
    <w:rsid w:val="00E111DD"/>
    <w:rsid w:val="00E11559"/>
    <w:rsid w:val="00E12A4D"/>
    <w:rsid w:val="00E1315F"/>
    <w:rsid w:val="00E13372"/>
    <w:rsid w:val="00E15DAD"/>
    <w:rsid w:val="00E21E2E"/>
    <w:rsid w:val="00E21E36"/>
    <w:rsid w:val="00E21F09"/>
    <w:rsid w:val="00E26AA8"/>
    <w:rsid w:val="00E2740C"/>
    <w:rsid w:val="00E30EE0"/>
    <w:rsid w:val="00E32C92"/>
    <w:rsid w:val="00E35250"/>
    <w:rsid w:val="00E4217E"/>
    <w:rsid w:val="00E42783"/>
    <w:rsid w:val="00E42A8E"/>
    <w:rsid w:val="00E45786"/>
    <w:rsid w:val="00E45D64"/>
    <w:rsid w:val="00E46289"/>
    <w:rsid w:val="00E5123A"/>
    <w:rsid w:val="00E51A65"/>
    <w:rsid w:val="00E52A52"/>
    <w:rsid w:val="00E538A3"/>
    <w:rsid w:val="00E53B4A"/>
    <w:rsid w:val="00E545B4"/>
    <w:rsid w:val="00E55095"/>
    <w:rsid w:val="00E56FA5"/>
    <w:rsid w:val="00E5747F"/>
    <w:rsid w:val="00E61003"/>
    <w:rsid w:val="00E617BF"/>
    <w:rsid w:val="00E618FE"/>
    <w:rsid w:val="00E61A5B"/>
    <w:rsid w:val="00E61EB8"/>
    <w:rsid w:val="00E63402"/>
    <w:rsid w:val="00E63BCC"/>
    <w:rsid w:val="00E644EE"/>
    <w:rsid w:val="00E64589"/>
    <w:rsid w:val="00E64C13"/>
    <w:rsid w:val="00E6535E"/>
    <w:rsid w:val="00E65C09"/>
    <w:rsid w:val="00E66001"/>
    <w:rsid w:val="00E671D7"/>
    <w:rsid w:val="00E7220E"/>
    <w:rsid w:val="00E7314B"/>
    <w:rsid w:val="00E740A6"/>
    <w:rsid w:val="00E742D8"/>
    <w:rsid w:val="00E74768"/>
    <w:rsid w:val="00E77776"/>
    <w:rsid w:val="00E77F88"/>
    <w:rsid w:val="00E80063"/>
    <w:rsid w:val="00E857CC"/>
    <w:rsid w:val="00E8613C"/>
    <w:rsid w:val="00E862E3"/>
    <w:rsid w:val="00E866AB"/>
    <w:rsid w:val="00E920B3"/>
    <w:rsid w:val="00E945C2"/>
    <w:rsid w:val="00E95F1C"/>
    <w:rsid w:val="00EA2732"/>
    <w:rsid w:val="00EA3133"/>
    <w:rsid w:val="00EA390A"/>
    <w:rsid w:val="00EA4C1E"/>
    <w:rsid w:val="00EA568A"/>
    <w:rsid w:val="00EA6308"/>
    <w:rsid w:val="00EA6FE9"/>
    <w:rsid w:val="00EB3B09"/>
    <w:rsid w:val="00EB678B"/>
    <w:rsid w:val="00EB75BE"/>
    <w:rsid w:val="00EC16E9"/>
    <w:rsid w:val="00EC1BFA"/>
    <w:rsid w:val="00EC2A59"/>
    <w:rsid w:val="00EC2A5E"/>
    <w:rsid w:val="00EC519E"/>
    <w:rsid w:val="00EC5284"/>
    <w:rsid w:val="00EC5750"/>
    <w:rsid w:val="00EC6C37"/>
    <w:rsid w:val="00EC74DD"/>
    <w:rsid w:val="00ED0E5E"/>
    <w:rsid w:val="00ED174A"/>
    <w:rsid w:val="00ED18F5"/>
    <w:rsid w:val="00ED215D"/>
    <w:rsid w:val="00ED27C0"/>
    <w:rsid w:val="00ED3243"/>
    <w:rsid w:val="00ED6CD5"/>
    <w:rsid w:val="00ED7234"/>
    <w:rsid w:val="00ED763A"/>
    <w:rsid w:val="00EE1CB1"/>
    <w:rsid w:val="00EE2E00"/>
    <w:rsid w:val="00EE2ED7"/>
    <w:rsid w:val="00EE5045"/>
    <w:rsid w:val="00EE5C61"/>
    <w:rsid w:val="00EE6870"/>
    <w:rsid w:val="00EF021A"/>
    <w:rsid w:val="00EF3FE1"/>
    <w:rsid w:val="00EF4141"/>
    <w:rsid w:val="00EF4574"/>
    <w:rsid w:val="00EF4AEE"/>
    <w:rsid w:val="00F009DD"/>
    <w:rsid w:val="00F021C2"/>
    <w:rsid w:val="00F031E5"/>
    <w:rsid w:val="00F03CF2"/>
    <w:rsid w:val="00F03D61"/>
    <w:rsid w:val="00F03FD7"/>
    <w:rsid w:val="00F04311"/>
    <w:rsid w:val="00F04C14"/>
    <w:rsid w:val="00F06CAB"/>
    <w:rsid w:val="00F1603C"/>
    <w:rsid w:val="00F17160"/>
    <w:rsid w:val="00F17C42"/>
    <w:rsid w:val="00F203A4"/>
    <w:rsid w:val="00F20B0C"/>
    <w:rsid w:val="00F20B54"/>
    <w:rsid w:val="00F21D08"/>
    <w:rsid w:val="00F248B3"/>
    <w:rsid w:val="00F26E45"/>
    <w:rsid w:val="00F2774F"/>
    <w:rsid w:val="00F27BB4"/>
    <w:rsid w:val="00F313B8"/>
    <w:rsid w:val="00F31658"/>
    <w:rsid w:val="00F34138"/>
    <w:rsid w:val="00F36627"/>
    <w:rsid w:val="00F40C1D"/>
    <w:rsid w:val="00F4491F"/>
    <w:rsid w:val="00F45C1A"/>
    <w:rsid w:val="00F51032"/>
    <w:rsid w:val="00F55A3E"/>
    <w:rsid w:val="00F563E7"/>
    <w:rsid w:val="00F56725"/>
    <w:rsid w:val="00F57AB4"/>
    <w:rsid w:val="00F61A7A"/>
    <w:rsid w:val="00F6248F"/>
    <w:rsid w:val="00F626C4"/>
    <w:rsid w:val="00F62958"/>
    <w:rsid w:val="00F636E3"/>
    <w:rsid w:val="00F63CD3"/>
    <w:rsid w:val="00F6464F"/>
    <w:rsid w:val="00F6526F"/>
    <w:rsid w:val="00F66F2D"/>
    <w:rsid w:val="00F740BC"/>
    <w:rsid w:val="00F76632"/>
    <w:rsid w:val="00F779CB"/>
    <w:rsid w:val="00F8023E"/>
    <w:rsid w:val="00F803E4"/>
    <w:rsid w:val="00F80BF4"/>
    <w:rsid w:val="00F8189A"/>
    <w:rsid w:val="00F848B0"/>
    <w:rsid w:val="00F87ABD"/>
    <w:rsid w:val="00F91A6E"/>
    <w:rsid w:val="00F92F83"/>
    <w:rsid w:val="00F9342F"/>
    <w:rsid w:val="00F93AB8"/>
    <w:rsid w:val="00F94FF8"/>
    <w:rsid w:val="00FA085B"/>
    <w:rsid w:val="00FA100A"/>
    <w:rsid w:val="00FA1FE1"/>
    <w:rsid w:val="00FA2A49"/>
    <w:rsid w:val="00FA74A3"/>
    <w:rsid w:val="00FB070B"/>
    <w:rsid w:val="00FB2F0D"/>
    <w:rsid w:val="00FB5BAD"/>
    <w:rsid w:val="00FB6028"/>
    <w:rsid w:val="00FB6121"/>
    <w:rsid w:val="00FC101D"/>
    <w:rsid w:val="00FC3186"/>
    <w:rsid w:val="00FC3EB2"/>
    <w:rsid w:val="00FC74A8"/>
    <w:rsid w:val="00FD00D2"/>
    <w:rsid w:val="00FD0AF0"/>
    <w:rsid w:val="00FD0D71"/>
    <w:rsid w:val="00FD1068"/>
    <w:rsid w:val="00FD3293"/>
    <w:rsid w:val="00FD36AC"/>
    <w:rsid w:val="00FD36C6"/>
    <w:rsid w:val="00FD560D"/>
    <w:rsid w:val="00FD699D"/>
    <w:rsid w:val="00FE1DEB"/>
    <w:rsid w:val="00FE305A"/>
    <w:rsid w:val="00FE30B4"/>
    <w:rsid w:val="00FE481B"/>
    <w:rsid w:val="00FE5565"/>
    <w:rsid w:val="00FE5789"/>
    <w:rsid w:val="00FE6341"/>
    <w:rsid w:val="00FE63D3"/>
    <w:rsid w:val="00FE7951"/>
    <w:rsid w:val="00FE7CE7"/>
    <w:rsid w:val="00FE7F60"/>
    <w:rsid w:val="00FF0B94"/>
    <w:rsid w:val="00FF1450"/>
    <w:rsid w:val="00FF52C2"/>
    <w:rsid w:val="00FF6DEF"/>
    <w:rsid w:val="00FF706E"/>
    <w:rsid w:val="00FF74E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2F4E6"/>
  <w15:docId w15:val="{52695FD3-6120-42BA-AB99-EBCD4DFB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2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2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2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2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05E2"/>
    <w:rPr>
      <w:color w:val="0000FF"/>
      <w:u w:val="single"/>
    </w:rPr>
  </w:style>
  <w:style w:type="character" w:styleId="CommentReference">
    <w:name w:val="annotation reference"/>
    <w:basedOn w:val="DefaultParagraphFont"/>
    <w:uiPriority w:val="99"/>
    <w:semiHidden/>
    <w:unhideWhenUsed/>
    <w:rsid w:val="003A624A"/>
    <w:rPr>
      <w:sz w:val="16"/>
      <w:szCs w:val="16"/>
    </w:rPr>
  </w:style>
  <w:style w:type="paragraph" w:styleId="CommentText">
    <w:name w:val="annotation text"/>
    <w:basedOn w:val="Normal"/>
    <w:link w:val="CommentTextChar"/>
    <w:uiPriority w:val="99"/>
    <w:unhideWhenUsed/>
    <w:rsid w:val="003A624A"/>
    <w:rPr>
      <w:sz w:val="20"/>
      <w:szCs w:val="20"/>
    </w:rPr>
  </w:style>
  <w:style w:type="character" w:customStyle="1" w:styleId="CommentTextChar">
    <w:name w:val="Comment Text Char"/>
    <w:basedOn w:val="DefaultParagraphFont"/>
    <w:link w:val="CommentText"/>
    <w:uiPriority w:val="99"/>
    <w:rsid w:val="003A624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A624A"/>
    <w:rPr>
      <w:b/>
      <w:bCs/>
    </w:rPr>
  </w:style>
  <w:style w:type="character" w:customStyle="1" w:styleId="CommentSubjectChar">
    <w:name w:val="Comment Subject Char"/>
    <w:basedOn w:val="CommentTextChar"/>
    <w:link w:val="CommentSubject"/>
    <w:uiPriority w:val="99"/>
    <w:semiHidden/>
    <w:rsid w:val="003A624A"/>
    <w:rPr>
      <w:rFonts w:ascii="Arial" w:hAnsi="Arial" w:cs="Arial"/>
      <w:b/>
      <w:bCs/>
      <w:sz w:val="20"/>
      <w:szCs w:val="20"/>
    </w:rPr>
  </w:style>
  <w:style w:type="paragraph" w:styleId="BalloonText">
    <w:name w:val="Balloon Text"/>
    <w:basedOn w:val="Normal"/>
    <w:link w:val="BalloonTextChar"/>
    <w:uiPriority w:val="99"/>
    <w:semiHidden/>
    <w:unhideWhenUsed/>
    <w:rsid w:val="003A624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24A"/>
    <w:rPr>
      <w:rFonts w:ascii="Segoe UI" w:hAnsi="Segoe UI" w:cs="Segoe UI"/>
      <w:sz w:val="18"/>
      <w:szCs w:val="18"/>
    </w:rPr>
  </w:style>
  <w:style w:type="paragraph" w:styleId="Revision">
    <w:name w:val="Revision"/>
    <w:hidden/>
    <w:uiPriority w:val="99"/>
    <w:semiHidden/>
    <w:rsid w:val="001F7C2E"/>
    <w:pPr>
      <w:spacing w:after="0" w:line="240" w:lineRule="auto"/>
    </w:pPr>
    <w:rPr>
      <w:rFonts w:ascii="Arial" w:hAnsi="Arial" w:cs="Arial"/>
    </w:rPr>
  </w:style>
  <w:style w:type="character" w:customStyle="1" w:styleId="fontstyle01">
    <w:name w:val="fontstyle01"/>
    <w:basedOn w:val="DefaultParagraphFont"/>
    <w:rsid w:val="0095298E"/>
    <w:rPr>
      <w:rFonts w:ascii="Arial" w:hAnsi="Arial" w:cs="Arial" w:hint="default"/>
      <w:b w:val="0"/>
      <w:bCs w:val="0"/>
      <w:i w:val="0"/>
      <w:iCs w:val="0"/>
      <w:color w:val="000000"/>
      <w:sz w:val="22"/>
      <w:szCs w:val="22"/>
    </w:rPr>
  </w:style>
  <w:style w:type="table" w:styleId="TableGrid">
    <w:name w:val="Table Grid"/>
    <w:basedOn w:val="TableNormal"/>
    <w:uiPriority w:val="59"/>
    <w:rsid w:val="0095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98E"/>
    <w:pPr>
      <w:spacing w:before="0" w:after="200" w:line="276" w:lineRule="auto"/>
      <w:ind w:left="720"/>
      <w:contextualSpacing/>
      <w:jc w:val="left"/>
    </w:pPr>
    <w:rPr>
      <w:rFonts w:asciiTheme="minorHAnsi" w:hAnsiTheme="minorHAnsi" w:cstheme="minorBidi"/>
    </w:rPr>
  </w:style>
  <w:style w:type="paragraph" w:styleId="Caption">
    <w:name w:val="caption"/>
    <w:basedOn w:val="Normal"/>
    <w:next w:val="Normal"/>
    <w:uiPriority w:val="35"/>
    <w:unhideWhenUsed/>
    <w:qFormat/>
    <w:rsid w:val="0095298E"/>
    <w:pPr>
      <w:spacing w:before="0" w:after="200"/>
    </w:pPr>
    <w:rPr>
      <w:i/>
      <w:iCs/>
      <w:color w:val="1F497D" w:themeColor="text2"/>
      <w:sz w:val="18"/>
      <w:szCs w:val="18"/>
    </w:rPr>
  </w:style>
  <w:style w:type="paragraph" w:styleId="PlainText">
    <w:name w:val="Plain Text"/>
    <w:basedOn w:val="Normal"/>
    <w:link w:val="PlainTextChar"/>
    <w:uiPriority w:val="99"/>
    <w:semiHidden/>
    <w:unhideWhenUsed/>
    <w:rsid w:val="00AA274F"/>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semiHidden/>
    <w:rsid w:val="00AA274F"/>
    <w:rPr>
      <w:rFonts w:ascii="Calibri" w:hAnsi="Calibri"/>
      <w:szCs w:val="21"/>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8"/>
      </w:numPr>
      <w:spacing w:before="60" w:after="60"/>
    </w:pPr>
    <w:rPr>
      <w:sz w:val="18"/>
    </w:rPr>
  </w:style>
  <w:style w:type="paragraph" w:customStyle="1" w:styleId="TabelleListe">
    <w:name w:val="Tabelle Liste"/>
    <w:basedOn w:val="Normal"/>
    <w:rsid w:val="00A147E3"/>
    <w:pPr>
      <w:numPr>
        <w:numId w:val="1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7"/>
      </w:numPr>
      <w:tabs>
        <w:tab w:val="left" w:pos="0"/>
      </w:tabs>
    </w:pPr>
  </w:style>
  <w:style w:type="paragraph" w:customStyle="1" w:styleId="ListeFolgeabsatzStufe1">
    <w:name w:val="Liste Folgeabsatz (Stufe 1)"/>
    <w:basedOn w:val="Normal"/>
    <w:rsid w:val="00A147E3"/>
    <w:pPr>
      <w:numPr>
        <w:ilvl w:val="1"/>
        <w:numId w:val="17"/>
      </w:numPr>
    </w:pPr>
  </w:style>
  <w:style w:type="paragraph" w:customStyle="1" w:styleId="ListeStufe2">
    <w:name w:val="Liste (Stufe 2)"/>
    <w:basedOn w:val="Normal"/>
    <w:rsid w:val="00A147E3"/>
    <w:pPr>
      <w:numPr>
        <w:ilvl w:val="2"/>
        <w:numId w:val="17"/>
      </w:numPr>
    </w:pPr>
  </w:style>
  <w:style w:type="paragraph" w:customStyle="1" w:styleId="ListeFolgeabsatzStufe2">
    <w:name w:val="Liste Folgeabsatz (Stufe 2)"/>
    <w:basedOn w:val="Normal"/>
    <w:rsid w:val="00A147E3"/>
    <w:pPr>
      <w:numPr>
        <w:ilvl w:val="3"/>
        <w:numId w:val="17"/>
      </w:numPr>
    </w:pPr>
  </w:style>
  <w:style w:type="paragraph" w:customStyle="1" w:styleId="ListeStufe3">
    <w:name w:val="Liste (Stufe 3)"/>
    <w:basedOn w:val="Normal"/>
    <w:rsid w:val="00A147E3"/>
    <w:pPr>
      <w:numPr>
        <w:ilvl w:val="4"/>
        <w:numId w:val="17"/>
      </w:numPr>
    </w:pPr>
  </w:style>
  <w:style w:type="paragraph" w:customStyle="1" w:styleId="ListeFolgeabsatzStufe3">
    <w:name w:val="Liste Folgeabsatz (Stufe 3)"/>
    <w:basedOn w:val="Normal"/>
    <w:rsid w:val="00A147E3"/>
    <w:pPr>
      <w:numPr>
        <w:ilvl w:val="5"/>
        <w:numId w:val="17"/>
      </w:numPr>
    </w:pPr>
  </w:style>
  <w:style w:type="paragraph" w:customStyle="1" w:styleId="ListeStufe4">
    <w:name w:val="Liste (Stufe 4)"/>
    <w:basedOn w:val="Normal"/>
    <w:rsid w:val="00A147E3"/>
    <w:pPr>
      <w:numPr>
        <w:ilvl w:val="6"/>
        <w:numId w:val="17"/>
      </w:numPr>
    </w:pPr>
  </w:style>
  <w:style w:type="paragraph" w:customStyle="1" w:styleId="ListeFolgeabsatzStufe4">
    <w:name w:val="Liste Folgeabsatz (Stufe 4)"/>
    <w:basedOn w:val="Normal"/>
    <w:rsid w:val="00A147E3"/>
    <w:pPr>
      <w:numPr>
        <w:ilvl w:val="7"/>
        <w:numId w:val="1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1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32"/>
      </w:numPr>
      <w:outlineLvl w:val="5"/>
    </w:pPr>
  </w:style>
  <w:style w:type="paragraph" w:customStyle="1" w:styleId="NummerierungStufe2">
    <w:name w:val="Nummerierung (Stufe 2)"/>
    <w:basedOn w:val="Normal"/>
    <w:rsid w:val="00A147E3"/>
    <w:pPr>
      <w:numPr>
        <w:ilvl w:val="4"/>
        <w:numId w:val="32"/>
      </w:numPr>
    </w:pPr>
  </w:style>
  <w:style w:type="paragraph" w:customStyle="1" w:styleId="NummerierungStufe3">
    <w:name w:val="Nummerierung (Stufe 3)"/>
    <w:basedOn w:val="Normal"/>
    <w:rsid w:val="00A147E3"/>
    <w:pPr>
      <w:numPr>
        <w:ilvl w:val="5"/>
        <w:numId w:val="32"/>
      </w:numPr>
    </w:pPr>
  </w:style>
  <w:style w:type="paragraph" w:customStyle="1" w:styleId="NummerierungStufe4">
    <w:name w:val="Nummerierung (Stufe 4)"/>
    <w:basedOn w:val="Normal"/>
    <w:rsid w:val="00A147E3"/>
    <w:pPr>
      <w:numPr>
        <w:ilvl w:val="6"/>
        <w:numId w:val="3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2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2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3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3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5"/>
      </w:numPr>
      <w:spacing w:after="240"/>
      <w:jc w:val="center"/>
      <w:outlineLvl w:val="2"/>
    </w:pPr>
  </w:style>
  <w:style w:type="paragraph" w:customStyle="1" w:styleId="TitelBezeichner">
    <w:name w:val="Titel Bezeichner"/>
    <w:basedOn w:val="Normal"/>
    <w:next w:val="Titelberschrift"/>
    <w:rsid w:val="00A147E3"/>
    <w:pPr>
      <w:keepNext/>
      <w:numPr>
        <w:ilvl w:val="5"/>
        <w:numId w:val="3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3"/>
      </w:numPr>
    </w:pPr>
    <w:rPr>
      <w:color w:val="800000"/>
    </w:rPr>
  </w:style>
  <w:style w:type="paragraph" w:customStyle="1" w:styleId="RevisionNummerierungStufe2">
    <w:name w:val="Revision Nummerierung (Stufe 2)"/>
    <w:basedOn w:val="Normal"/>
    <w:rsid w:val="00A147E3"/>
    <w:pPr>
      <w:numPr>
        <w:ilvl w:val="4"/>
        <w:numId w:val="23"/>
      </w:numPr>
    </w:pPr>
    <w:rPr>
      <w:color w:val="800000"/>
    </w:rPr>
  </w:style>
  <w:style w:type="paragraph" w:customStyle="1" w:styleId="RevisionNummerierungStufe3">
    <w:name w:val="Revision Nummerierung (Stufe 3)"/>
    <w:basedOn w:val="Normal"/>
    <w:rsid w:val="00A147E3"/>
    <w:pPr>
      <w:numPr>
        <w:ilvl w:val="5"/>
        <w:numId w:val="23"/>
      </w:numPr>
    </w:pPr>
    <w:rPr>
      <w:color w:val="800000"/>
    </w:rPr>
  </w:style>
  <w:style w:type="paragraph" w:customStyle="1" w:styleId="RevisionNummerierungStufe4">
    <w:name w:val="Revision Nummerierung (Stufe 4)"/>
    <w:basedOn w:val="Normal"/>
    <w:rsid w:val="00A147E3"/>
    <w:pPr>
      <w:numPr>
        <w:ilvl w:val="6"/>
        <w:numId w:val="2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3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4"/>
      </w:numPr>
    </w:pPr>
    <w:rPr>
      <w:color w:val="800000"/>
    </w:rPr>
  </w:style>
  <w:style w:type="paragraph" w:customStyle="1" w:styleId="RevisionListeStufe2">
    <w:name w:val="Revision Liste (Stufe 2)"/>
    <w:basedOn w:val="Normal"/>
    <w:rsid w:val="00A147E3"/>
    <w:pPr>
      <w:numPr>
        <w:ilvl w:val="2"/>
        <w:numId w:val="2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4"/>
      </w:numPr>
    </w:pPr>
    <w:rPr>
      <w:color w:val="800000"/>
    </w:rPr>
  </w:style>
  <w:style w:type="paragraph" w:customStyle="1" w:styleId="RevisionListeStufe3">
    <w:name w:val="Revision Liste (Stufe 3)"/>
    <w:basedOn w:val="Normal"/>
    <w:rsid w:val="00A147E3"/>
    <w:pPr>
      <w:numPr>
        <w:ilvl w:val="4"/>
        <w:numId w:val="2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4"/>
      </w:numPr>
    </w:pPr>
    <w:rPr>
      <w:color w:val="800000"/>
    </w:rPr>
  </w:style>
  <w:style w:type="paragraph" w:customStyle="1" w:styleId="RevisionListeStufe4">
    <w:name w:val="Revision Liste (Stufe 4)"/>
    <w:basedOn w:val="Normal"/>
    <w:rsid w:val="00A147E3"/>
    <w:pPr>
      <w:numPr>
        <w:ilvl w:val="6"/>
        <w:numId w:val="2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4"/>
      </w:numPr>
    </w:pPr>
    <w:rPr>
      <w:color w:val="800000"/>
    </w:rPr>
  </w:style>
  <w:style w:type="paragraph" w:customStyle="1" w:styleId="RevisionAufzhlungStufe1">
    <w:name w:val="Revision Aufzählung (Stufe 1)"/>
    <w:basedOn w:val="Normal"/>
    <w:rsid w:val="00A147E3"/>
    <w:pPr>
      <w:numPr>
        <w:numId w:val="2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3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3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2080">
      <w:bodyDiv w:val="1"/>
      <w:marLeft w:val="0"/>
      <w:marRight w:val="0"/>
      <w:marTop w:val="0"/>
      <w:marBottom w:val="0"/>
      <w:divBdr>
        <w:top w:val="none" w:sz="0" w:space="0" w:color="auto"/>
        <w:left w:val="none" w:sz="0" w:space="0" w:color="auto"/>
        <w:bottom w:val="none" w:sz="0" w:space="0" w:color="auto"/>
        <w:right w:val="none" w:sz="0" w:space="0" w:color="auto"/>
      </w:divBdr>
    </w:div>
    <w:div w:id="493108304">
      <w:bodyDiv w:val="1"/>
      <w:marLeft w:val="0"/>
      <w:marRight w:val="0"/>
      <w:marTop w:val="0"/>
      <w:marBottom w:val="0"/>
      <w:divBdr>
        <w:top w:val="none" w:sz="0" w:space="0" w:color="auto"/>
        <w:left w:val="none" w:sz="0" w:space="0" w:color="auto"/>
        <w:bottom w:val="none" w:sz="0" w:space="0" w:color="auto"/>
        <w:right w:val="none" w:sz="0" w:space="0" w:color="auto"/>
      </w:divBdr>
    </w:div>
    <w:div w:id="710687424">
      <w:bodyDiv w:val="1"/>
      <w:marLeft w:val="0"/>
      <w:marRight w:val="0"/>
      <w:marTop w:val="0"/>
      <w:marBottom w:val="0"/>
      <w:divBdr>
        <w:top w:val="none" w:sz="0" w:space="0" w:color="auto"/>
        <w:left w:val="none" w:sz="0" w:space="0" w:color="auto"/>
        <w:bottom w:val="none" w:sz="0" w:space="0" w:color="auto"/>
        <w:right w:val="none" w:sz="0" w:space="0" w:color="auto"/>
      </w:divBdr>
    </w:div>
    <w:div w:id="889801152">
      <w:bodyDiv w:val="1"/>
      <w:marLeft w:val="0"/>
      <w:marRight w:val="0"/>
      <w:marTop w:val="0"/>
      <w:marBottom w:val="0"/>
      <w:divBdr>
        <w:top w:val="none" w:sz="0" w:space="0" w:color="auto"/>
        <w:left w:val="none" w:sz="0" w:space="0" w:color="auto"/>
        <w:bottom w:val="none" w:sz="0" w:space="0" w:color="auto"/>
        <w:right w:val="none" w:sz="0" w:space="0" w:color="auto"/>
      </w:divBdr>
    </w:div>
    <w:div w:id="1009406154">
      <w:bodyDiv w:val="1"/>
      <w:marLeft w:val="0"/>
      <w:marRight w:val="0"/>
      <w:marTop w:val="0"/>
      <w:marBottom w:val="0"/>
      <w:divBdr>
        <w:top w:val="none" w:sz="0" w:space="0" w:color="auto"/>
        <w:left w:val="none" w:sz="0" w:space="0" w:color="auto"/>
        <w:bottom w:val="none" w:sz="0" w:space="0" w:color="auto"/>
        <w:right w:val="none" w:sz="0" w:space="0" w:color="auto"/>
      </w:divBdr>
    </w:div>
    <w:div w:id="1070276787">
      <w:bodyDiv w:val="1"/>
      <w:marLeft w:val="0"/>
      <w:marRight w:val="0"/>
      <w:marTop w:val="0"/>
      <w:marBottom w:val="0"/>
      <w:divBdr>
        <w:top w:val="none" w:sz="0" w:space="0" w:color="auto"/>
        <w:left w:val="none" w:sz="0" w:space="0" w:color="auto"/>
        <w:bottom w:val="none" w:sz="0" w:space="0" w:color="auto"/>
        <w:right w:val="none" w:sz="0" w:space="0" w:color="auto"/>
      </w:divBdr>
    </w:div>
    <w:div w:id="1129133524">
      <w:bodyDiv w:val="1"/>
      <w:marLeft w:val="0"/>
      <w:marRight w:val="0"/>
      <w:marTop w:val="0"/>
      <w:marBottom w:val="0"/>
      <w:divBdr>
        <w:top w:val="none" w:sz="0" w:space="0" w:color="auto"/>
        <w:left w:val="none" w:sz="0" w:space="0" w:color="auto"/>
        <w:bottom w:val="none" w:sz="0" w:space="0" w:color="auto"/>
        <w:right w:val="none" w:sz="0" w:space="0" w:color="auto"/>
      </w:divBdr>
    </w:div>
    <w:div w:id="1224297167">
      <w:bodyDiv w:val="1"/>
      <w:marLeft w:val="0"/>
      <w:marRight w:val="0"/>
      <w:marTop w:val="0"/>
      <w:marBottom w:val="0"/>
      <w:divBdr>
        <w:top w:val="none" w:sz="0" w:space="0" w:color="auto"/>
        <w:left w:val="none" w:sz="0" w:space="0" w:color="auto"/>
        <w:bottom w:val="none" w:sz="0" w:space="0" w:color="auto"/>
        <w:right w:val="none" w:sz="0" w:space="0" w:color="auto"/>
      </w:divBdr>
    </w:div>
    <w:div w:id="1429306719">
      <w:bodyDiv w:val="1"/>
      <w:marLeft w:val="0"/>
      <w:marRight w:val="0"/>
      <w:marTop w:val="0"/>
      <w:marBottom w:val="0"/>
      <w:divBdr>
        <w:top w:val="none" w:sz="0" w:space="0" w:color="auto"/>
        <w:left w:val="none" w:sz="0" w:space="0" w:color="auto"/>
        <w:bottom w:val="none" w:sz="0" w:space="0" w:color="auto"/>
        <w:right w:val="none" w:sz="0" w:space="0" w:color="auto"/>
      </w:divBdr>
    </w:div>
    <w:div w:id="1612972436">
      <w:bodyDiv w:val="1"/>
      <w:marLeft w:val="0"/>
      <w:marRight w:val="0"/>
      <w:marTop w:val="0"/>
      <w:marBottom w:val="0"/>
      <w:divBdr>
        <w:top w:val="none" w:sz="0" w:space="0" w:color="auto"/>
        <w:left w:val="none" w:sz="0" w:space="0" w:color="auto"/>
        <w:bottom w:val="none" w:sz="0" w:space="0" w:color="auto"/>
        <w:right w:val="none" w:sz="0" w:space="0" w:color="auto"/>
      </w:divBdr>
    </w:div>
    <w:div w:id="20434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1816-CAE3-45EB-BCB8-C849A891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24</TotalTime>
  <Pages>47</Pages>
  <Words>18999</Words>
  <Characters>108298</Characters>
  <Application>Microsoft Office Word</Application>
  <DocSecurity>0</DocSecurity>
  <Lines>902</Lines>
  <Paragraphs>254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Pajung, Werner (A402)</dc:creator>
  <cp:keywords/>
  <dc:description/>
  <cp:lastModifiedBy>Liu, Lei</cp:lastModifiedBy>
  <cp:revision>11</cp:revision>
  <cp:lastPrinted>2021-01-03T10:24:00Z</cp:lastPrinted>
  <dcterms:created xsi:type="dcterms:W3CDTF">2021-02-08T10:13:00Z</dcterms:created>
  <dcterms:modified xsi:type="dcterms:W3CDTF">2021-02-08T11:24:00Z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der Justiz und für Verbraucherschutz</vt:lpwstr>
  </property>
  <property fmtid="{D5CDD505-2E9C-101B-9397-08002B2CF9AE}" pid="3" name="Bearbeitungsstand">
    <vt:lpwstr>Bearbeitungsstand: 01.02.2021  16:22 Uhr</vt:lpwstr>
  </property>
  <property fmtid="{D5CDD505-2E9C-101B-9397-08002B2CF9AE}" pid="4" name="Kategorie">
    <vt:lpwstr>AENDER/ARTGES</vt:lpwstr>
  </property>
  <property fmtid="{D5CDD505-2E9C-101B-9397-08002B2CF9AE}" pid="5" name="Classification">
    <vt:lpwstr> </vt:lpwstr>
  </property>
  <property fmtid="{D5CDD505-2E9C-101B-9397-08002B2CF9AE}" pid="6" name="Version">
    <vt:lpwstr>4.0.3.0</vt:lpwstr>
  </property>
  <property fmtid="{D5CDD505-2E9C-101B-9397-08002B2CF9AE}" pid="7" name="Created using">
    <vt:lpwstr>LW 5.4, Build 20190301</vt:lpwstr>
  </property>
  <property fmtid="{D5CDD505-2E9C-101B-9397-08002B2CF9AE}" pid="8" name="Last edited using">
    <vt:lpwstr>LW 5.4, Build 20200526</vt:lpwstr>
  </property>
  <property fmtid="{D5CDD505-2E9C-101B-9397-08002B2CF9AE}" pid="9" name="eNorm-Version Erstellung">
    <vt:lpwstr>4.0.3.1, Bundesregierung, [20190301]</vt:lpwstr>
  </property>
  <property fmtid="{D5CDD505-2E9C-101B-9397-08002B2CF9AE}" pid="10" name="eNorm-Version vorherige Bearbeitung">
    <vt:lpwstr>4.1.5 Bundesregierung [20200526]</vt:lpwstr>
  </property>
  <property fmtid="{D5CDD505-2E9C-101B-9397-08002B2CF9AE}" pid="11" name="eNorm-Version letzte Bearbeitung">
    <vt:lpwstr>4.1.5 Bundesregierung [20200526]</vt:lpwstr>
  </property>
  <property fmtid="{D5CDD505-2E9C-101B-9397-08002B2CF9AE}" pid="12" name="DQP-Ergebnis für Version 4">
    <vt:lpwstr>1 Fehler</vt:lpwstr>
  </property>
  <property fmtid="{D5CDD505-2E9C-101B-9397-08002B2CF9AE}" pid="13" name="eNorm-Version letzte DQP">
    <vt:lpwstr>4.1.5, Bundesregierung, [20200526]</vt:lpwstr>
  </property>
  <property fmtid="{D5CDD505-2E9C-101B-9397-08002B2CF9AE}" pid="14" name="Meta_Bezeichnung">
    <vt:lpwstr>Entwurf eines Ersten Gesetzes zur Änderung des Umweltstatistikgesetzes und anderer Gesetze</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Dieses Gesetz wurde notifiziert gemäß der Richtlinie 94/62/EG des Europäischen Parlaments und des Rates vom 20. Dezember 1994 über Verpackungen und Verpackungsabfälle (ABl. L 365 vom 31.12.1994, S. 10) zuletzt geändert durch die Richtlinie (EU) 2018/852 d</vt:lpwstr>
  </property>
  <property fmtid="{D5CDD505-2E9C-101B-9397-08002B2CF9AE}" pid="20" name="Meta_Umsetzung von EU-Recht_2">
    <vt:lpwstr>es Europäischen Parlaments und des Rates vom 30. Mai 2018 (ABL. L 150 vom 14.06.2018, S. 141).</vt:lpwstr>
  </property>
  <property fmtid="{D5CDD505-2E9C-101B-9397-08002B2CF9AE}" pid="21" name="Meta_Anlagen">
    <vt:lpwstr/>
  </property>
</Properties>
</file>