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BELGIJOS KARALYSTĖ</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FEDERALINĖ VIEŠOJI TEISINGUMO TARNYBA</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2022 BIRŽELIO 19 D. Karališkasis dekretas, kuriuo nustatomos Belgijos lošimų komisijos konsultavimosi su </w:t>
            </w:r>
            <w:r>
              <w:rPr>
                <w:rFonts w:ascii="Calibri" w:hAnsi="Calibri"/>
                <w:b/>
                <w:i/>
                <w:iCs/>
                <w:sz w:val="24"/>
              </w:rPr>
              <w:t>Centrale des crédits aux particuliers</w:t>
            </w:r>
            <w:r>
              <w:rPr>
                <w:rFonts w:ascii="Calibri" w:hAnsi="Calibri"/>
                <w:b/>
                <w:sz w:val="24"/>
              </w:rPr>
              <w:t xml:space="preserve"> (Centrinis kreditų fiziniams asmenims registras) procedūros ir iš dalies keičiamos nuostatos dėl internetinių azartinių lošimų apribojimo</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ATASKAITA KARALIUI</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Jūsų Didenybe,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šį Jums pateiktą Karališkojo dekreto projektą sudaro dvi dalys. Pirma, juo siekiama įgyvendinti 1999 m. gegužės 7 d. Įstatymo dėl azartinių lošimų, lažybų, lošimų įstaigų ir lošėjų apsaugos 55/1 straipsnį (toliau – Azartinių lošimų įstatymas). Antra, jame pateikiami 2018 m. spalio 25 d. Karališkojo dekreto dėl azartinių lošimų ir lažybų naudojantis informacinės visuomenės paslaugomis vykdymo procedūrų 6 straipsnio 1 dalies 1 punkto pakeitimai ir išaiškinimas.</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Projektas buvo pateiktas Duomenų apsaugos tarnybai, kuri 2021 m. spalio 4 d. pateikė nuomonę Nr. 177/2021. Į daugumą Duomenų apsaugos tarnybos pastabų buvo atsižvelgta ir jos atsispindi toliau pateiktose pastabose dėl atskirų straipsnių.</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2021 m. gruodžio 9 d. pateikus pranešimą 2021/0845/B Europos Komisijai pagal 2015 m. rugsėjo 9 d. Europos Parlamento ir Tarybos direktyvos (ES) 2015/1535, kuria nustatoma informacijos apie techninius reglamentus ir informacinės visuomenės paslaugų taisykles teikimo tvarka, 5 straipsnio 1 dalį, dėl projekto Europos Komisija ar valstybės narės pastabų negavo.</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Prieš nagrinėjant dalį, susijusią su 55/1 straipsnio įgyvendinimu, reikia patikslinti minėto 2018 m. spalio 25 d. Karališkojo dekreto 6 straipsnio 1 dalies 1 punkto pakeitimą. Iš tiesų šio dekreto, kuriuo įgyvendinamas 55/1 straipsnis, nuostatomis siekiama atlikti 2018 m. spalio 25 d. Karališkojo dekreto 6 straipsnio 1 dalies 1 punkto b papunktyje numatytą užduotį.</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Pirmasis pakeitimas susijęs su a punktu, kuriame nustatyta, kad </w:t>
            </w:r>
            <w:r>
              <w:rPr>
                <w:rFonts w:ascii="Calibri" w:hAnsi="Calibri"/>
                <w:i/>
                <w:sz w:val="24"/>
              </w:rPr>
              <w:t>„lošėjas gali papildyti savo internetines lošėjo sąskaitas ne daugiau kaip 500 EUR per savaitę visuose azartiniuose lošimuose ir lažybose, kuriuose jis dalyvauja“.</w:t>
            </w:r>
            <w:r>
              <w:rPr>
                <w:rFonts w:ascii="Calibri" w:hAnsi="Calibri"/>
                <w:sz w:val="24"/>
              </w:rPr>
              <w:t xml:space="preserve"> Numatytoji azartinių lošimų ribos suma sumažinama iki 200 EUR, siekiant padidinti lošėjų apsaugą.  Be to, išbraukiami žodžiai „visuose azartiniuose lošimuose ir lažybose, kuriuose jis dalyvauja“. Paaiškėjo, kad bendra lošimo riba (galioja visoms svetainėms), kuri nebuvo praktiškai įgyvendinta nuo Karališkojo dekreto įsigaliojimo 2018 m., yra techniškai nereali. Ji taip pat turi daug trūkumų. Bendra riba turėtų apsaugoti lošėjus nuo azartinių lošimų pavojų ir išvengti pernelyg didelių išlaidų, susijusių su lošimais. Tačiau reikėtų pažymėti, kad dabartinė lošimų riba nesuteikia lošėjams kokybiškos apsaugos. Tai taikoma tik teisėtiems </w:t>
            </w:r>
            <w:r>
              <w:rPr>
                <w:rFonts w:ascii="Calibri" w:hAnsi="Calibri"/>
                <w:sz w:val="24"/>
              </w:rPr>
              <w:lastRenderedPageBreak/>
              <w:t>internetiniams azartiniams lošimams, todėl lošėjai vis dar gali eiti į fizines lošimo įstaigas. Dėl duomenų, susijusių su bendra azartinių lošimų riba, tvarkymo lošėjai gali būti linkę prašyti dideliu mastu padidinti jų ribą, kad daugiau nebūtų tvarkomi duomenys.</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Todėl, atsižvelgiant į tai, kas išdėstyta pirmiau, pageidautina panaikinti bendrą ribos pobūdį ir išlaikyti ją iki vienos interneto svetainės ribos, kartu sumažinant numatytąją ribą. Taip geriau apsaugomi lošėjai, ypač labiausiai pažeidžiami iš jų.</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Tai reiškia, kad lošėjas, norintis padidinti savo 200 EUR azartinių lošimų ribą, per licencijos turėtoją pateikia Lošimų komisijai paraišką. Azartinių lošimų komisija per tris dienas patikrina, ar yra žinoma, kad lošėjas neįvykdė mokėjimo įsipareigojimų Belgijos nacionalinio banko Centriniame kreditų fiziniams asmenims registre. Jei nėra žinoma, ar lošėjas vykdo savo įsipareigojimą, jam bus leidžiama padidinti savo lošimo ribą su tuo licencijos savininku taikant tam tikrą jo pasirinktą sumą.</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Todėl pagal Azartinių lošimų įstatymo 55/1 straipsnį būtina pateikti nuostatas, pagal kurias komisija gali Belgijos nacionalinio banko paklausti, ar yra žinoma, kad asmuo neįvykdė mokėjimo įsipareigojimų Belgijos nacionalinio banko Centriniame kreditų fiziniams asmenims registre. Šių nuostatų tikslas – sudaryti sąlygas komisijai vykdyti lošėjo apsaugos užduotis, jai pavestas minėtu įstatymu ir jo įgyvendinimo dekretais.</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Minėto 2018 m. spalio 25 d. dekreto 6 straipsnio 1 dalies 1 punkte numatytas visiems lošėjams automatiškai taikomas apribojimas, susijęs su jų lošėjų sąskaitų papildymu azartiniams lošimams ir lažyboms naudojantis informacinės visuomenės paslaugomis. Pagal 2018 m. spalio 25 d. Karališkojo dekreto su pakeitimais, padarytais šiuo dekretu, 6 straipsnio 1 dalies 1 punkto b papunktį lošėjai gali prašyti padidinti šią lošimo ribą. Tačiau, išskyrus atvejus, apibrėžtus 2018 m. spalio 25 d. Karališkojo dekreto 13 straipsnio 2 dalyje numatytoje pereinamojo laikotarpio priemonėje, toks padidinimas gali būti taikomas tik tuo atveju, jei Nacionalinis bankas Azartinių lošimų komisijai patvirtina, kad nėra žinoma, jog lošėjas neįvykdė mokėjimų Centriniame kreditų fiziniams asmenims registre. Norėdami tai patikrinti, lošimų operatoriai turi perduoti tam tikrus lošėjo duomenis Azartinių lošimų komisijai, kuri savo ruožtu turi galėti Nacionaliniame banke patikrinti, ar lošėjas yra žinomas atitinkamame registre.</w:t>
            </w:r>
            <w:r>
              <w:rPr>
                <w:rFonts w:ascii="Times New Roman" w:hAnsi="Times New Roman"/>
                <w:sz w:val="24"/>
              </w:rPr>
              <w:t xml:space="preserve"> </w:t>
            </w:r>
            <w:r>
              <w:rPr>
                <w:rFonts w:ascii="Calibri" w:hAnsi="Calibri"/>
                <w:sz w:val="24"/>
              </w:rPr>
              <w:t>Ši sistema reiškia, kad Karališkasis dekretas yra būtinas siekiant reglamentuoti būdą, kuriuo Komisija gali prašyti nacionalinio banko, ar asmuo nesilaiko mokėjimo įsipareigojimų Centriniame kreditų fiziniams asmenims registre, kaip nustatyta įstatymo 55/1 straipsnyje.</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Todėl šio dekreto nuostatomis siekiama atlikti minėto dekreto 6 straipsnio 1 dalies 1 punkto b papunktyje numatytą užduotį.</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Pastabos dėl straipsnių</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1 straipsnis</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Duomenų apsaugos tarnybos nuomonę, šiame straipsnyje nurodomas tikslas, kuriuo Azartinių lošimų komisija gali susipažinti su Belgijos nacionalinio banko Centriniu kredito fiziniams asmenims registru. Būtent Azartinių lošimų komisija turi patikrinti, ar asmuo, prašantis padidinti jo lošimo ribą, yra žinomas kaip vykdantis mokėjimo įsipareigojimus Belgijos nacionalinio banko Centriniame kreditų fiziniams asmenims registre.</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2 straipsnis</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Belgijos nacionalinis bankas, kaip duomenų valdytojas, nustato technines priemones, kad Azartinių lošimų komisija galėtų susipažinti su duomenimis Belgijos nacionalinio banko Centriniame kreditų fiziniams asmenims registre.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Šiame straipsnyje atsižvelgiama į Duomenų apsaugos tarnybos nuomonę.</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3 straipsnis</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Remiantis Duomenų apsaugos tarnybos nuomone, 3 straipsnyje nurodoma, kokius identifikavimo duomenis Azartinių lošimų komisija gali perduoti Belgijos nacionaliniam bankui.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Kad Azartinių lošimų komisija galėtų pateikti prašymą Belgijos nacionaliniam bankui, komisija turi turėti nacionalinį lošėjo,</w:t>
            </w:r>
            <w:r>
              <w:rPr>
                <w:rFonts w:ascii="Times New Roman" w:hAnsi="Times New Roman"/>
                <w:sz w:val="24"/>
              </w:rPr>
              <w:t xml:space="preserve"> </w:t>
            </w:r>
            <w:r>
              <w:rPr>
                <w:rFonts w:ascii="Calibri" w:hAnsi="Calibri"/>
                <w:sz w:val="24"/>
              </w:rPr>
              <w:t>kuris prašo padidinti lošėjo lošimų ribą, registracijos numerį arba, jei jis nežinomas operatoriui, kuris perduoda duomenis Azartinių lošimų komisijai, lošėjo pavardę, vardą ir gimimo datą. Duomenys apie užregistruotas paskolas neteikiami.</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Šioje nuostatoje taip pat numatyta operatorių pareiga šiuos duomenis pridėti prie pranešimo, numatyto 2018 m. spalio 25 d. dekreto 6 straipsnio 1 dalies 1 punkto b papunkčio 2 dalyje. Jei operatoriai to nedaro, Azartinių lošimų komisija negali atlikti savo užduoties.</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4 straipsnis</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Atsižvelgiant į Duomenų apsaugos tarnybos nuomonę, 4 straipsnyje nustatytas Azartinių lošimų komisijos nacionalinio registracijos numerio arba lošėjo identifikavimo duomenų saugojimo laikotarpis.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5 straipsnis</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5 straipsnis susijęs su Azartinių lošimų komisijos ir Belgijos nacionalinio banko žurnalų failų saugojimu, kaip to prašo Duomenų apsaugos tarnyba.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Savo nuomonėje Duomenų apsaugos tarnyba teigia, kad „</w:t>
            </w:r>
            <w:r>
              <w:rPr>
                <w:rFonts w:ascii="Calibri" w:hAnsi="Calibri"/>
                <w:i/>
                <w:sz w:val="24"/>
              </w:rPr>
              <w:t xml:space="preserve">Šis failas turi būti apsaugotas nuo bet kokių pakeitimų, saugomas 10 metų nuo konsultacijos dienos ir pirmą kartą paprašius turi būti pateiktas Duomenų apsaugos tarnybai.“ </w:t>
            </w:r>
            <w:r>
              <w:rPr>
                <w:rFonts w:ascii="Calibri" w:hAnsi="Calibri"/>
                <w:sz w:val="24"/>
              </w:rPr>
              <w:t xml:space="preserve">Tačiau šis saugojimo laikotarpis turi būti pritaikytas prie 2021 m. lapkričio 28 d. Įstatymo dėl Kreditų įmonėms registro organizavimo 12 straipsnio 3 dalyje numatyto saugojimo laikotarpio trukmės, t. y. 5 metus, nes Centrinio kreditų fiziniams asmenims registro ir Kreditų įmonėms registro duomenys yra toje pačioje sistemoje. Todėl Belgijos nacionalinis bankas negali moduliuoti žurnalų failų saugojimo laikotarpio pagal naudotojo galimybes ar naudojamą funkciją.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35261F" w14:textId="77777777" w:rsidR="00B670C6" w:rsidRDefault="00B670C6" w:rsidP="00914531">
            <w:pPr>
              <w:widowControl w:val="0"/>
              <w:autoSpaceDE w:val="0"/>
              <w:autoSpaceDN w:val="0"/>
              <w:adjustRightInd w:val="0"/>
              <w:jc w:val="both"/>
              <w:rPr>
                <w:rFonts w:ascii="Calibri" w:hAnsi="Calibri"/>
                <w:b/>
                <w:sz w:val="24"/>
              </w:rPr>
            </w:pPr>
          </w:p>
          <w:p w14:paraId="6BB01820" w14:textId="3433BF0D"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6 straipsnis</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Atsižvelgiant į Duomenų apsaugos tarnybos nuomonę, teisę susipažinti su Centrinio kreditų fiziniams asmenims registro duomenimis gali turėti tik Azartinių lošimų komisijos paskirti asmenys, kurių pareigos to reikalauja. Remiantis ta nuomone, straipsnyje taip pat numatyta </w:t>
            </w:r>
            <w:r>
              <w:rPr>
                <w:rFonts w:ascii="Calibri" w:hAnsi="Calibri"/>
                <w:sz w:val="24"/>
              </w:rPr>
              <w:lastRenderedPageBreak/>
              <w:t>naudoti griežtą tapatumo nustatymo sistemą prieigai valdyti, t. y. tapatumo nustatymą naudojant elektroninę tapatybės kortelę, kiek tai susiję su Azartinių lošimų komisijos arba Belgijos nacionalinio banko prašymu. Taigi, kai, kalbant apie vieną iš dviejų pirmiau minėtų prašymų, tapatumo nustatymas gali būti atliekamas naudojant elektroninę tapatybės kortelę, šios nuostatos yra laikomasi.</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Šiuo metu, naudojantis Centrinio kreditų fiziniams asmenims registro duomenimis, prisijungimas atliekamas tik su Belgijos nacionalinio banko išduotu (grupės) pažymėjimu, o ne su elektronine tapatybės kortele.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Reikėtų pažymėti, kad čia minimas procesas vykdomas dviem etapais.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Kai lošėjas per operatorių Azartinių lošimų komisijos prašo padidinti lošimų ribą, Belgijos nacionalinio banko Centrinio kreditų asmenims registro kontrolė atliekama automatiškai, be žmogaus įsikišimo ir todėl be tapatumo nustatymo.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Kai vėlesniame etape būtinas žmogaus įsikišimas, visų pirma Azartinių lošimų komisijos darbuotojų, kuriems to reikia savo pareigoms atlikti, turi būti įmanoma patvirtinti elektroninės tapatybės kortelės autentiškumą. Tačiau ši tapatybės nustatymo sistema šiuo metu nėra įdiegta ir ją sukurti prireiks kelių mėnesių.</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7 straipsnis</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7 straipsnyje nustatytas duomenų, kuriuos Azartinių lošimų komisija renka iš Centrinio kreditų fiziniams asmenims registro, saugojimo laikotarpis.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8 straipsnis</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Galiausiai šio dekreto 8 straipsnyje nurodyta, kad šių konsultacijų su Belgijos nacionaliniu banku išlaidas padengs Azartinių lošimų komisijos fondas, nurodytas Azartinių lošimų įstatymo 19 straipsnio 2 dalyje. Todėl patys licencijos savininkai per įmokų sistemą moka Nacionaliniam bankui. Šis metodas yra visiškai pagrįstas lošėjų apsaugos požiūriu.</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9 straipsnis</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Šio dekreto 9 straipsniu iš dalies keičiamas 2018 m. spalio 25 d. Karališkojo dekreto</w:t>
            </w:r>
            <w:r>
              <w:rPr>
                <w:rFonts w:ascii="Times New Roman" w:hAnsi="Times New Roman"/>
                <w:sz w:val="24"/>
              </w:rPr>
              <w:t xml:space="preserve"> </w:t>
            </w:r>
            <w:r>
              <w:rPr>
                <w:rFonts w:ascii="Calibri" w:hAnsi="Calibri"/>
                <w:sz w:val="24"/>
              </w:rPr>
              <w:t xml:space="preserve">dėl azartinių lošimų ir lažybų naudojantis informacinės visuomenės paslaugomis vykdymo procedūrų 6 straipsnio 1 dalies 1 punktas.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97C16B7" w14:textId="77777777" w:rsidR="00B670C6" w:rsidRDefault="00B670C6" w:rsidP="00914531">
            <w:pPr>
              <w:widowControl w:val="0"/>
              <w:autoSpaceDE w:val="0"/>
              <w:autoSpaceDN w:val="0"/>
              <w:adjustRightInd w:val="0"/>
              <w:jc w:val="both"/>
              <w:rPr>
                <w:rFonts w:ascii="Calibri" w:hAnsi="Calibri"/>
                <w:b/>
                <w:sz w:val="24"/>
              </w:rPr>
            </w:pPr>
          </w:p>
          <w:p w14:paraId="6527730E" w14:textId="5204494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10 straipsnis</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10 straipsnyje nustatyta, kad įsigalioja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Karališkasis dekretas. Atsižvelgiant į Duomenų apsaugos tarnybos pastabas, turi įvykti daug technologinių pokyčių. Dėl šios priežasties Azartinių lošimų komisijai reikia 3 mėnesių laikotarpio.</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11 straipsnis</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11 straipsnyje numatyta pereinamojo laikotarpio priemonė. Taigi šiame straipsnyje numatyta, kad </w:t>
            </w:r>
            <w:r>
              <w:rPr>
                <w:rFonts w:ascii="Calibri" w:hAnsi="Calibri"/>
                <w:sz w:val="24"/>
              </w:rPr>
              <w:lastRenderedPageBreak/>
              <w:t>įsigaliojant Karališkajam dekretui visų lošėjų sąskaitoms taikoma lošimų riba yra 9 straipsnyje nurodyta lošimų riba, t. y.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Iš tiesų savo 2022 m. gegužės 12 d. Dekrete Nr. 253.722 Valstybės Taryba aiškiai nurodė, kad lošimų riba pagal 2018 m. spalio 25 d. Karališkojo dekreto 6 straipsnį gali būti padidinta tik po to, kai faktiškai nustatoma, kad lošėjas nėra įregistruotas kaip neįvykdęs mokėjimo. Kitaip tariant, jeigu nebus taikoma ankstesnė 2018 m. spalio 25 d. Karališkojo dekreto 13 straipsnio pereinamojo laikotarpio nuostata, niekas negalės pasinaudoti padidėjusia suma.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Praktiškai paaiškėja, kad Azartinių lošimų komisija negali tiksliai žinoti, kada anksčiau buvo suteikta padidinta suma. Geriausias sprendimas lošėjo apsaugai užtikrinti yra sumažinti visas ribas iki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12 straipsnis</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12 straipsnyje pateikiamas įgyvendinimo straipsnis.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Mes turime garbę būti,</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Jūsų Didenybe,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Jūsų Didenybės,</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garbingiausias</w:t>
            </w:r>
            <w:r>
              <w:rPr>
                <w:rFonts w:ascii="Calibri" w:hAnsi="Calibri"/>
                <w:sz w:val="24"/>
              </w:rPr>
              <w:br/>
              <w:t>ir ištikimiausias tarnas,</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Ekonomikos ministras</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 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Finansų ministras</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Visuomenės sveikatos ministras</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Teisingumo ministras</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Vidaus reikalų ministrė</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Valstybės sekretorė, atsakinga už nacionalinės loterijos klausimus</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2022 M. BALANDŽIO 19 D. VALSTYBĖS TARYBOS TEISĖKŪROS SKYRIAUS NUOMONĖ 71.218/4 DĖL KARALIŠKOJO DEKRETO, KURIUO NUSTATOMOS BELGIJOS AZARTINIŲ LOŠIMŲ KOMISIJOS KONSULTAVIMOSI SU </w:t>
            </w:r>
            <w:r>
              <w:rPr>
                <w:rFonts w:ascii="Calibri" w:hAnsi="Calibri"/>
                <w:i/>
                <w:iCs/>
                <w:sz w:val="24"/>
              </w:rPr>
              <w:t>CENTRALE DES CRÉDITS AUX PARTICULIERS</w:t>
            </w:r>
            <w:r>
              <w:rPr>
                <w:rFonts w:ascii="Calibri" w:hAnsi="Calibri"/>
                <w:sz w:val="24"/>
              </w:rPr>
              <w:t xml:space="preserve"> (CENTRINIS KREDITŲ FIZINIAMS ASMENIMS REGISTRAS) PROCEDŪROS IR IŠ DALIES KEIČIAMOS NUOSTATOS DĖL INTERNETINIŲ AZARTINIŲ LOŠIMŲ APRIBOJIMO PROJEKTO</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2022 m. kovo 18 d. Ministro Pirmininko pavaduotojas bei teisingumo ir Šiaurės jūros ministras paprašė Valstybės Tarybos Teisėkūros skyriaus per 30 dienų pateikti nuomonę dėl Karališkojo </w:t>
            </w:r>
            <w:r>
              <w:rPr>
                <w:rFonts w:ascii="Calibri" w:hAnsi="Calibri"/>
                <w:sz w:val="24"/>
              </w:rPr>
              <w:lastRenderedPageBreak/>
              <w:t xml:space="preserve">dekreto, kuriuo nustatomos Belgijos lošimų komisijos konsultavimosi su </w:t>
            </w:r>
            <w:r>
              <w:rPr>
                <w:rFonts w:ascii="Calibri" w:hAnsi="Calibri"/>
                <w:i/>
                <w:iCs/>
                <w:sz w:val="24"/>
              </w:rPr>
              <w:t>Centrale des crédits aux particuliers</w:t>
            </w:r>
            <w:r>
              <w:rPr>
                <w:rFonts w:ascii="Calibri" w:hAnsi="Calibri"/>
                <w:sz w:val="24"/>
              </w:rPr>
              <w:t xml:space="preserve"> (Centrinis kreditų fiziniams asmenims registras) procedūros ir iš dalies keičiamos nuostatos dėl internetinių azartinių lošimų apribojimo.</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Projektą 2022 m. balandžio 19 d. išnagrinėjo ketvirtoji kolegija. Kolegiją sudarė kolegijos pirmininkė Martine BAGUET, valstybės tarybos narys Luc CAMBIERA ir Bernard Blero bei teismo kancleris Charles-Henri VAN HOVE.</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Ataskaitą pristatė vyresnysis auditorius Stéphane TELLIER.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Teksto prancūzų ir olandų kalbomis atitikimas buvo patikrintas kontroliuojant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Nuomonė, kurios tekstas pateikiamas, buvo paskelbta 2022 m. balandžio 19 d.</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Kadangi prašymas pateikti nuomonę pateikiamas remiantis 1973 m. sausio 12 d. Valstybės Tarybos įstatymo 84 straipsnio 1 dalies 1 punkto 2 papunkčiu, Teisėkūros skyriuje nagrinėjamas tik projekto teisinis pagrindas, dokumento autoriaus kompetencija ir išankstinių formalumų užbaigimas pagal minėtų konsoliduotų įstatymų 84 straipsnio 3 dalį.</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Dėl šių trijų punktų projekte raginama pateikti šias pastabas.</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BENDROSIOS PASTABOS</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Remiantis 1999 m. gegužės 7 d. Įstatymo dėl azartinių lošimų, lažybų, azartinių lošimų įstaigų ir lošėjų apsaugos 55/1 straipsniu, nagrinėjamame Karališkajame dekrete nustatyta tvarka, skirta Azartinių lošimų komisijai (toliau – komisija) susipažinti su Belgijos nacionalinio banko Centrinio kreditų fiziniams asmenims registro (toliau – registras) duomenimis.</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Tai darant Karališkojo dekreto projekte numatyti nauji asmens duomenų tvarkymo atvejai.</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2021 m. balandžio 7 d. pateiktoje Nuomonėje Nr. 68.936/AG dėl preliminaraus projekto, kuris tapo 2021 m. rugpjūčio 14 d. Įstatymu dėl administracinės policijos priemonių ekstremaliosios epidemijos atveju (1), Teisėkūros skyrius pažymėjo, kad:</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Konstitucijos 22 straipsnis ir EŽTK 8 straipsnis</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Preliminaraus projekto 6 straipsnyje numatytas asmens duomenų tvarkymas, kuriuo pažeidžiama atitinkamų asmenų teisė į privatų gyvenimą, užtikrinamas visų pirma Konstitucijos 22 straipsniu ir EŽTK 8 straipsniu.</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Kad būtų priimtinas pagal minėtas nuostatas, teisės į privatumą įgyvendinimo apribojimas turi būti apibrėžtas aiškiai ir pakankamai tiksliai, kad būtų galima nuspėjamai suprasti atvejus, kuriais teisės aktų leidėjas leidžia tokį kišimąsi.</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Be to, bet koks teisės į privatumą pažeidimas turi būti grindžiamas objektyviu ir pagrįstu pagrindimu ir būti proporcingas teisės aktų leidėjo siekiamiems tikslams (2). Jeigu nagrinėjamame įstatymo projekte numatytais apribojimais siekiama teisėto tikslo, t. y. sveikatos apsaugos ir kitų asmenų teisių ir laisvių apsaugos (3), turi būti patikrinta, ar laikomasi teisėtumo, aktualumo ir proporcingumo reikalavimų.</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c) Konstitucijos 22 straipsnyje įtvirtintas teisėtumo principas</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Pagal Konstitucijos 22 straipsnį bet kokiam asmens duomenų tvarkymui ir apskritai bet kokiam teisės į privatumą pažeidimui taikomas formalaus teisėtumo principas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Konstitucijos 22 straipsniu, paliekant kompetentingam įstatymų leidėjui teisę nustatyti, kokiais atvejais ir kokiomis sąlygomis gali būti pažeista teisė į privatumą, kiekvienam piliečiui garantuojama, kad negali būti kišamasi į šios teisės įgyvendinimą, išskyrus atvejus, kai laikomasi patariamosios, demokratiškai išrinktos asamblėjos priimtų taisyklių. Tačiau perdavimas kitai institucijai neprieštarauja teisėtumo principui, jeigu leidimas yra pakankamai tiksliai apibrėžtas ir susijęs su priemonių, kurių „esminius elementus“ iš anksto nustato teisės aktų leidėjas (5), įgyvendinimu.</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Todėl asmens duomenų tvarkymo „esminiai elementai“ turi būti nustatyti pačiame įstatyme. Šiuo atžvilgiu Teisėkūros skyrius mano, kad, neatsižvelgiant į atitinkamą klausimą, iš esmės „esminiai elementai“ yra šie: 1) tvarkomų duomenų kategorijos; 2) atitinkamų asmenų kategorijos; 3) duomenų tvarkymo tikslas; 4) asmenų, turinčių prieigą prie tvarkomų duomenų, kategorijos; ir 5) ilgiausias duomenų saugojimo laikotarpis“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Paklausta apie tai, kaip laikomasi pirmiau minėto teisėtumo principo ir ar egzistuoja teisinė nuostata, kurioje apibrėžiami šie esminiai elementai, ministro atstovė pareiškė:</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„Mūsų nuomone, esminiai elementai jau yra įstatymo, kuriuo Karaliui suteikiami įgaliojimai nustatyti procedūras, pagal kurias Azartinių lošimų komisija turi susipažinti su Centrinio kreditų fiziniams asmenims registro duomenimis, straipsnyje. Atsižvelgiant į 1999 m. gegužės 7 d. Įstatymo dėl azartinių lošimų, lažybų, lošimo įstaigų ir lošėjų apsaugos 55/1 straipsnį, nustatoma, kad: „Tam, kad Komisija galėtų vykdyti lošėjų apsaugos užduotis, jai pavestas šiuo įstatymu ir jo įgyvendinimo dekretais, Karalius nustato tvarką, pagal kurią Komisija gali Belgijos nacionalinio banko paklausti, ar asmuo neįvykdo mokėjimo įsipareigojimų Belgijos nacionalinio banko Centriniame kreditų fiziniams asmenims registre.“</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Šioje nuostatoje pateikiami esminiai jūsų klausime išdėstyti elementai:</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tvarkomų duomenų kategorija: ar asmuo vykdo mokėjimo įsipareigojimus;</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atitinkamų asmenų kategorija: fiziniai asmenys;</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duomenų tvarkymo tikslas: sudaryti sąlygas komisijai vykdyti lošėjo apsaugos užduotis, nustatytas įstatymu ir jo įgyvendinimo dekretais;</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prieigą prie duomenų turinčių asmenų kategorijos: komisija;</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Karališkojo dekreto projektu reglamentuojama techninė konsultavimosi tvarka ir šiuo tikslu išsamiai aptariami įvairūs esminiai elementai jų nekeičiant, taigi iš dalies nekeičiant įstatymo.“</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Dėl tvarkomų duomenų kategorijų pažymėtina, kad pagal 1999 m. gegužės 7 d. įstatymo 55/1 straipsnį negalima nustatyti duomenų, tvarkomų vykdant komisijos priežiūros užduotį, kategorijų. Šių kategorijų tiksliai numatyti dekreto projekto 3 straipsnio 1 dalies 2 punkto 1 ir 2 papunkčiuose ir 2 dalies 3 punkte.</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Be to, kalbant apie ilgiausią duomenų saugojimo laikotarpį, projekto 4 ir 7 straipsniuose šis saugojimo laikotarpis numatytas labai plačiai.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Karaliaus įgaliojimas priimti minėtas nuostatas turėtų būti toliau suformuluotas siekiant užtikrinti, kad šis leidimas atitiktų pirmiau nurodytą teisėtumo principą ir kad būtų užtikrintas didesnis teisinis tikrumas.</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2.    Projekto 9 straipsnyje numatytas pakeitimas susijęs su 2018 m. spalio 25 d. Karališkojo dekreto dėl azartinių lošimų ir lažybų naudojantis informacinės visuomenės paslaugomis vykdymo procedūrų 6 straipsnio 1 dalies 1 punkto a papunkčiu ir juo siekiama nustatyti didžiausią internetinių lošėjų sąskaitų sumą – 200 EUR per savaitę, o ne 500 EUR per savaitę, ir panaikinti paaiškinimą, kad šis apribojimas taikomas „visiems azartiniams lošimams ir lažyboms, kuriuose jis dalyvauja“.</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Kalbant apie 9 straipsnyje numatytos priemonės proporcingumą, pažymėtina, kad Karaliui skirtoje ataskaitoje dėl 2018 m. spalio 25 d. Karališkojo dekreto iš esmės nurodyta, kad joje atsižvelgiama į Europos Sąjungos Teisingumo Teismo praktiką azartinių lošimų srityje, pagal kurią su azartiniais lošimais susijusios veiklos apribojimas gali būti pateisinamas įtikinamais bendrojo intereso pagrindais, kaip antai vartotojų apsauga, kova su sukčiavimu ir siekiu neleisti piliečiams iššvaistyti savo pinigų azartiniuose lošimuose. Ataskaitoje taip pat teigiama, kad „atsižvelgiant į lošėjų apsaugos tikslus ir būtinybę vengti bet kokių paskatų lošėjams švaistyti pinigus, griežtesnių taisyklių nustatymas yra pagrįstai pateisinamas atsižvelgiant į tai, kad tam tikros rūšies lošimas kelia didelę priklausomybės ir pinigų iššvaistymo riziką“. Kalbant apie 2018 m. spalio 25 d. Karališkojo dekreto 6 straipsnį, Karaliui skirtoje ataskaitoje nurodyta, kad „siekiant veiksmingai kovoti su pinigų iššvaistymu ir priklausomybe nuo azartinių lošimų, būtina nustatyti azartinių lošimų apribojimus: lošėjas gali papildyti savo internetines lošėjo sąskaitas ne daugiau kaip 500 EUR per savaitę visų azartinių lošimų ir lošimų, kuriuose jis dalyvauja, metu.</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Nors siūlomas 2018 m. spalio 25 d. Karališkojo dekreto 6 straipsnio 1 dalies 1 punkto a papunkčio pakeitimas atrodo labiau ribojantis, nes juo maksimali suma, kuria galima papildyti internetines lošėjų sąskaitas, sumažinama iki 200 EUR, tai visų pirma atrodo leistina, nes jame nebenumatoma, kad šis apribojimas taikomas „visiems azartiniams lošimams ir lažyboms, kuriuose jis dalyvauja“, o tai turi būti suprantama taip, kad riba taikoma tik internetiniams lošimams ar lažybų svetainei, kurioje lošėjas turi sąskaitą.</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Ataskaitoje Karaliui pagrindžiamas žodžių „dėl visų azartinių lošimų ir lažybų, kuriuose jis dalyvauja“ išbraukimas:</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Pirmasis pakeitimas susijęs su a punktu, kuriame nustatyta, kad „lošėjas gali papildyti savo internetines lošėjo sąskaitas ne daugiau kaip 500 EUR per savaitę visuose azartiniuose lošimuose ir lažybose, kuriuose jis dalyvauja“. Numatytoji azartinių lošimų ribos suma sumažinama iki 200 EUR, siekiant padidinti lošėjų apsaugą. Be to, išbraukiami žodžiai „visuose azartiniuose lošimuose ir lažybose, kuriuose jis dalyvauja“. Paaiškėjo, kad bendra lošimo riba (galioja visoms svetainėms), kuri nebuvo praktiškai įgyvendinta nuo Karališkojo dekreto įsigaliojimo 2018 m., yra techniškai nereali. Ji taip pat turi daug trūkumų. Todėl pageidautina panaikinti bendrą ribos pobūdį ir išlaikyti ją iki ribos kiekvienoje svetainėje, tuo pačiu sumažinant numatytąją ribą. Taip geriau apsaugomi lošėjai, ypač labiausiai pažeidžiami iš jų.“</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Iš siūlomo pakeitimo matyti, kad nors teoriškai, remiantis dabartine taisykle, lošėjui nustatoma 500 EUR per savaitę kredito riba visiems azartiniams lošimams pagal siūlomą schemą, lošėjas, jei jis turi daugiau nei vieną lošėjo sąskaitą skirtingose internetinių lošimų svetainėse, gali papildyti savo lošėjo sąskaitas iki gerokai didesnės sumos, pavyzdžiui, iš viso 1 000 EUR per savaitę, jei jis turi penkias lošėjo sąskaitas.</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siekiamą tikslą apsaugoti vartotojus ir veiksmingai kovoti su pinigų iššvaistymu ir priklausomybe nuo azartinių lošimų, atskaita Karaliui bus papildyta siekiant aiškiau išdėstyti elementus, leidžiančius manyti, kad siūlomas pakeitimas iš tiesų yra tokio pobūdžio, kad geriau apsaugomi lošėjai, ypač labiausiai pažeidžiami iš jų.</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Atsižvelgiant į šias bendrąsias pastabas, pateikiamos šios konkrečios pastabos.</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KONKREČIOS PASTABOS</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ĮŽANGA</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Vienintelis pirmoje pastraipoje nurodyto projekto teisinis pagrindas yra 1999 m. gegužės 7 d. įstatymo 55/1 straipsnis. Tačiau šia nuostata Karaliui nesuteikiama teisė nei iš dalies pakeisti 2018 m. spalio 25 d. Karališkąjį dekretą, nei nustatyti jo 6 straipsnio 1 dalies 1 punkto b papunkčio įsigaliojimo.</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Ministro atstovei sutikus, pirmoje pastraipoje įterpiama nuoroda į 1999 m. gegužės 7 d. įstatymo 43/8 straipsnio 2 dalies 2 punktą, kuriuo Karaliui suteikiami įgaliojimai iš dalies pakeisti 2018 m. spalio 25 d. Karališkąjį dekretą.</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Kalbant apie projekto 10 straipsnį, kuriame numatytas to paties Karališkojo dekreto 6 straipsnio 1 dalies 1 punkto b papunkčio įsigaliojimas, daroma nuoroda į konkrečią pastabą, pateiktą pagal 10 straipsnį.</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PRIEMONĖ</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3 straipsnis</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Atsižvelgiant į tai, kad tuo metu, kai lošėjo identifikavimo duomenys perduodami Belgijos nacionaliniam bankui patikrinti, dar nėra nustatyta, kad lošėjas neįvykdė mokėjimo įsipareigojimų, kaip tai suprantama pagal Ekonominės teisės kodekso VII.148 straipsnį, projekto 3 straipsnio 1 dalies 1 punkte neteisinga nurodyti, kad: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Gali būti dalijamasi mokėjimų nevykdančių lošėjų identifikavimo informacija, kaip apibrėžta Ekonominės teisės kodekso VII.148 straipsnyje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Paklausta šio klausimo, ministro atstovė siūlo taip išdėstyti projekto 3 straipsnio 1 dalies 1 punktą:</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Lošėjo, prašančio padidinti lošimų ribą pagal 2018 10 25 Karališkojo dekreto 6 straipsnio 1 dalies 1 punkto b papunktį, identifikavimo informacija gali būti dalijamasi su Belgijos nacionaliniu banku siekiant patikrinti, ar yra žinoma, kad lošėjas vykdė mokėjimo įsipareigojimus, kaip apibrėžta Ekonominės teisės kodekso VII.148 straipsnyje, Centrinio kreditų fiziniams asmenims registro byloje.“</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Šiuo tikslu tekstas bus pritaikytas, o žodžiai „2018 10 25 Karališkojo dekreto“ pakeičiami žodžiais „2018 m. spalio 25 d. Karališkojo dekreto dėl azartinių lošimų ir lažybų naudojantis informacinės visuomenės paslaugomis vykdymo procedūrų“.</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9 straipsnis</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9 straipsnyje numatyta priemonė, kuria siekiama iš dalies pakeisti 2018 m. spalio 25 d. Karališkojo dekreto 6 straipsnio 1 dalies 1 punkto a papunktį, kad būtų nustatyta didžiausia internetinių lošėjų sąskaitų papildoma suma – 200 EUR, o ne 500 EUR per savaitę, gali turėti įtakos federacinių subjektų kompetencijai mokesčių srityje. Šiuo klausimu 2018 m. liepos 17 d. Nuomonėje Nr. 63.662/VR dėl projekto, kuris tapo 2018 m. spalio 25 d. Karališkuoju dekretu (7), Teisėkūros skyrius pažymėjo:</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Kaip priminė Konstitucinis Teismas 2005 m. birželio 30 d. Sprendime Nr. 114/2005 (8), kompetencija nustatyti azartinių lošimų ir lažybų veiklos toleravimo sąlygas ir organizuoti dėl </w:t>
            </w:r>
            <w:r>
              <w:rPr>
                <w:rFonts w:ascii="Calibri" w:hAnsi="Calibri"/>
                <w:sz w:val="24"/>
              </w:rPr>
              <w:lastRenderedPageBreak/>
              <w:t>tokios veiklos pavojingumo reikalaujamą kontrolę priklauso federalinei institucijai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Nagrinėjamas dekreto projektas patenka į šią sistemą, todėl priklauso jo autoriaus kompetencijai.“</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 pastaba pakartojama dėl projekto 9 straipsnio.</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2018 m. spalio 25 d. Karališkasis dekretas visiškai arba iš dalies buvo daug prašymų dėl panaikinimo (10); dėl kai kurių iš jų buvo priimti sprendimai panaikinti tam tikras šio Karališkojo dekreto nuostatas (11). Prašyme su nuoroda G/A.227.138/XI.22.372 siekiama panaikinti „bent jau jo 1 straipsnį, 6 straipsnio 1 dalies 1 punktą ir 6 straipsnio 2 dalį“.</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Daugybės bylų nagrinėjimą, taip pat praktinius sunkumus įgyvendinant numatytą 2018 m. spalio 25 d. Karališkojo dekreto 6 straipsnio 1 dalies 1 punkto a papunkčio pakeitimą finansų inspektorius pabrėžė savo 2021 m. liepos 5 d. nuomonėje, kurią galima apibendrinti taip:</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šios nuostatos pakeitimas, kol vyksta procesas Valstybės Taryboje;</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rizika, kad tam pačiam operatoriui arba kitam operatoriui bus pateikta daugiau prašymų padidinti sąskaitos papildymo ribą, jei lošėjas atmetamas, kai jis mano, kad jam gali būti taikoma ši padidinta suma;</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„automatinis“ atsisakymo pobūdis, jei lošėjas yra įtrauktas į Kreditų registrą, nors gali būti klaidų;</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neišvengiamai bus pateikti administraciniai skundai.</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Paklausta apie šiuos sunkumus, ministro atstovė neatmeta galimybės, kad gali būti teikiami apeliaciniai skundai, kyla lošėjų nepastovumo rizika, nes lošėjai gali nuolat keisti operatorius, kad</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Reikėtų pažymėti, kad, remiantis 2021 m. birželio mėn. komisijos pateikta informacija, iš 100 000 kasdien lošiančių lošėjų apie 45 % greičiausiai prašys padidinti jų lošimų ribą. Be to, per mėnesį vidutiniškai registruojama 70 000 naujų lošėjų, o komisija apskaičiavo, kad apie 40 % šių lošėjų gali prašyti padidinti lošimo ribą.</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Nors tai, kad teisės akto nuostatos įgyvendinimas, įskaitant finansavimą, gali pasirodyti sudėtingas, tai nėra jos neteisėtumo įrodymas, tačiau tai, kad buvo pakeista Valstybės tarybos Administracinių ginčų skyriui ginčijama norminė nuostata, gali kelti teisinio tikrumo sunkumų.</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B912C4" w14:textId="77777777" w:rsidR="00B670C6" w:rsidRDefault="00B670C6" w:rsidP="00914531">
            <w:pPr>
              <w:widowControl w:val="0"/>
              <w:autoSpaceDE w:val="0"/>
              <w:autoSpaceDN w:val="0"/>
              <w:adjustRightInd w:val="0"/>
              <w:jc w:val="center"/>
              <w:rPr>
                <w:rFonts w:ascii="Calibri" w:hAnsi="Calibri"/>
                <w:sz w:val="24"/>
                <w:u w:val="single"/>
              </w:rPr>
            </w:pPr>
          </w:p>
          <w:p w14:paraId="6C0D443C" w14:textId="78802FDC"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10 straipsnis</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Projekto 10 straipsnyje numatyta, kad 2018 m. spalio 25 d. Karališkojo dekreto 6 straipsnio 1 dalies 1 punkto b papunktis įsigalioja „tą pačią dieną kaip šis dekretas“.</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 įsigaliojanti nuostata to paties Karališkojo dekreto 13 straipsnio pirmoje pastraipoje išdėstoma taip:</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Šis dekretas įsigalioja aštunto mėnesio po jo paskelbimo Belgijos oficialiajame leidinyje pirmą dieną, išskyrus 6 straipsnio 1 dalies 1 punkto b papunktį, kuris įsigalioja ne vėliau kaip 2019 m. sausio mėn., arba, jei taikoma, vėlesnę dieną, kurią Karalius nustato Ministrų Taryboje priimtu dekretu.“.</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Karaliui skirtoje ataskaitoje, susijusioje su 13 straipsniu, paaiškinama, kad:</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13 straipsnyje numatytas aštuonių mėnesių pereinamasis laikotarpis, kad lošimų ir lažybų operatoriai galėtų prisitaikyti prie naujų licencijavimo reikalavimų, išskyrus 6 straipsnio 1 dalies 1 punkto b papunktį, kuris įsigalioja ne vėliau kaip 2019 m. sausio 1 d.“</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šią aiškią informaciją Karaliui skirtoje ataskaitoje, reikia manyti, kad, nesant iki 2019 m. sausio 1 d. priimto Karališkojo dekreto, 6 straipsnio 1 dalies 1 punkto b papunktis įsigaliojo tą dieną.</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2018 m. spalio 25 d. Karališkojo dekreto 13 straipsnio pirma pastraipa negali būti suprantama kaip leidžianti Karaliui priimti Karališkąjį dekretą, dėl kurio Ministrų Taryboje buvo nuspręsta po 2019 m. sausio 1 d., kuriuo būtų nustatytas to dekreto 6 straipsnio 1 dalies 1 punkto b papunkčio įsigaliojimas, nes juo būtų panaikinta bet kokia teisinė šios nuostatos įsigaliojimo reikalavimo „ne vėliau kaip 2019 m. sausio mėn.“ taikymo sritis.</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Todėl projekto 10 straipsnis bus praleistas.</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TEISMO KANCLERIS</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PIRMININKAS</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Pastabos</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doc., Rūmai, 2020–2021 m., Nr. 55-1951/1, p. 55–127,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Minėtos nuomonės 172 išnaša: 2018 m. balandžio 19 d. EK nuomonė Nr. 63.192/2 dėl preliminaraus projekto, kuris tapo 2018 m. liepos 30 d. Įstatymu dėl fizinių asmenų apsaugos tvarkant asmens duomenis, Parl. doc., Rūmai, 2017–2018 m., Nr. 54-3126/001, p. 402–456, http://www.raadvst-consetat.be/dbx/avis/63192.pdf; 2018 m. balandžio 26 d. EK nuomonė Nr. 63.202/2 dėl 2018 m. rugsėjo 5 d. Įstatymo, kuriuo įsteigiamas Informacijos saugumo komitetas ir iš dalies keičiami įvairūs įstatymai, susiję su 2016 m. balandžio 27 d. Europos Parlamento ir Tarybos reglamento (ES) 2016/679 dėl fizinių asmenų apsaugos tvarkant asmens duomenis ir dėl laisvo tokių duomenų judėjimo ir kuriuo panaikinama Direktyva 95/46/EB, projekto, Parl. Doc., Rūmai, 2017–2018 m., Nr. 54-3185/001, p. 120–145,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Minėtos nuomonės 173 išnaša: EŽTK 8 straipsnio 2 dalis.</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Minėtos nuomonės 174 išnaša: Jau cituota anksčiau, numeris 70 ir paskesni.</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Cituotos nuomonės 175 išnaša: Nusistovėjusi Konstitucinio Teismo praktika: visų pirma žr. C.C., 2010 m. kovo 18 d., Nr. 29/2010, B.16.1; C.C., 2020 m. vasario 20 d., Nr.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Teismų praktika taip pat neseniai pakartota C.C., 2022 m. kovo 10 d., Nr.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Cituotos nuomonės 1 išnaša: B.13 konstatuojamoji dalis.</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Cituotos nuomonės 2 išnaša: Dėl ribų, kurios pagal 1989 m. sausio 16 d. Specialiojo įstatymo dėl Bendrijų ir regionų finansavimo 3 straipsnio 1 dalies 1 punktą priklauso federalinės valdžios kompetencijai mokesčių srityje kalbant azartinius lošimus ir lažybas (žr. 2018 m. kovo 22 d. C.C., Nr. 34/2018, B.13 konstatuojamąją dalį).</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Žr. nuorodas G/A. 227.048/XI-22.358, G/A. 227.050/VII-40.459, G/A. 227.051/XI-22.359, G/A. 227.052/VII 40.460, G/A. 227.068/VII-40.461, G/A. 227.073/VII-40.463 ir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11.</w:t>
            </w:r>
            <w:r>
              <w:rPr>
                <w:rFonts w:ascii="Times New Roman" w:hAnsi="Times New Roman"/>
                <w:sz w:val="24"/>
              </w:rPr>
              <w:t xml:space="preserve"> </w:t>
            </w:r>
            <w:r>
              <w:rPr>
                <w:rFonts w:ascii="Calibri" w:hAnsi="Calibri"/>
                <w:sz w:val="24"/>
              </w:rPr>
              <w:t>Taigi byloje G/A. 227.048, 2020 m. vasario 6 d. Sprendimu Nr. 246.998 panaikintas 2018 m. spalio 25 d. Karališkojo dekreto 1 straipsnio 1 dalis ir 3 straipsnio 2 ir 3 dalys, taip pat byloje G/A. 227.051, 2020 m. vasario 6 d. Sprendimu Nr. 246.999 panaikinti to paties Karališkojo dekreto 5 straipsnio 1 dalies ir 11 straipsnio žodžiai „išskyrus savo interneto svetainę“.</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2022 BIRŽELIO 19 D. Karališkojo dekreto, kuriuo nustatomos Belgijos lošimų komisijos konsultavimosi su </w:t>
            </w:r>
            <w:r>
              <w:rPr>
                <w:rFonts w:ascii="Calibri" w:hAnsi="Calibri"/>
                <w:b/>
                <w:i/>
                <w:iCs/>
                <w:sz w:val="24"/>
              </w:rPr>
              <w:t>Centrale des crédits aux particuliers</w:t>
            </w:r>
            <w:r>
              <w:rPr>
                <w:rFonts w:ascii="Calibri" w:hAnsi="Calibri"/>
                <w:b/>
                <w:sz w:val="24"/>
              </w:rPr>
              <w:t xml:space="preserve"> (Centrinis kreditų fiziniams asmenims registras) procedūros ir iš dalies keičiamos nuostatos dėl internetinių azartinių lošimų apribojimo, projektas.</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FILIPAS, belgų karalius,</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sveikina visus esančius ir tuos, kurie ateis.</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2010 m. sausio 10 d. įstatymu įterptą 43/8 straipsnio 2 dalies 2 punktą ir 1999 m. gegužės 7 d. Įstatymo dėl azartinių lošimų, lažybų, lošimo įstaigų ir lošėjų apsaugos 55/1 straipsnį, įterptą 2019 m. gegužės 7 d. įstatymu,</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2018 m. spalio 25 d. Karališkąjį dekretą dėl azartinių lošimų ir lažybų, vykdomų naudojantis informacinės visuomenės priemonėmis, organizavimo procedūrų,</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2021 m. sausio 20 d. ir 2021 m. balandžio 21 d. pateiktą Azartinių lošimų komisijos nuomonę,</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2021 m. balandžio 27 d. ir 2021 m. liepos 5 d. paskelbtą finansų inspektoriaus nuomonę,</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atsižvelgiant į 2021 m. gegužės 11 d. ir 2021 m. liepos 15 d. už biudžetą atsakingo valstybės sekretoriaus susitarimą,</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atsižvelgiant į reglamento poveikio vertinimą, atliktą pagal 2013 m. gruodžio 15 d. įstatymo, kuriame yra įvairių su administraciniu supaprastinimu susijusių nuostatų, 6 ir 7 straipsnius,</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atsižvelgiant į 2021 m. spalio 4 d. paskelbtą Duomenų apsaugos institucijos nuomonę Nr. 177/2021,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atsižvelgiant į 2021 m. gruodžio 9 d. komunikatą 2021/0845/B Europos Komisijai pagal 2015 m. rugsėjo 9 d. Europos Parlamento ir Tarybos direktyvos (ES) 2015/1535, kuria nustatoma informacijos apie techninius reglamentus ir informacinės visuomenės paslaugų taisykles teikimo tvarka, 5 straipsnio 1 dalį,</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atsižvelgiant į 2022 m. balandžio 19 d. paskelbtą Valstybės Tarybos nuomonę 71.218/4 pagal įstatymų dėl Valstybės Tarybos, konsoliduotų 1973 m. sausio 12 d., 84 straipsnio 1 dalies 1 punkto 2 papunktį,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atsižvelgiant į ekonomikos ministro, finansų ministro, visuomenės sveikatos ministro, teisingumo </w:t>
            </w:r>
            <w:r>
              <w:rPr>
                <w:rFonts w:ascii="Calibri" w:hAnsi="Calibri"/>
                <w:sz w:val="24"/>
              </w:rPr>
              <w:lastRenderedPageBreak/>
              <w:t>ministro, vidaus reikalų ministro ir už nacionalinės loterijos klausimus atsakingos valstybės sekretorės siūlymą ir ministrų, kurie svarstė šiuos klausimus Taryboje, nuomonę,</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lastRenderedPageBreak/>
              <w:t>NUTARIAMA:</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 SKYRIUS. Azartinių lošimų komisijos konsultavimosi su Belgijos nacionalinio banko Centriniu kreditų fiziniams asmenims registru procedūros</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1</w:t>
            </w:r>
            <w:r>
              <w:rPr>
                <w:rFonts w:ascii="Calibri" w:hAnsi="Calibri"/>
                <w:b/>
                <w:snapToGrid w:val="0"/>
                <w:sz w:val="24"/>
                <w:vertAlign w:val="superscript"/>
              </w:rPr>
              <w:t> </w:t>
            </w:r>
            <w:r>
              <w:rPr>
                <w:rFonts w:ascii="Calibri" w:hAnsi="Calibri"/>
                <w:b/>
                <w:snapToGrid w:val="0"/>
                <w:sz w:val="24"/>
              </w:rPr>
              <w:t>straipsnis.</w:t>
            </w:r>
            <w:r>
              <w:rPr>
                <w:rFonts w:ascii="Calibri" w:hAnsi="Calibri"/>
                <w:snapToGrid w:val="0"/>
                <w:sz w:val="24"/>
              </w:rPr>
              <w:t xml:space="preserve"> Azartinių lošimų komisijos konsultacijos su Belgijos nacionalinio banko Centriniu kreditų fiziniams asmenims registru būtinos atsižvelgiant į 2018 m. spalio 25 d. Karališkojo dekreto dėl azartinių lošimų ir lažybų, vykdomų naudojantis informacinės visuomenės priemonėmis, organizavimo procedūrų 6 straipsnio 1 dalyje nurodytus tikslus.</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2 straipsnis. </w:t>
            </w:r>
            <w:r>
              <w:rPr>
                <w:rFonts w:ascii="Calibri" w:hAnsi="Calibri"/>
                <w:sz w:val="24"/>
              </w:rPr>
              <w:t>Belgijos nacionalinis bankas nustato Azartinių lošimų komisijos konsultavimosi su Belgijos nacionalinio banko Centriniu kreditų fiziniams asmenims registru technines procedūras.</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3 straipsnis.</w:t>
            </w:r>
            <w:r>
              <w:rPr>
                <w:rFonts w:ascii="Calibri" w:hAnsi="Calibri"/>
                <w:sz w:val="24"/>
                <w:vertAlign w:val="superscript"/>
              </w:rPr>
              <w:t> </w:t>
            </w:r>
            <w:r>
              <w:rPr>
                <w:rFonts w:ascii="Calibri" w:hAnsi="Calibri"/>
                <w:sz w:val="24"/>
              </w:rPr>
              <w:t>1. Lošėjo, prašančio padidinti lošimų ribą pagal 2018 m. spalio 25 d. Karališkojo dekreto dėl azartinių lošimų ir lažybų, vykdomų naudojantis informacinės visuomenės priemonėmis, organizavimo procedūrų 6 straipsnio 1 dalies 1 punkto b papunktį, identifikavimo informacija gali būti dalijamasi su Belgijos nacionaliniu banku siekiant patikrinti, ar yra žinoma, kad lošėjas vykdė mokėjimo įsipareigojimus, kaip apibrėžta Ekonominės teisės kodekso VII.148 straipsnyje, Centrinio kreditų fiziniams asmenims registro byloje.</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Į pirmoje pastraipoje nurodytą identifikavimo informaciją įtraukiama:</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lošėjo nacionalinis registracijos numeris, jeigu jis žinomas licencijos savininkui;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jeigu licencijos savininkui lošėjo nacionalinis registracijos numeris nėra žinomas, lošėjo pavardė, vardas ir gimimo data.</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Duomenys apie užregistruotas paskolas nepateikiami.</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Lošėjo</w:t>
            </w:r>
            <w:r>
              <w:rPr>
                <w:rFonts w:ascii="Times New Roman" w:hAnsi="Times New Roman"/>
                <w:sz w:val="24"/>
              </w:rPr>
              <w:t xml:space="preserve"> </w:t>
            </w:r>
            <w:r>
              <w:rPr>
                <w:rFonts w:ascii="Calibri" w:hAnsi="Calibri"/>
                <w:sz w:val="24"/>
              </w:rPr>
              <w:t>nacionalinis registracijos numeris naudojamas tik tam, kad būtų galima nustatyti, ar Centrinio kreditų fiziniams asmenims registro faile yra žinoma, kad lošėjas vykdo mokėjimo įsipareigojimus.</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Siekiant 2018 m. spalio 25 d. Karališkojo dekreto dėl azartinių lošimų ir lažybų, vykdomų naudojantis informacinės visuomenės priemonėmis, organizavimo procedūrų 6 straipsnio 1 dalyje nurodytų tikslų Azartinių lošimų komisija turi teisę kaip paieškos kriterijų naudoti nacionalinį registracijos numerį Belgijos nacionalinio banko Centriniame kreditų fiziniams asmenims registre.</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Kai Azartinių lošimų komisijai pateikiamas prašymas padidinti azartinių lošimų ribą, A+, B+ arba F1+ klasės licencijų savininkai renka lošėjų nacionalinius registracijos numerius ir juos praneša Azartinių lošimų komisijai.</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4 straipsnis.</w:t>
            </w:r>
            <w:r>
              <w:rPr>
                <w:rFonts w:ascii="Calibri" w:hAnsi="Calibri"/>
                <w:sz w:val="24"/>
              </w:rPr>
              <w:t xml:space="preserve"> Azartinių lošimų komisija saugo 3 straipsnyje nurodytą nacionalinį registracijos numerį arba lošėjo identifikavimo duomenis tiek laiko, kiek reikia jos mėnesio tikrinimo užduočiai atlikti, jeigu leidimas padidinti lošimų ribą lieka galioti.</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lastRenderedPageBreak/>
              <w:t>Azartinių lošimų komisija ištrina 3 straipsnyje nurodytus identifikavimo duomenis, jei internetinės lošėjo sąskaitos lošimų riba sumažinama iki 200 EUR ar dar mažiau arba jei internetinė lošėjo sąskaita yra ištrinta.</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45F9B9" w14:textId="77777777" w:rsidR="00B670C6" w:rsidRDefault="00B670C6" w:rsidP="00914531">
            <w:pPr>
              <w:widowControl w:val="0"/>
              <w:autoSpaceDE w:val="0"/>
              <w:autoSpaceDN w:val="0"/>
              <w:adjustRightInd w:val="0"/>
              <w:jc w:val="both"/>
              <w:rPr>
                <w:rFonts w:ascii="Calibri" w:hAnsi="Calibri"/>
                <w:b/>
                <w:sz w:val="24"/>
              </w:rPr>
            </w:pPr>
          </w:p>
          <w:p w14:paraId="2D962E06" w14:textId="1F11CF2F"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5 straipsnis.</w:t>
            </w:r>
            <w:r>
              <w:rPr>
                <w:rFonts w:ascii="Calibri" w:hAnsi="Calibri"/>
                <w:sz w:val="24"/>
                <w:vertAlign w:val="superscript"/>
              </w:rPr>
              <w:t> </w:t>
            </w:r>
            <w:r>
              <w:rPr>
                <w:rFonts w:ascii="Calibri" w:hAnsi="Calibri"/>
                <w:sz w:val="24"/>
              </w:rPr>
              <w:t>1. Azartinių lošimų komisija sukuria konsultacijų su Belgijos nacionalinio banko Centriniu kreditų fiziniams asmenims registru žurnalo failus.</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Šie konsultacijų žurnalo failai naudojami siekiant nustatyti:</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konsultacijų datą ir laiką;</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individualaus naudotojo tapatybę arba, jeigu ji nėra nustatyta, procesą ar sistemą, kurią naudojant užsitikrinta prieiga prie duomenų;</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prašymo rūšį;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konsultacijos tikslą.</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Belgijos nacionalinis bankas sukuria žurnalo failus, kad būtų galima nustatyti:</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naudotojo, kuris susipažino su duomenimis arba kurie jam buvo perduoti, tapatybę,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pateikto prašymo rūšį;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konsultacijų arba pranešimo datą ir laiką.</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Azartinių lošimų komisija ir Belgijos nacionalinis bankas priima atitinkamas priemones siekiant užtikrinti žurnalo failų saugumą ir visų pirma užkirsti kelią neteisėtam tvarkymui ir užtikrinti tvarkomų duomenų vientisumą.</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Žurnalo failai saugomi penkerius metus nuo konsultacijos dienos.</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Azartinių lošimų komisijos žurnalo failai saugomi ir pateikiami Duomenų apsaugos tarnybai gavus pirmąjį prašymą.</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6 straipsnis.</w:t>
            </w:r>
            <w:r>
              <w:rPr>
                <w:rFonts w:ascii="Calibri" w:hAnsi="Calibri"/>
                <w:sz w:val="24"/>
              </w:rPr>
              <w:t xml:space="preserve"> Azartinių lošimų komisijos paskirti asmenys, kuriems vykdant savo funkcijas yra būtina prieiga prie Belgijos nacionalinio banko Centrinio kreditų fiziniams asmenims registro, gali susipažinti tik su informacija, ar lošėjas vykdo mokėjimo įsipareigojimus, kaip apibrėžta Ekonominės teisės kodekso VII.148 straipsnyje, ir tik po to, kai autentiškumas patvirtinamas naudojant elektroninę tapatybės kortelę, susijusią su Azartinių lošimų komisijos arba su Belgijos nacionalinio banko prašymu.</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Gavusi pirmąjį prašymą Azartinių lošimų komisija Belgijos nacionaliniam bankui arba Duomenų apsaugos tarnybai nurodo savo personalo nario, kuris susipažino su pirmoje pastraipoje nurodytais asmens duomenimis arba sužinojo apie juos, tapatybę.</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lastRenderedPageBreak/>
              <w:t>7 straipsnis.</w:t>
            </w:r>
            <w:r>
              <w:rPr>
                <w:rFonts w:ascii="Calibri" w:hAnsi="Calibri"/>
                <w:sz w:val="24"/>
              </w:rPr>
              <w:t xml:space="preserve"> Azartinių lošimų komisija saugo asmens duomenis, su kuriais susipažino Belgijos nacionalinio banko Centrinis kreditų fiziniams asmenims registras, tiek ilgai, kiek būtina 2018 m. spalio 25 d. Karališkojo dekreto dėl azartinių lošimų ir lažybų, vykdomų naudojantis informacinės visuomenės priemonėmis, organizavimo procedūrų 6 straipsnio 1 dalyje nurodytoms užduotims atlikti.</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8 straipsnis.</w:t>
            </w:r>
            <w:r>
              <w:rPr>
                <w:rFonts w:ascii="Calibri" w:hAnsi="Calibri"/>
                <w:sz w:val="24"/>
              </w:rPr>
              <w:t xml:space="preserve"> Visos konsultacijų su Belgijos nacionalinio banko Centriniu kreditų fiziniams asmenims registru išlaidos padengiamos iš Azartinių lošimų komisijos lėšų, kaip nurodyta 1999 m. gegužės 7 d. Įstatymo dėl azartinių lošimų, lažybų, lošimų įstaigų ir lošėjų apsaugos 19 straipsnio 2 dalyje.</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II SKYRIUS. 2018 m. spalio 25 d. Karališkojo dekreto dėl azartinių lošimų ir lažybų, vykdomų naudojantis informacinės visuomenės priemonėmis, organizavimo procedūrų pakeitimai</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9 straipsnis.</w:t>
            </w:r>
            <w:r>
              <w:rPr>
                <w:rFonts w:ascii="Calibri" w:hAnsi="Calibri"/>
                <w:sz w:val="24"/>
              </w:rPr>
              <w:t xml:space="preserve"> 2018 m. spalio 25 d.</w:t>
            </w:r>
            <w:r>
              <w:rPr>
                <w:rFonts w:ascii="Calibri" w:hAnsi="Calibri"/>
                <w:sz w:val="24"/>
                <w:vertAlign w:val="superscript"/>
              </w:rPr>
              <w:t xml:space="preserve"> </w:t>
            </w:r>
            <w:r>
              <w:rPr>
                <w:rFonts w:ascii="Calibri" w:hAnsi="Calibri"/>
                <w:sz w:val="24"/>
              </w:rPr>
              <w:t>Karališkojo dekreto dėl azartinių lošimų ir lažybų, vykdomų naudojantis informacinės visuomenės priemonėmis, organizavimo procedūrų 6 straipsnio 1 dalies 1 punkto a papunktyje skaičius „500“ pakeičiamas skaičiumi „200“, o žodžiai „dėl visų azartinių lošimų ir lažybų, kuriuose jis dalyvauja“ panaikinami.</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III skyrius. Įsigaliojimas ir pereinamojo laikotarpio nuostatos</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10 straipsnis.</w:t>
            </w:r>
            <w:r>
              <w:rPr>
                <w:rFonts w:ascii="Calibri" w:hAnsi="Calibri"/>
                <w:snapToGrid w:val="0"/>
                <w:sz w:val="24"/>
              </w:rPr>
              <w:t xml:space="preserve"> Šis dekretas įsigalioja praėjus trims mėnesiams nuo jo paskelbimo Belgijos oficialiajame leidinyje.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11 straipsnis.</w:t>
            </w:r>
            <w:r>
              <w:rPr>
                <w:rFonts w:ascii="Calibri" w:hAnsi="Calibri"/>
                <w:sz w:val="24"/>
              </w:rPr>
              <w:t xml:space="preserve"> Įsigaliojus šiam dekretui, visoms lošėjo sąskaitoms nustatoma 200 EUR lošimų riba pagal šio dekreto 9 straipsnį.</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IV SKYRIUS. Baigiamosios nuostatos</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12 straipsnis.</w:t>
            </w:r>
            <w:r>
              <w:rPr>
                <w:rFonts w:ascii="Calibri" w:hAnsi="Calibri"/>
                <w:sz w:val="24"/>
              </w:rPr>
              <w:t xml:space="preserve"> Ekonomikos ministras, finansų ministras, visuomenės sveikatos ministras, teisingumo ministras, vidaus reikalų ministras ir už nacionalinės loterijos klausimus atsakinga valstybės sekretorė, kiekvienas savo srityje, yra atsakingi už šio dekreto įgyvendinimą.</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Priimta Briuselyje 2022 m. birželio 19 d.</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Karaliaus FILIPO</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vardu:</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Ekonomikos ministras</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 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Finansų ministras</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Visuomenės sveikatos ministras</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Teisingumo ministras</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Vidaus reikalų ministrė</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Valstybės sekretorė, atsakinga už nacionalinės loterijos klausimus</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914531"/>
    <w:rsid w:val="0098737B"/>
    <w:rsid w:val="00B670C6"/>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5425</Words>
  <Characters>35701</Characters>
  <Application>Microsoft Office Word</Application>
  <DocSecurity>0</DocSecurity>
  <Lines>714</Lines>
  <Paragraphs>265</Paragraphs>
  <ScaleCrop>false</ScaleCrop>
  <Company>FOD Justitie / SPF Justice</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2022-11-03T13:25:00Z</dcterms:created>
  <dcterms:modified xsi:type="dcterms:W3CDTF">2022-11-03T13:25:00Z</dcterms:modified>
</cp:coreProperties>
</file>