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27" w:rsidRPr="00C77E4C" w:rsidRDefault="00ED0627" w:rsidP="00ED0627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0338 F-- PL- ------ 20200612 --- --- PROJET</w:t>
      </w:r>
    </w:p>
    <w:p w:rsidR="007606BC" w:rsidRPr="00EC1FD0" w:rsidRDefault="008E1D2E" w:rsidP="008E1D2E">
      <w:pPr>
        <w:jc w:val="center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Ustawa o przejrzystości informacji na temat produktów rolno-spożywczych (tekst ostateczny przyjęty przez Zgromadzenie Narodowe w dniu 27 maja 2020 r.)</w:t>
      </w:r>
    </w:p>
    <w:p w:rsidR="008E1D2E" w:rsidRPr="00EC1FD0" w:rsidRDefault="008E1D2E" w:rsidP="008E1D2E">
      <w:pPr>
        <w:jc w:val="center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–</w:t>
      </w:r>
    </w:p>
    <w:p w:rsidR="008E1D2E" w:rsidRPr="00EC1FD0" w:rsidRDefault="008E1D2E" w:rsidP="008E1D2E">
      <w:pPr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Przepisy ustawy będące przedmiotem powiadomienia</w:t>
      </w:r>
    </w:p>
    <w:p w:rsidR="008E1D2E" w:rsidRDefault="008E1D2E"/>
    <w:p w:rsidR="008E1D2E" w:rsidRPr="008E1D2E" w:rsidRDefault="008E1D2E"/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1</w:t>
      </w:r>
    </w:p>
    <w:p w:rsidR="008E1D2E" w:rsidRP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art. L. 412-1 kodeksu konsumentów wprowadza się następujące zmiany: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1° po ust. I pkt 3 dodaje się pkt 3</w:t>
      </w:r>
      <w:r>
        <w:rPr>
          <w:rFonts w:ascii="Arial" w:hAnsi="Arial"/>
        </w:rPr>
        <w:t xml:space="preserve">bis</w:t>
      </w:r>
      <w:r>
        <w:rPr>
          <w:rFonts w:ascii="Arial" w:hAnsi="Arial"/>
        </w:rPr>
        <w:t xml:space="preserve"> w brzmieniu: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„3bis. W przypadku wszelkiego rodzaju oświadczeń dotyczących środków spożywczych paczkowanych zasady ogólnego udostępniania online odpowiednich informacji przez osobę odpowiedzialną za pierwsze wprowadzenie do obrotu, na warunkach przewidzianych w księdze III kodeksu relacji między obywatelami a administracją;”;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2° w ust. II dodaje się akapit w brzmieniu:</w:t>
      </w:r>
      <w:r>
        <w:rPr>
          <w:rFonts w:ascii="Arial" w:hAnsi="Arial"/>
        </w:rPr>
        <w:t xml:space="preserve"> 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„W przypadku informacji, o których mowa w ust. I pkt 3bis, w dekretach tych określa się w szczególności miejsce udostępnienia i format danych w taki sposób, aby stworzyć otwartą bazę danych, dostępną dla wszystkich użytkowników, i umożliwić swobodne ponowne wykorzystywanie tych danych”.</w:t>
      </w:r>
    </w:p>
    <w:p w:rsidR="007F3528" w:rsidRPr="008E1D2E" w:rsidRDefault="007F3528" w:rsidP="008E1D2E">
      <w:pPr>
        <w:jc w:val="both"/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2</w:t>
      </w:r>
      <w:r>
        <w:rPr>
          <w:b/>
          <w:rFonts w:ascii="Arial" w:hAnsi="Arial"/>
        </w:rPr>
        <w:t xml:space="preserve"> 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I. – Po akapicie pierwszym w art. L.412-4 kodeksu konsumentów dodaje się trzy akapity w brzmieniu: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„W przypadku produktów zawierających kakao w stanie surowym lub przetworzonym, przeznaczonych do spożycia przez ludzi, wskazanie kraju pochodzenia również jest obowiązkowe.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przypadku miodu w postaci mieszanki miodów pochodzących z więcej niż jednego państwa członkowskiego Unii Europejskiej lub państwa trzeciego podaje się wszystkie państwa pochodzenia i zbioru miodu wagowo, w porządku malejącym.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Akapit trzeci ma również zastosowanie do mleczka pszczelego.”.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II.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Ustęp I niniejszego artykułu wchodzi w życie w dniu 1 stycznia 2021 r.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Od tego dnia produkty wcześniej wytworzone lub sprzedawane zgodnie z prawem, których etykieta nie jest zgodna z art. L.412-4 akapit trzeci kodeksu konsumentów, w brzmieniu wynikającym z niniejszego artykułu, mogą być sprzedawane lub dystrybuowane nieodpłatnie do wyczerpania zapasów.</w:t>
      </w:r>
    </w:p>
    <w:p w:rsidR="007F3528" w:rsidRPr="008E1D2E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5</w:t>
      </w:r>
    </w:p>
    <w:p w:rsidR="008E1D2E" w:rsidRPr="008E1D2E" w:rsidRDefault="008E1D2E" w:rsidP="00ED0627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księdze IV tytuł I rozdział II sekcja 2 kodeksu konsumentów dodaje się art. L.412-10 w brzmieniu: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„Artykuł L.412-10.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Nazwy używane do oznaczenia środków spożywczych pochodzenia zwierzęcego nie mogą być wykorzystywane do opisu, sprzedaży lub promowania środków spożywczych zawierających białko roślinne.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Zawartość białka uniemożliwiająca używanie takich nazw jest określana w drodze dekretu.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Dekret ten określa również zasady stosowania niniejszego artykułu i kary nakładane w przypadku naruszenia jego przepisów.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6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art. L.641-19 kodeksu rybołówstwa morskiego dodaje się akapit w brzmieniu: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„W przypadku serów produkowanych w gospodarstwie, jeżeli proces dojrzewania odbywa się poza gospodarstwem zgodnie z tradycyjnymi metodami, oświadczenia przewidziane w akapicie pierwszym należy uzupełnić informacją dla konsumenta zgodnie z zasadami określonymi w dekrecie.”.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8E1D2E" w:rsidRPr="008E1D2E" w:rsidRDefault="008E1D2E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8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I. – W księdze IV tytuł I rozdział II sekcja 2 kodeksu konsumentów dodaje się art. L.412-11 w brzmieniu: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„L.412-11. – Podmioty posiadające zezwolenie na sprzedaż alkoholu spożywanego na miejscu lub na wynos lub zezwolenie na prowadzenie restauracji podają w sposób czytelny, w karcie lub na innym nośniku, pochodzenie i, w stosownym przypadku, chronioną nazwę pochodzenia lub chronione oznaczenie geograficzne win sprzedawanych w butelkach, na dzbanki lub na kieliszki.”.</w:t>
      </w:r>
    </w:p>
    <w:p w:rsidR="008E1D2E" w:rsidRDefault="008E1D2E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II.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Ustęp I niniejszego artykułu wchodzi w życie w dniu 1 czerwca 2020 r.</w:t>
      </w:r>
    </w:p>
    <w:p w:rsidR="007F3528" w:rsidRDefault="007F3528" w:rsidP="008E1D2E">
      <w:pPr>
        <w:jc w:val="both"/>
        <w:rPr>
          <w:rFonts w:ascii="Arial" w:hAnsi="Arial" w:cs="Arial"/>
        </w:rPr>
      </w:pPr>
    </w:p>
    <w:p w:rsidR="007F3528" w:rsidRDefault="007F3528" w:rsidP="00ED0627">
      <w:pPr>
        <w:keepNext/>
        <w:keepLines/>
        <w:jc w:val="both"/>
        <w:rPr>
          <w:b/>
          <w:rFonts w:ascii="Arial" w:hAnsi="Arial" w:cs="Arial"/>
        </w:rPr>
      </w:pPr>
      <w:r>
        <w:rPr>
          <w:b/>
          <w:rFonts w:ascii="Arial" w:hAnsi="Arial"/>
        </w:rPr>
        <w:t xml:space="preserve">Artykuł 9</w:t>
      </w:r>
    </w:p>
    <w:p w:rsidR="007F3528" w:rsidRDefault="007F3528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księdze IV tytuł I rozdział II sekcja 2 kodeksu konsumentów dodaje się art. L.412-12 w brzmieniu:</w:t>
      </w:r>
    </w:p>
    <w:p w:rsidR="007F3528" w:rsidRPr="007F3528" w:rsidRDefault="007F3528" w:rsidP="008E1D2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„Artykuł L.412-12.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– Nazwę i adres producenta piwa podaje się na etykiecie w sposób uniemożliwiający wprowadzenie konsumenta w błąd co do pochodzenia piwa, na przykład z powodu ogólnej prezentacji etykiety.</w:t>
      </w:r>
      <w:r>
        <w:rPr>
          <w:rFonts w:ascii="Arial" w:hAnsi="Arial"/>
        </w:rPr>
        <w:t xml:space="preserve"> </w:t>
      </w:r>
      <w:r>
        <w:rPr>
          <w:rFonts w:ascii="Arial" w:hAnsi="Arial"/>
        </w:rPr>
        <w:t xml:space="preserve">”.</w:t>
      </w:r>
    </w:p>
    <w:sectPr w:rsidR="007F3528" w:rsidRPr="007F3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2E"/>
    <w:rsid w:val="005C36B3"/>
    <w:rsid w:val="007606BC"/>
    <w:rsid w:val="007F3528"/>
    <w:rsid w:val="008E1D2E"/>
    <w:rsid w:val="00BC7E60"/>
    <w:rsid w:val="00D83FCF"/>
    <w:rsid w:val="00EC1FD0"/>
    <w:rsid w:val="00ED0627"/>
    <w:rsid w:val="00F305D0"/>
    <w:rsid w:val="00F8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89A8E3-CCB1-44D8-880B-71115CDE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DGCCRF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Ke, Tingting</cp:lastModifiedBy>
  <cp:revision>1</cp:revision>
  <dcterms:created xsi:type="dcterms:W3CDTF">2020-06-03T17:11:00Z</dcterms:created>
  <dcterms:modified xsi:type="dcterms:W3CDTF">2020-06-05T09:01:00Z</dcterms:modified>
</cp:coreProperties>
</file>