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C801B" w14:textId="3D807DDF" w:rsidR="009F6A32" w:rsidRPr="00C65888" w:rsidRDefault="009F6A32" w:rsidP="009F6A32">
      <w:pP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0711 D-- DA- ------ 20201130 --- --- PROJET</w:t>
      </w:r>
    </w:p>
    <w:p w14:paraId="18B5F7E7" w14:textId="77777777" w:rsidR="004B1EC2" w:rsidRPr="004B1EC2" w:rsidRDefault="004B1EC2" w:rsidP="009F6A32">
      <w:pPr>
        <w:pStyle w:val="Dokumentstatus"/>
        <w:rPr>
          <w:color w:val="000000" w:themeColor="text1"/>
        </w:rPr>
      </w:pPr>
      <w:r>
        <w:rPr>
          <w:color w:val="000000" w:themeColor="text1"/>
        </w:rPr>
        <w:t xml:space="preserve">Lovforslag fra forbundsministeriet for fødevarer og landbrug</w:t>
      </w:r>
    </w:p>
    <w:p w14:paraId="17F423A0" w14:textId="02C1D840" w:rsidR="004B1EC2" w:rsidRPr="004B1EC2" w:rsidRDefault="004B1EC2" w:rsidP="009F6A32">
      <w:pPr>
        <w:pStyle w:val="Bezeichnungnderungsdokument"/>
        <w:spacing w:before="360"/>
        <w:rPr>
          <w:color w:val="000000" w:themeColor="text1"/>
        </w:rPr>
      </w:pPr>
      <w:r>
        <w:rPr>
          <w:color w:val="000000" w:themeColor="text1"/>
        </w:rPr>
        <w:t xml:space="preserve">Bekendtgørelse om ændring af de fødevareretlige bestemmelser om fødevaretilsætningsstoffer</w:t>
      </w:r>
      <w:r w:rsidRPr="004B1EC2">
        <w:rPr>
          <w:rStyle w:val="FootnoteReference"/>
          <w:color w:val="000000" w:themeColor="text1"/>
        </w:rPr>
        <w:footnoteReference w:id="1"/>
      </w:r>
      <w:r w:rsidRPr="004B1EC2">
        <w:rPr>
          <w:rStyle w:val="FootnoteReference"/>
          <w:color w:val="000000" w:themeColor="text1"/>
        </w:rPr>
        <w:t>)</w:t>
      </w:r>
      <w:r>
        <w:rPr>
          <w:color w:val="000000" w:themeColor="text1"/>
          <w:rStyle w:val="FootnoteReference"/>
        </w:rPr>
        <w:t xml:space="preserve">)</w:t>
      </w:r>
    </w:p>
    <w:p w14:paraId="0C076847" w14:textId="77777777" w:rsidR="004B1EC2" w:rsidRPr="004B1EC2" w:rsidRDefault="004B1EC2" w:rsidP="009F6A32">
      <w:pPr>
        <w:pStyle w:val="Ausfertigungsdatumnderungsdokument"/>
        <w:rPr>
          <w:color w:val="000000" w:themeColor="text1"/>
        </w:rPr>
      </w:pPr>
      <w:r>
        <w:rPr>
          <w:color w:val="000000" w:themeColor="text1"/>
        </w:rPr>
        <w:t xml:space="preserve">af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Forbundsministeriet for fødevarer og landbrug fastsætter følgende i medfør af</w:t>
      </w:r>
      <w:r>
        <w:rPr>
          <w:rStyle w:val="Marker"/>
          <w:color w:val="000000" w:themeColor="text1"/>
        </w:rPr>
        <w:t xml:space="preserve">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 xml:space="preserve">-</w:t>
        <w:tab/>
        <w:t xml:space="preserve">§ 4, stk. 2, nr. 2) og stk. 3, nr. 2), § 7, stk. 1, nr. 1) og stk. 2, nr.1), § 13, stk. 1, nr. 2), 5) og 6), stk. 3, 1. punktum, nr. 1) og stk. 4, nr. 1), litra a, § 34, stk. 1, nr. 3) og 5), og § 35, nr. 1), litra b), underlitra aa), i loven om fødevarer og fodermidler som affattet i bekendtgørelse af 3. juni 2013 (BGBl.</w:t>
      </w:r>
      <w:r>
        <w:rPr>
          <w:rStyle w:val="Marker"/>
          <w:color w:val="000000" w:themeColor="text1"/>
        </w:rPr>
        <w:t xml:space="preserve"> </w:t>
      </w:r>
      <w:r>
        <w:rPr>
          <w:rStyle w:val="Marker"/>
          <w:color w:val="000000" w:themeColor="text1"/>
        </w:rPr>
        <w:t xml:space="preserve">I s. 1426), som senest er ændret i § 4, stk. 3, § 7, stk. 1 og 2, § 13, stk. 1 og 4, § 34, stk. 1 og § 35, ved artikel 67 i forskriften af 31. august 2015 (BGBl.</w:t>
      </w:r>
      <w:r>
        <w:rPr>
          <w:rStyle w:val="Marker"/>
          <w:color w:val="000000" w:themeColor="text1"/>
        </w:rPr>
        <w:t xml:space="preserve"> </w:t>
      </w:r>
      <w:r>
        <w:rPr>
          <w:rStyle w:val="Marker"/>
          <w:color w:val="000000" w:themeColor="text1"/>
        </w:rPr>
        <w:t xml:space="preserve">I, s. 1474) i samtykke med forbundsministeriet for erhverv og energi,</w:t>
      </w:r>
      <w:r>
        <w:rPr>
          <w:rStyle w:val="Marker"/>
          <w:color w:val="000000" w:themeColor="text1"/>
        </w:rPr>
        <w:t xml:space="preserve">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 xml:space="preserve">i § 62, stk. 1, nr. 1) og nr. 2), litra a), i loven om fødevarer og fodermidler, som affattet i bekendtgørelse af 3. juni 2013 (BGBI</w:t>
      </w:r>
      <w:r>
        <w:rPr>
          <w:rStyle w:val="Marker"/>
          <w:color w:val="000000" w:themeColor="text1"/>
        </w:rPr>
        <w:t xml:space="preserve"> </w:t>
      </w:r>
      <w:r>
        <w:rPr>
          <w:rStyle w:val="Marker"/>
          <w:color w:val="000000" w:themeColor="text1"/>
        </w:rPr>
        <w:t xml:space="preserve">I s. 1426), som senest blev ændret ved artikel 97 i loven af 19.06.2020 (BGBI.</w:t>
      </w:r>
      <w:r>
        <w:rPr>
          <w:rStyle w:val="Marker"/>
          <w:color w:val="000000" w:themeColor="text1"/>
        </w:rPr>
        <w:t xml:space="preserve"> </w:t>
      </w:r>
      <w:r>
        <w:rPr>
          <w:rStyle w:val="Marker"/>
          <w:color w:val="000000" w:themeColor="text1"/>
        </w:rPr>
        <w:t xml:space="preserve">I, s. 1328) samt</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 xml:space="preserve">-</w:t>
        <w:tab/>
        <w:t xml:space="preserve">§ 3, stk. 1, 1. punktum, i loven om mælke- og margarineprodukter af 25. juli 1990 (BGBl</w:t>
      </w:r>
      <w:r>
        <w:rPr>
          <w:rStyle w:val="Marker"/>
          <w:color w:val="000000" w:themeColor="text1"/>
        </w:rPr>
        <w:t xml:space="preserve"> </w:t>
      </w:r>
      <w:r>
        <w:rPr>
          <w:rStyle w:val="Marker"/>
          <w:color w:val="000000" w:themeColor="text1"/>
        </w:rPr>
        <w:t xml:space="preserve">I s. 1471), der senest er ændret ved artikel 2, nr. 2), i loven af 18. januar 2019 (BGBI.</w:t>
      </w:r>
      <w:r>
        <w:rPr>
          <w:rStyle w:val="Marker"/>
          <w:color w:val="000000" w:themeColor="text1"/>
        </w:rPr>
        <w:t xml:space="preserve"> </w:t>
      </w:r>
      <w:r>
        <w:rPr>
          <w:rStyle w:val="Marker"/>
          <w:color w:val="000000" w:themeColor="text1"/>
        </w:rPr>
        <w:t xml:space="preserve">I, s. 33) i samtykke med forbundsministeriet for erhverv og energi:</w:t>
      </w:r>
    </w:p>
    <w:p w14:paraId="742479B8" w14:textId="62F2E8FE" w:rsidR="009F6A32" w:rsidRPr="009F6A32" w:rsidRDefault="009F6A32" w:rsidP="009F6A32">
      <w:pPr>
        <w:pStyle w:val="ArtikelBezeichner"/>
        <w:keepLines/>
        <w:numPr>
          <w:ilvl w:val="0"/>
          <w:numId w:val="0"/>
        </w:numPr>
        <w:rPr>
          <w:color w:val="000000" w:themeColor="text1"/>
        </w:rPr>
      </w:pPr>
      <w:r>
        <w:t xml:space="preserve">Artikel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 xml:space="preserve">Bekendtgørelse om gennemførelse af de unionsretlige bestemmelser om fødevaretilsætningsstoffer</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 xml:space="preserve">(Gennemførelsesbekendtgørelsen om fødevaretilsætningsstoffer – LMZDV)</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 xml:space="preserve">Anvendelsesområde</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 xml:space="preserve">(1) Denne bekendtgørelse skal anvendes supplerende</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til bestemmelserne i Europa-Parlamentets og Rådets forordning (EF) nr. 1333/2008 af 16. december 2008 om fødevaretilsætningsstoffer (EUT L 354 af 31.12.2008, s. 16, L 105 af 27.4.2010, s. 114, L 322 af 21.11.2012, s. 8, L 123 af 19.5.2015, s. 122), der senest er ændret ved forordning (EU) 2020/771 (EUT. L 184 af 12.6.2020, s. 25) og den Europæiske Unions retsakter med hensyn til:</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anvendelsen af fødevaretilsætningsstoffer som defineret i artikel 3, stk. 2, litra a), i forbindelse med artikel 2, stk. 2, i forordning (EU) nr. 1333/2008, i den til enhver tid gældende version og</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markedsføringen og mærkningen af fødevaretilsætningsstoffer og fødevarer, som indeholder fødevaretilsætningsstoffer, samt</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til bestemmelserne i Europa-Parlamentets og Rådets forordning (EU) nr. 1169/2011 af 25. oktober 2011 vedrørende informationen til forbrugerne om fødevarer og om ændring af Europa-Parlamentets og Rådets forordninger (EF) nr. 1924/2006 og (EF) nr. 1925/2006 og til ophævelse af Kommissionens direktiv 87/250/EØF, Rådets direktiv 90/496/EØF, Kommissionens direktiv 1999/10/EF, Europa-Parlamentets og Rådets direktiv 2000/13/EF, Kommissionens direktiver 2002/67/EF og 2008/5/EF og Kommissionens forordning (EF) nr. 608/2004 (EUT L 304 af 22.11.2011, s. 18, L 331 af 18.11.2014, s. 41, L 50 af 21.2.2015, s. 48, L 266 af 30.9.2016, s. 7), der senest er ændret ved forordning (EU) 2015/2283 (EUT L 327 af 11.12.2015, s. 1), med hensyn til mærkningen af emballerede fødevarer som defineret i artikel 2, stk. 2, litra e), i forordningen (EU) nr. 1169/2011 i den til enhver tid gyldige version og ikke emballerede fødevarer, som er bestemt til overdragelse til</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endelige forbrugere som defineret i artikel 3, nr. 18), i Europa-Parlamentets og Rådets forordning (EF) nr. 178/2002 af 28. januar 2002 om generelle principper og krav i fødevarelovgivningen, om oprettelse af Den Europæiske Fødevaresikkerhedsautoritet og om procedurer vedrørende fødevaresikkerhed (EUT L 31 af 1.2.2002, s. 1), der senest er ændret ved forordning (EU) 2019/1381 (EUT L 231 af 6.9.2019, s. 1) i den til enhver tid gyldige version, eller</w:t>
      </w:r>
      <w:r>
        <w:rPr>
          <w:color w:val="000000" w:themeColor="text1"/>
        </w:rPr>
        <w:t xml:space="preserve">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storkøkkener som defineret i artikel 2, stk. 2, litra d), i forordning (EU) nr. 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 xml:space="preserve">Denne bekendtgørelse regulerer transporten, opbevaringen og lagringen af nitritter samt kravene til fremstillingen af nitritsaltblandingen.</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 xml:space="preserve">Definitioner</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Uemballerede fødevarer som defineret i denne bekendtgørelse er fødevarer, som</w:t>
      </w:r>
      <w:r>
        <w:rPr>
          <w:rStyle w:val="Marker"/>
          <w:color w:val="000000" w:themeColor="text1"/>
        </w:rPr>
        <w:t xml:space="preserve">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tilbydes uden emballage</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på ønske fra den endelige forbruger eller storkøkkenet emballeres på salgsstedet eller</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er emballeret med henblik på umiddelbart salg.</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 xml:space="preserve">Øl</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Til fremstilling af øl, som markedsføres med betegnelsen "brygget under overholdelse af de tyske fremstillingsregler" eller med lignende oplysninger, må kun de nedenstående ingredienser anvendes som fødevaretilsætningsstoffer:</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Ved fremstillingen af øl må der anvendes indfanget kuldioxid eller</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kuldioxid og nitrogen, hvis</w:t>
      </w:r>
      <w:r>
        <w:rPr>
          <w:rStyle w:val="Marker"/>
          <w:color w:val="000000" w:themeColor="text1"/>
        </w:rPr>
        <w:t xml:space="preserve">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det med undtagelse af de teknisk uundgåelige mængder ikke overføres til øllet</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 xml:space="preserve">der ikke opstår et forhøjet kulsyreindhold i øllet på grund af anvendelsen.</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 xml:space="preserve">Nitritter og nitritsaltblanding</w:t>
      </w:r>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Nitritter må ikke leveres til virksomheder, som fremstiller fødevarer, og de må heller ikke opbevares eller lagres i disse virksomheder.</w:t>
      </w:r>
      <w:r>
        <w:rPr>
          <w:rStyle w:val="Marker"/>
          <w:color w:val="000000" w:themeColor="text1"/>
        </w:rPr>
        <w:t xml:space="preserve"> </w:t>
      </w:r>
      <w:r>
        <w:rPr>
          <w:rStyle w:val="Marker"/>
          <w:color w:val="000000" w:themeColor="text1"/>
        </w:rPr>
        <w:t xml:space="preserve">Dette forbud gælder ikke for transport af natrium- og kaliumnitrit til virksomheder, som fremstiller blandinger af natrium- eller kaliumnitrit med køkkensalt, iodiseret køkkensalt eller køkkensalterstatning (nitritsaltblanding).</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Den, der vil fremstille nitritsaltblanding, skal indhente en tilladelse hos de ansvarlige myndigheder.</w:t>
      </w:r>
      <w:r>
        <w:rPr>
          <w:rStyle w:val="Marker"/>
          <w:color w:val="000000" w:themeColor="text1"/>
        </w:rPr>
        <w:t xml:space="preserve"> </w:t>
      </w:r>
      <w:r>
        <w:rPr>
          <w:rStyle w:val="Marker"/>
          <w:color w:val="000000" w:themeColor="text1"/>
        </w:rPr>
        <w:t xml:space="preserve">Tilladelsen må kun tildeles, hvis ansøgeren</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er pålidelig</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råder over de nødvendige anordninger og hjælpemidler til den korrekte fremstilling af nitritsaltblanding.</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Nitritsaltblanding må kun fremstilles i lokaler, som er beregnet til dette formål.</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 xml:space="preserve">Mærkning</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Ikke emballerede fødevarer i henhold til § 2, nr. 3), som ikke udbydes til selvbetjening, og ikke emballerede fødevarer i henhold til § 2, nr. 1) og 2), må af den ansvarlige i henhold til artikel 8, stk. 1 eller stk. 4, 2. punktum, i forordning (EU) nr. 1169/2011 med henblik på overdragelse til de endelige forbrugere eller storkøkkener kun markedsføres eller af den ansvarlige i henhold til artikel 8, stk. 3, i forordning (EU) nr. 1169/2011 kun overdrages, hvis de i fremstillingen anvendte fødevaretilsætningsstoffer er mærket på den måde, som er angivet i stk. 2, med følgende angivelser:</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farvestoffer skal mærkes med angivelsen "indeholder farvestof".</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fødevaretilsætningsstoffer, som anvendes til konservering, skal mærkes med angivelsen "indeholder konserveringsstof" eller "konserveret".</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fødevaretilsætningsstoffer, som anvendes som antioxidant skal mærkes med angivelsen "indeholder antioxidant".</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 xml:space="preserve">Ved fødevarer med nitrat eller nitritsaltblanding kan angivelserne i henhold til nr. 2) og 3) erstattes med følgende angivelser:</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ved fødevarer med nitritsaltblanding med angivelsen "indeholder nitritsaltblanding"</w:t>
      </w:r>
      <w:r>
        <w:rPr>
          <w:rStyle w:val="Marker"/>
          <w:color w:val="000000" w:themeColor="text1"/>
        </w:rPr>
        <w:t xml:space="preserve">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ved fødevarer med natrium- eller kaliumnitrat, også blandinger, med angivelsen "indeholder nitrat"</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ved fødevarer med nitritsaltblanding og natrium- eller kaliumnitrat, også blandinger, med angivelsen "indeholder nitritsaltblanding og nitrat".</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fødevaretilsætningsstoffer, som anvendes som smagsforstærker, skal mærkes med angivelsen "indeholder smagsforstærkere".</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Oliven med jern-II-gluconat (E 579) eller jern-II-lactat (E 585) skal mærkes med angivelsen "farvet".</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Frisk frugt og friske grøntsager med fødevaretilsætningsstofferne med numrene E 445, E 471, E 473, E 474, E 901 til E 905 og E 914, som anvendes til overfladebehandling, skal mærkes med angivelsen "vokset".</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Kødprodukter med fødevaretilsætningsstofferne med numrene E 338 til E 341, E 343 og E 450 til E 452 skal mærkes med angivelsen "indeholder fosfat".</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sødestoffer skal med undtagelse af sødestoffer til bordbrug mærkes med bemærkningen "indeholder sødestof(fer)"</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Sødestoffer til bordbrug skal mærkes med bemærkningen "baseret på ..." suppleret med betegnelsen for det anvendte sødemiddel.</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aspartam (E 951) eller aspartam-acesulfamsalt (E 962) skal mærkes med bemærkningen "indeholder en phenylalaninkilde".</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Fødevarer med mere end 10 % tilsatte, polyvalente alkoholer med numrene E 420, E 421, E 953 og E 965 til E 968 skal mærkes med bemærkningen "overdreven indtagelse kan virke afførende".</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Angivelserne i henhold til stk. 1 skal stilles til rådighed:</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overensstemmelse med artikel 12, stk. 2 i forordning (EU) nr. 1169/2011 eller § 4, stk. 3 og 4, i gennemførelsesbekendtgørelsen om fødevareinformation af 5. juli 2017 (BGBl.</w:t>
      </w:r>
      <w:r>
        <w:rPr>
          <w:rStyle w:val="Marker"/>
          <w:color w:val="000000" w:themeColor="text1"/>
        </w:rPr>
        <w:t xml:space="preserve"> </w:t>
      </w:r>
      <w:r>
        <w:rPr>
          <w:rStyle w:val="Marker"/>
          <w:color w:val="000000" w:themeColor="text1"/>
        </w:rPr>
        <w:t xml:space="preserve">I, s. 2272), der senest er ændret ved artikel 1 i forskriften af 27. oktober 2020 (BGBl.</w:t>
      </w:r>
      <w:r>
        <w:rPr>
          <w:rStyle w:val="Marker"/>
          <w:color w:val="000000" w:themeColor="text1"/>
        </w:rPr>
        <w:t xml:space="preserve"> </w:t>
      </w:r>
      <w:r>
        <w:rPr>
          <w:rStyle w:val="Marker"/>
          <w:color w:val="000000" w:themeColor="text1"/>
        </w:rPr>
        <w:t xml:space="preserve">I, s. 2268),</w:t>
      </w:r>
      <w:r>
        <w:rPr>
          <w:rStyle w:val="Marker"/>
          <w:color w:val="000000" w:themeColor="text1"/>
        </w:rPr>
        <w:t xml:space="preserve">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såfremt angivelser i henhold til § 4, stk. 2, i gennemførelsesbekendtgørelsen om fødevareinformation er forpligtende, på samme måde via det identiske medie</w:t>
      </w:r>
      <w:r>
        <w:rPr>
          <w:rStyle w:val="Marker"/>
          <w:color w:val="000000" w:themeColor="text1"/>
        </w:rPr>
        <w:t xml:space="preserve">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tilfælde af ikke emballerede fødevarer, som tilbydes til salg ved fjernkommunikationsteknikker i henhold til artikel 14, stk. 1, i forordning (EU) nr. 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Angivelserne i henhold til stk. 1, nr. 1) til 8), kan bortfalde:</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ved fødevarer med en liste over ingredienserne, som opfylder kravene til angivelserne i henhold til artikel 9, stk. 1, litra b), sammenholdt med artikel 18 i forordning (EU) nr. 1169/2011</w:t>
      </w:r>
      <w:r>
        <w:rPr>
          <w:rStyle w:val="Marker"/>
          <w:color w:val="000000" w:themeColor="text1"/>
        </w:rPr>
        <w:t xml:space="preserve">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ved fødevarer, hvor alle fødevaretilsætningsstoffer, som anvendes til fremstillingen af fødevaren, i overensstemmelse med bilag VII del C i forordning (EU) nr. 1169/2011 er mærket med betegnelsen på deres klasse efterfulgt af deres specielle betegnelse eller E-nummer på et opslag på salgsstedet, i en skriftlig optegnelse eller i et elektronisk informationstilbud, som fødevarevirksomheden stiller til rådighed, og som er let og umiddelbar tilgængelig for den endelige forbruger, og der skal gøres opmærksom på den skriftlige fortegnelse eller de elektroniske informationstilbud ved fødevarerne eller på et opslag, eller</w:t>
      </w:r>
      <w:r>
        <w:rPr>
          <w:rStyle w:val="Marker"/>
          <w:color w:val="000000" w:themeColor="text1"/>
        </w:rPr>
        <w:t xml:space="preserve">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ved fødevarer med fødevaretilsætningsstoffer, som i henhold til artikel 20 i forordning (EU) nr. 1169/2011 ikke skal anføres i ingredienslisten.</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Emballerede sødestoffer til bordbrug må kun overdrages til de endelige forbrugere, når</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tilfælde af artikel 23, stk. 2, i forordning (EF) nr. 1333/2008 deres betegnelse er angivet også sammenholdt med artikel 23, stk. 5</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tilfælde af artikel 23, stk. 3, i forordning (EF) nr. 1333/2008 deres mærkning også er angivet sammenholdt med artikel 23, stk. 5.</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Til mærkningen af emballerede drikkevarer med et alkoholindhold på mere end 1,2 volumenprocent gælder stk. 1, nr. 1) til 3), tilsvarende med det forbehold, at angivelserne i henhold til artikel 12, stk. 2, i forordning (EU) nr. 1169/2011 skal stilles til rådighed.</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For frisk frugt og friske grøntsager,</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der ikke er emballeret som defineret i § 2, nr. 3), og udbydes som selvbetjening, eller som tilbydes emballeret og</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for hvilke en ingrediensliste i henhold til artikel 19, stk. 1, litra a), i forordningen (EU) nr. 1169/2011 ikke er foreskrevet, og hvor en ingrediensliste ikke frivillig er angivet</w:t>
      </w:r>
      <w:r>
        <w:rPr>
          <w:rStyle w:val="Marker"/>
          <w:color w:val="000000" w:themeColor="text1"/>
        </w:rPr>
        <w:t xml:space="preserve">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gælder stk. 1, nr. 7), tilsvarende med det forbehold, at angivelserne i henhold til artikel 12, stk. 2, i forordning (EU) nr. 1169/2011 skal stilles til rådighed.</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 xml:space="preserve">Strafbare handlinger</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"I henhold til § 59, stk. 1, nr. 21), litra a), i loven om fødevarer og fodermidler straffes den, som</w:t>
      </w:r>
      <w:r>
        <w:rPr>
          <w:rStyle w:val="Marker"/>
          <w:color w:val="000000" w:themeColor="text1"/>
        </w:rPr>
        <w:t xml:space="preserve">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modstrid med § 4, stk. 1, 1. punktum; transporterer, opbevarer eller lagrer nitritter</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fremstiller nitritsaltblanding uden tilladelse i henhold til § 4, stk. 2, 1. punktum, eller</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fremstiller nitritsaltblanding i modstrid med § 4, stk. 2, 3. punktum.</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I henhold til § 58, stk. 3, nr. 2), stk. 4 til 6, i loven om fødevarer og fodermidler straffes den, som forsætligt eller uagtsomt i modstrid med artikel 5 sammenholdt med artikel 4, stk. 5, sammenholdt med artikel 14 sammenholdt med bilag II, del A, afsnit 2, nr. 1), i Europa-Parlamentets og Rådets forordning (EF) nr. 1333/2008 af 16. december 2008 om fødevaretilsætningsstoffer (EUT L 354 af 31.12.2008, s. 16, L 105 af 27.4.2010, s. 114, L 322 af 21.11.2012, s. 8, L 138 af 24.5.2013, s. 20, L 123 af 19.5.2015, s. 122, L 214 af 13.8.2015, s. 30, L 165 af 23.6.2016, s. 24, L 282 af 19.10.2016, s. 84, L 82 af 26.3.2018, s. 18, L 60 af 28.2.2019, s. 35), der senest er ændret ved forordning (EU) 2020/771 (EUT L 184 af 12.6.2020 s. 25), markedsfører</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et fødevaretilsætningsstof, som ikke overholder de fastsatte specifikationerne i bilaget til Kommissionens forordning (EU) nr. 231/2012 af 9. marts 2012 med specifikationer for fødevaretilsætningsstofferne, som er anført i bilagene II og III til Europa-Parlamentet og Rådets forordning (EF) nr. 1333/2008 (EUT L 83 af 22.3.2012, s. 1, L 189 af 14.7.2016, s. 59, L 292 af 27.10.2016, s. 50), der senest er ændret ved forordning (EU) 2020/771 (EUT L 184 af 12.6.2020, s. 25)</w:t>
      </w:r>
      <w:r>
        <w:rPr>
          <w:rStyle w:val="Marker"/>
          <w:color w:val="000000" w:themeColor="text1"/>
        </w:rPr>
        <w:t xml:space="preserve">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en fødevare, der indeholder et fødevaretilsætningsstof, som ikke overholder de fastsatte specifikationer, der er nævnt i forordning (EU) nr. 231/2012 eller</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sammenholdt med bemærkningen i bilaget til forordning (EU) nr. 231/2012</w:t>
      </w:r>
      <w:r>
        <w:rPr>
          <w:rStyle w:val="Marker"/>
          <w:color w:val="000000" w:themeColor="text1"/>
        </w:rPr>
        <w:t xml:space="preserve">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et fødevaretilsætningsstof, som er steriliseret under anvendelse af ethylenoxid eller</w:t>
      </w:r>
    </w:p>
    <w:p w14:paraId="3DFDB985"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en fødevare, som indeholder et fødevaretilsætningsstof, som er steriliseret under anvendelse af ethylenoxid.</w:t>
      </w:r>
    </w:p>
    <w:p w14:paraId="49C301A7" w14:textId="77777777" w:rsidR="004B1EC2" w:rsidRPr="004B1EC2" w:rsidRDefault="004B1EC2" w:rsidP="009F6A32">
      <w:pPr>
        <w:pStyle w:val="JuristischerAbsatzFolgeabsatz"/>
        <w:rPr>
          <w:color w:val="000000" w:themeColor="text1"/>
        </w:rPr>
      </w:pPr>
      <w:r>
        <w:rPr>
          <w:rStyle w:val="Marker"/>
          <w:color w:val="000000" w:themeColor="text1"/>
        </w:rPr>
        <w:t xml:space="preserve"> </w:t>
      </w:r>
    </w:p>
    <w:p w14:paraId="59233171" w14:textId="77777777" w:rsidR="004B1EC2" w:rsidRPr="004B1EC2" w:rsidRDefault="004B1EC2" w:rsidP="009F6A32">
      <w:pPr>
        <w:pStyle w:val="ParagraphBezeichner"/>
        <w:keepLines/>
        <w:numPr>
          <w:ilvl w:val="1"/>
          <w:numId w:val="5"/>
        </w:numPr>
        <w:rPr>
          <w:color w:val="000000" w:themeColor="text1"/>
        </w:rPr>
      </w:pPr>
    </w:p>
    <w:p w14:paraId="362CAAB9" w14:textId="77777777" w:rsidR="004B1EC2" w:rsidRPr="004B1EC2" w:rsidRDefault="004B1EC2" w:rsidP="009F6A32">
      <w:pPr>
        <w:pStyle w:val="Paragraphberschrift"/>
        <w:keepLines/>
        <w:rPr>
          <w:color w:val="000000" w:themeColor="text1"/>
        </w:rPr>
      </w:pPr>
      <w:r>
        <w:rPr>
          <w:rStyle w:val="Marker"/>
          <w:color w:val="000000" w:themeColor="text1"/>
        </w:rPr>
        <w:t xml:space="preserve">Lovovertrædelser</w:t>
      </w:r>
    </w:p>
    <w:p w14:paraId="6A9E398C"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Den, der uagtsomt begår en handling, som er anført i § 6, stk. 1, handler i henhold til § 60, stk. 1, nr. 2), i loven om fødevarer og fodermidler i strid med loven.</w:t>
      </w:r>
      <w:r>
        <w:rPr>
          <w:rStyle w:val="Marker"/>
          <w:color w:val="000000" w:themeColor="text1"/>
        </w:rPr>
        <w:t xml:space="preserve">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I strid med loven handler den, der som defineret i § 60, stk. 2, nr. 26), litra a), i loven om fødevarer og fodermidler forsætligt eller uagtsomt</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modstrid med § 5, stk. 1, nr. 1) til 3), også sammenholdt med stk. 5, i modstrid med § 5, stk. 1, nr. 4) til 6) eller 7), også sammenholdt med stk. 6, eller § 5, stk. 1, nr. 8) til 12) markedsfører eller overdrager en fødevare eller</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modstrid med § 5, stk. 4, overdrager et sødemiddel til bordbrug.</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I strid med loven som defineret i § 60, stk. 4, nr. 2), litra a), i loven om fødevarer og fodermidler handler den, som ikke overholder forordning (EF) nr. 1333/2008 ved forsætligt eller uagtsomt i modstrid med artikel 21, stk. 1, 1. punktum, sammenholdt med artikel 22, stk. 1, 2 eller 3, i modstrid med artikel 23, stk. 1, at markedsføre et fødevaretilsætningsstof.</w:t>
      </w:r>
    </w:p>
    <w:p w14:paraId="5B3E5922" w14:textId="01E1C201" w:rsidR="009F6A32" w:rsidRPr="009F6A32" w:rsidRDefault="009F6A32" w:rsidP="009F6A32">
      <w:pPr>
        <w:pStyle w:val="ArtikelBezeichner"/>
        <w:keepLines/>
        <w:numPr>
          <w:ilvl w:val="0"/>
          <w:numId w:val="0"/>
        </w:numPr>
        <w:rPr>
          <w:color w:val="000000" w:themeColor="text1"/>
        </w:rPr>
      </w:pPr>
      <w:r>
        <w:t xml:space="preserve">Artikel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diætforskriften</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Diætforskriften som affattet i bekendtgørelsen af 28. april 2005 (BGBl I. s. 1161), der senest er ændret ved artikel 22 i forskriften af 5. juli 2017 (BGBI.</w:t>
      </w:r>
      <w:r>
        <w:rPr>
          <w:rStyle w:val="Marker"/>
          <w:color w:val="000000" w:themeColor="text1"/>
        </w:rPr>
        <w:t xml:space="preserve"> </w:t>
      </w:r>
      <w:r>
        <w:rPr>
          <w:rStyle w:val="Marker"/>
          <w:color w:val="000000" w:themeColor="text1"/>
        </w:rPr>
        <w:t xml:space="preserve">I, s. 2272), ændres som følger:</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 5, stk. 1, får følgende ordlyd:</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 xml:space="preserve">"</w:t>
        <w:tab/>
        <w:t xml:space="preserve">Ved udvinding, fremstilling og tilberedning af diætfødevarer må der under forbehold for De Europæiske Fællesskabers eller Den Europæiske Unions umiddelbart gældende retsakter kun tilsættes stoffer i henhold til denne bekendtgørelse.".</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6 ophæves.</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 25, stk. 4, 2. punktum, erstattes ordene "§ 9 i forskriften om godkendelse af tilsætningsstoffer" med ordene "§ 5 i gennemførelsesbekendtgørelsen om fødevaretilsætningsstoffer".</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 26, stk. 3, slettes formuleringen "§ 6, stk. 3".</w:t>
      </w:r>
    </w:p>
    <w:p w14:paraId="4CBFE78A" w14:textId="10104546" w:rsidR="009F6A32" w:rsidRPr="009F6A32" w:rsidRDefault="009F6A32" w:rsidP="009F6A32">
      <w:pPr>
        <w:pStyle w:val="ArtikelBezeichner"/>
        <w:keepLines/>
        <w:numPr>
          <w:ilvl w:val="0"/>
          <w:numId w:val="0"/>
        </w:numPr>
        <w:rPr>
          <w:color w:val="000000" w:themeColor="text1"/>
        </w:rPr>
      </w:pPr>
      <w:r>
        <w:t xml:space="preserve">Artikel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forskriften om mælkeprodukter</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Forskriften om mælkeprodukter af 15. juli 1970 (BGBl.</w:t>
      </w:r>
      <w:r>
        <w:rPr>
          <w:rStyle w:val="Marker"/>
          <w:color w:val="000000" w:themeColor="text1"/>
        </w:rPr>
        <w:t xml:space="preserve"> </w:t>
      </w:r>
      <w:r>
        <w:rPr>
          <w:rStyle w:val="Marker"/>
          <w:color w:val="000000" w:themeColor="text1"/>
        </w:rPr>
        <w:t xml:space="preserve">I, s. 1150), der senest er ændret ved artikel 21 i forskriften af 5. juli 2017 (BGBl.</w:t>
      </w:r>
      <w:r>
        <w:rPr>
          <w:rStyle w:val="Marker"/>
          <w:color w:val="000000" w:themeColor="text1"/>
        </w:rPr>
        <w:t xml:space="preserve"> </w:t>
      </w:r>
      <w:r>
        <w:rPr>
          <w:rStyle w:val="Marker"/>
          <w:color w:val="000000" w:themeColor="text1"/>
        </w:rPr>
        <w:t xml:space="preserve">I, s. 2272), ændres som følger:</w:t>
      </w:r>
    </w:p>
    <w:p w14:paraId="79BED87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3, stk. 1, 2. punktum, ophæves.</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5 får følgende ordlyd:</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lastRenderedPageBreak/>
        <w:fldChar w:fldCharType="begin"/>
      </w:r>
      <w:r w:rsidRPr="004B1EC2">
        <w:rPr>
          <w:color w:val="000000" w:themeColor="text1"/>
        </w:rPr>
        <w:instrText xml:space="preserve"> ADVANCE  \l 20,55  </w:instrText>
      </w:r>
      <w:r w:rsidRPr="004B1EC2">
        <w:rPr>
          <w:color w:val="000000" w:themeColor="text1"/>
        </w:rPr>
        <w:fldChar w:fldCharType="end"/>
      </w:r>
      <w:r>
        <w:t xml:space="preserve">"</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 xml:space="preserve">Anvendelse af vitaminer</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Ved fremstillingen af mælkeprodukter må de i bilag 2 anførte vitaminer anvendes til de der anførte formål.</w:t>
      </w:r>
      <w:r>
        <w:rPr>
          <w:rStyle w:val="RevisionText"/>
          <w:color w:val="000000" w:themeColor="text1"/>
        </w:rPr>
        <w:t xml:space="preserve"> </w:t>
      </w:r>
      <w:r>
        <w:rPr>
          <w:rStyle w:val="RevisionText"/>
          <w:color w:val="000000" w:themeColor="text1"/>
        </w:rPr>
        <w:t xml:space="preserve">Indholdet af vitaminer må ikke overskride de maksimale mængder, som er anført i bilag 2.</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Smørbare mælkefedtprodukter som defineret i nummer 2 og 3 i bilag 2 er smørbare mælkefedtprodukter som defineret i afsnit A, nr. 2) til 4), i bilag II til tillægget VII i Europa-Parlamentet og Rådets forordning (EU) nr. 1308/2013 af 17.december 2013 om en fælles markedsordning for landbrugsprodukter og til ophævelse af forordningerne (EØF) nr. 922/72, (EØF) nr. 234/79, (EF) nr. 1037/2001 og (EF) nr. 1234/2007 (EUT L 347 af 20.12.2013, s. 671, L 189 af 27.6.2014, s. 261; L 130 af 19.5.2016, s. 18; L 34 af 9.2.2017, s. 41; L 106 af 6.4.2020, s. 12), der senest er ændret ved Europa-Parlamentet og Rådets forordning (EU) 2017/2393 af 13. december 2017 (EUT L 350 af 29.12.2017, s.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Vitaminerne, som er anført i bilag 2, må kun anvendes til fremstilling af fødevarer til tilsætning.</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Afvigende fra § 16, stk. 1, 1. punktum, i loven om fødevarer og forbrugsprodukter er det ikke forpligtende at markere indholdet af i de i henhold til stk. 1 og 3 anvendte vitaminer.</w:t>
      </w:r>
      <w:r>
        <w:rPr>
          <w:rStyle w:val="RevisionText"/>
          <w:color w:val="000000" w:themeColor="text1"/>
        </w:rPr>
        <w:t xml:space="preserve"> </w:t>
      </w:r>
      <w:r>
        <w:rPr>
          <w:rStyle w:val="RevisionText"/>
          <w:color w:val="000000" w:themeColor="text1"/>
        </w:rPr>
        <w:t xml:space="preserve">§ 3, stk. 2, nr. 3), berøres ikke heraf.".</w:t>
      </w:r>
    </w:p>
    <w:p w14:paraId="01DBEC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 7, stk. 2, erstattes ordet "tilsætningsstoffer" med ordet "vitaminer".</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Bilag 2 ændres som følger:</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Overskriften får følgende ordlyd:</w:t>
      </w:r>
    </w:p>
    <w:p w14:paraId="251F4AB8" w14:textId="77777777" w:rsidR="004B1EC2" w:rsidRPr="00161369" w:rsidRDefault="004B1EC2" w:rsidP="009F6A32">
      <w:pPr>
        <w:pStyle w:val="RevisionAnlageBezeichner"/>
        <w:keepNext/>
        <w:keepLines/>
        <w:ind w:left="850"/>
        <w:rPr>
          <w:rStyle w:val="Marker"/>
          <w:color w:val="000000" w:themeColor="text1"/>
          <w:sz w:val="24"/>
          <w:szCs w:val="24"/>
        </w:rPr>
      </w:pPr>
      <w:r>
        <w:rPr>
          <w:rStyle w:val="Marker"/>
          <w:color w:val="000000" w:themeColor="text1"/>
          <w:sz w:val="24"/>
          <w:szCs w:val="24"/>
        </w:rPr>
        <w:t xml:space="preserve">"Bilag 2 (til § 5, stk. 1)</w:t>
      </w:r>
    </w:p>
    <w:p w14:paraId="3C823EE0" w14:textId="77777777" w:rsidR="004B1EC2" w:rsidRPr="00161369" w:rsidRDefault="004B1EC2" w:rsidP="009F6A32">
      <w:pPr>
        <w:pStyle w:val="RevisionAnlageberschrift"/>
        <w:ind w:left="850"/>
        <w:rPr>
          <w:rStyle w:val="Marker"/>
          <w:color w:val="000000" w:themeColor="text1"/>
          <w:sz w:val="24"/>
          <w:szCs w:val="24"/>
        </w:rPr>
      </w:pPr>
      <w:r>
        <w:rPr>
          <w:rStyle w:val="Marker"/>
          <w:color w:val="000000" w:themeColor="text1"/>
          <w:sz w:val="24"/>
          <w:szCs w:val="24"/>
        </w:rPr>
        <w:t xml:space="preserve">vitaminer".</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I nr. 1) erstattes ordet "tilsætningsstoffer" med ordet "vitaminer".</w:t>
      </w:r>
    </w:p>
    <w:p w14:paraId="71C50EA8" w14:textId="1C1FA961" w:rsidR="009F6A32" w:rsidRPr="009F6A32" w:rsidRDefault="009F6A32" w:rsidP="009F6A32">
      <w:pPr>
        <w:pStyle w:val="ArtikelBezeichner"/>
        <w:keepLines/>
        <w:numPr>
          <w:ilvl w:val="0"/>
          <w:numId w:val="0"/>
        </w:numPr>
        <w:rPr>
          <w:color w:val="000000" w:themeColor="text1"/>
        </w:rPr>
      </w:pPr>
      <w:r>
        <w:t xml:space="preserve">Artikel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osteforskriften</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Osteforskriften, som affattet i bekendtgørelsen af 14. april 1986 (BGBl.</w:t>
      </w:r>
      <w:r>
        <w:rPr>
          <w:rStyle w:val="Marker"/>
          <w:color w:val="000000" w:themeColor="text1"/>
        </w:rPr>
        <w:t xml:space="preserve"> </w:t>
      </w:r>
      <w:r>
        <w:rPr>
          <w:rStyle w:val="Marker"/>
          <w:color w:val="000000" w:themeColor="text1"/>
        </w:rPr>
        <w:t xml:space="preserve">I, s. 412), der seneste er ændret ved artikel 18 i forskriften af 5. juli 2017 (BGBl.</w:t>
      </w:r>
      <w:r>
        <w:rPr>
          <w:rStyle w:val="Marker"/>
          <w:color w:val="000000" w:themeColor="text1"/>
        </w:rPr>
        <w:t xml:space="preserve"> </w:t>
      </w:r>
      <w:r>
        <w:rPr>
          <w:rStyle w:val="Marker"/>
          <w:color w:val="000000" w:themeColor="text1"/>
        </w:rPr>
        <w:t xml:space="preserve">I, s. 2272), ændres som følger:</w:t>
      </w:r>
    </w:p>
    <w:p w14:paraId="2DFCFF8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14, stk. 1, 2. punktum, ophæves.</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23, 4. punktum, ophæves.</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 bilag 1, stk. A får spalte 3 om standardtyperne camembert og brie følgende ordlyd:</w:t>
      </w:r>
      <w:r>
        <w:rPr>
          <w:rStyle w:val="Marker"/>
          <w:color w:val="000000" w:themeColor="text1"/>
        </w:rPr>
        <w:t xml:space="preserve">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"modning kun med kulturer fra penicillium camembertii (camembertskimmel) og geotrichum candidum (mælkeskimmel)".</w:t>
      </w:r>
    </w:p>
    <w:p w14:paraId="01AD89E5" w14:textId="0A7BDC52" w:rsidR="009F6A32" w:rsidRPr="009F6A32" w:rsidRDefault="009F6A32" w:rsidP="009F6A32">
      <w:pPr>
        <w:pStyle w:val="ArtikelBezeichner"/>
        <w:keepLines/>
        <w:numPr>
          <w:ilvl w:val="0"/>
          <w:numId w:val="0"/>
        </w:numPr>
        <w:rPr>
          <w:color w:val="000000" w:themeColor="text1"/>
        </w:rPr>
      </w:pPr>
      <w:r>
        <w:t xml:space="preserve">Artikel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smørforskriften</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 2, stk. 4 og § 5, stk. 5 i smørforskriften af 3. februar 1997 (BGBI.</w:t>
      </w:r>
      <w:r>
        <w:rPr>
          <w:rStyle w:val="Marker"/>
          <w:color w:val="000000" w:themeColor="text1"/>
        </w:rPr>
        <w:t xml:space="preserve"> </w:t>
      </w:r>
      <w:r>
        <w:rPr>
          <w:rStyle w:val="Marker"/>
          <w:color w:val="000000" w:themeColor="text1"/>
        </w:rPr>
        <w:t xml:space="preserve">I, s. 144), der senest er ændret ved artikel 19 i forskriften af 5. juli 2017 (BGBl.</w:t>
      </w:r>
      <w:r>
        <w:rPr>
          <w:rStyle w:val="Marker"/>
          <w:color w:val="000000" w:themeColor="text1"/>
        </w:rPr>
        <w:t xml:space="preserve"> </w:t>
      </w:r>
      <w:r>
        <w:rPr>
          <w:rStyle w:val="Marker"/>
          <w:color w:val="000000" w:themeColor="text1"/>
        </w:rPr>
        <w:t xml:space="preserve">I s. 2272), ophæves.</w:t>
      </w:r>
      <w:r>
        <w:rPr>
          <w:rStyle w:val="Marker"/>
          <w:color w:val="000000" w:themeColor="text1"/>
        </w:rPr>
        <w:t xml:space="preserve"> </w:t>
      </w:r>
    </w:p>
    <w:p w14:paraId="57E2B04B" w14:textId="7846327C" w:rsidR="009F6A32" w:rsidRPr="009F6A32" w:rsidRDefault="009F6A32" w:rsidP="009F6A32">
      <w:pPr>
        <w:pStyle w:val="ArtikelBezeichner"/>
        <w:keepLines/>
        <w:numPr>
          <w:ilvl w:val="0"/>
          <w:numId w:val="0"/>
        </w:numPr>
        <w:rPr>
          <w:color w:val="000000" w:themeColor="text1"/>
        </w:rPr>
      </w:pPr>
      <w:r>
        <w:t xml:space="preserve">Artikel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forskriften til gennemførelse af den foreløbige øllov</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 xml:space="preserve">I § 17, stk. 1, 2. punktum, i forskriften til gennemførelse af den foreløbige øllov som affattet i bekendtgørelsen af 29. juli 1993 (BGBI.</w:t>
      </w:r>
      <w:r>
        <w:rPr>
          <w:rStyle w:val="Marker"/>
          <w:color w:val="000000" w:themeColor="text1"/>
        </w:rPr>
        <w:t xml:space="preserve"> </w:t>
      </w:r>
      <w:r>
        <w:rPr>
          <w:rStyle w:val="Marker"/>
          <w:color w:val="000000" w:themeColor="text1"/>
        </w:rPr>
        <w:t xml:space="preserve">I, s. 1422), der senest er ændret ved artikel 2 i forskriften af 8. december 2000 (BGBl.</w:t>
      </w:r>
      <w:r>
        <w:rPr>
          <w:rStyle w:val="Marker"/>
          <w:color w:val="000000" w:themeColor="text1"/>
        </w:rPr>
        <w:t xml:space="preserve"> </w:t>
      </w:r>
      <w:r>
        <w:rPr>
          <w:rStyle w:val="Marker"/>
          <w:color w:val="000000" w:themeColor="text1"/>
        </w:rPr>
        <w:t xml:space="preserve">l s. 1686), erstattes ordene "forskriften om godkendelse af tilsætningsstoffer" med ordene "gennemførelsesbekendtgørelsen om fødevaretilsætningsstoffer".</w:t>
      </w:r>
    </w:p>
    <w:p w14:paraId="3BE8885B" w14:textId="4B5C7D0D" w:rsidR="009F6A32" w:rsidRPr="009F6A32" w:rsidRDefault="009F6A32" w:rsidP="009F6A32">
      <w:pPr>
        <w:pStyle w:val="ArtikelBezeichner"/>
        <w:keepLines/>
        <w:numPr>
          <w:ilvl w:val="0"/>
          <w:numId w:val="0"/>
        </w:numPr>
        <w:rPr>
          <w:color w:val="000000" w:themeColor="text1"/>
        </w:rPr>
      </w:pPr>
      <w:r>
        <w:t xml:space="preserve">Artikel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 xml:space="preserve">Ændring af forskriften om bestemte alkoholholdige drikkevarer</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I § 10, stk. 6, i forskriften om alkoholholdige drikkevarer som affattet i bekendtgørelse af 30. juni 2003 (BGBl.</w:t>
      </w:r>
      <w:r>
        <w:rPr>
          <w:rStyle w:val="Marker"/>
          <w:color w:val="000000" w:themeColor="text1"/>
        </w:rPr>
        <w:t xml:space="preserve"> </w:t>
      </w:r>
      <w:r>
        <w:rPr>
          <w:rStyle w:val="Marker"/>
          <w:color w:val="000000" w:themeColor="text1"/>
        </w:rPr>
        <w:t xml:space="preserve">I, s. 1255), der senest er ændret ved artikel 15 i forskriften af 5. juli 2017 (BGBl.</w:t>
      </w:r>
      <w:r>
        <w:rPr>
          <w:rStyle w:val="Marker"/>
          <w:color w:val="000000" w:themeColor="text1"/>
        </w:rPr>
        <w:t xml:space="preserve"> </w:t>
      </w:r>
      <w:r>
        <w:rPr>
          <w:rStyle w:val="Marker"/>
          <w:color w:val="000000" w:themeColor="text1"/>
        </w:rPr>
        <w:t xml:space="preserve">l s. 2272), erstattes ordene "forskriften om godkendelse af tilsætningsstoffer" med ordene "gennemførelsesbekendtgørelsen om fødevaretilsætningsstoffer".</w:t>
      </w:r>
      <w:r>
        <w:rPr>
          <w:rStyle w:val="Marker"/>
          <w:color w:val="000000" w:themeColor="text1"/>
        </w:rPr>
        <w:t xml:space="preserve">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 xml:space="preserve">Artikel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 xml:space="preserve">Ikrafttrædelse, ophævelse</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 xml:space="preserve">Denne bekendtgørelse træder i kraft dagen efter dens offentliggørelse.</w:t>
      </w:r>
      <w:r>
        <w:rPr>
          <w:rStyle w:val="Marker"/>
          <w:color w:val="000000" w:themeColor="text1"/>
        </w:rPr>
        <w:t xml:space="preserve"> </w:t>
      </w:r>
      <w:r>
        <w:rPr>
          <w:rStyle w:val="Marker"/>
          <w:color w:val="000000" w:themeColor="text1"/>
        </w:rPr>
        <w:t xml:space="preserve">Samtidig bortfalder forskriften om godkendelse af tilsætningsstoffer, som affattet i bekendtgørelsen af 29. januar 1998 (BGBl.</w:t>
      </w:r>
      <w:r>
        <w:rPr>
          <w:rStyle w:val="Marker"/>
          <w:color w:val="000000" w:themeColor="text1"/>
        </w:rPr>
        <w:t xml:space="preserve"> </w:t>
      </w:r>
      <w:r>
        <w:rPr>
          <w:rStyle w:val="Marker"/>
          <w:color w:val="000000" w:themeColor="text1"/>
        </w:rPr>
        <w:t xml:space="preserve">I, s. 130), der senest er ændret ved artikel 23 i forskriften af 5. juli 2017 (BGBl.</w:t>
      </w:r>
      <w:r>
        <w:rPr>
          <w:rStyle w:val="Marker"/>
          <w:color w:val="000000" w:themeColor="text1"/>
        </w:rPr>
        <w:t xml:space="preserve"> </w:t>
      </w:r>
      <w:r>
        <w:rPr>
          <w:rStyle w:val="Marker"/>
          <w:color w:val="000000" w:themeColor="text1"/>
        </w:rPr>
        <w:t xml:space="preserve">I s. 2272), og forskriften om markedsføring af tilsætningsstoffer af 29. januar 1998 (BGBl.</w:t>
      </w:r>
      <w:r>
        <w:rPr>
          <w:rStyle w:val="Marker"/>
          <w:color w:val="000000" w:themeColor="text1"/>
        </w:rPr>
        <w:t xml:space="preserve"> </w:t>
      </w:r>
      <w:r>
        <w:rPr>
          <w:rStyle w:val="Marker"/>
          <w:color w:val="000000" w:themeColor="text1"/>
        </w:rPr>
        <w:t xml:space="preserve">I, s. 230, 269), der senest er ændret ved artikel 2 i forskriften af 28. marts 2011 (BGBl.</w:t>
      </w:r>
      <w:r>
        <w:rPr>
          <w:rStyle w:val="Marker"/>
          <w:color w:val="000000" w:themeColor="text1"/>
        </w:rPr>
        <w:t xml:space="preserve"> </w:t>
      </w:r>
      <w:r>
        <w:rPr>
          <w:rStyle w:val="Marker"/>
          <w:color w:val="000000" w:themeColor="text1"/>
        </w:rPr>
        <w:t xml:space="preserve">I, s. 530).</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 xml:space="preserve">Forbundsrådet har givet sit samtykke.</w:t>
      </w:r>
    </w:p>
    <w:p w14:paraId="7457C3CD" w14:textId="77777777" w:rsidR="004B1EC2" w:rsidRPr="004B1EC2" w:rsidRDefault="004B1EC2" w:rsidP="009F6A32">
      <w:pPr>
        <w:pStyle w:val="OrtDatum"/>
        <w:jc w:val="left"/>
        <w:rPr>
          <w:color w:val="000000" w:themeColor="text1"/>
        </w:rPr>
      </w:pPr>
      <w:r>
        <w:rPr>
          <w:color w:val="000000" w:themeColor="text1"/>
        </w:rPr>
        <w:t xml:space="preserve">Bonn, den…………</w:t>
      </w:r>
    </w:p>
    <w:p w14:paraId="65FF8508" w14:textId="77777777" w:rsidR="004B1EC2" w:rsidRPr="004B1EC2" w:rsidRDefault="004B1EC2" w:rsidP="009F6A32">
      <w:pPr>
        <w:pStyle w:val="Organisation"/>
        <w:keepNext/>
        <w:keepLines/>
        <w:rPr>
          <w:color w:val="000000" w:themeColor="text1"/>
        </w:rPr>
      </w:pPr>
      <w:r>
        <w:rPr>
          <w:color w:val="000000" w:themeColor="text1"/>
        </w:rPr>
        <w:t xml:space="preserve">Forbundsministeren for fødevarer og landbrug</w:t>
      </w:r>
    </w:p>
    <w:p w14:paraId="169F83F6" w14:textId="77777777" w:rsidR="004B1EC2" w:rsidRPr="004B1EC2" w:rsidRDefault="004B1EC2" w:rsidP="009F6A32">
      <w:pPr>
        <w:pStyle w:val="Person"/>
        <w:rPr>
          <w:color w:val="000000" w:themeColor="text1"/>
        </w:rPr>
      </w:pPr>
      <w:r>
        <w:rPr>
          <w:color w:val="000000" w:themeColor="text1"/>
        </w:rPr>
        <w:t xml:space="preserve">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3679B" w14:textId="77777777" w:rsidR="00FD754A" w:rsidRDefault="00FD754A" w:rsidP="004B1EC2">
      <w:pPr>
        <w:spacing w:after="0" w:line="240" w:lineRule="auto"/>
      </w:pPr>
      <w:r>
        <w:separator/>
      </w:r>
    </w:p>
  </w:endnote>
  <w:endnote w:type="continuationSeparator" w:id="0">
    <w:p w14:paraId="0C041D93" w14:textId="77777777" w:rsidR="00FD754A" w:rsidRDefault="00FD754A"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31CB0" w14:textId="77777777" w:rsidR="00FD754A" w:rsidRDefault="00FD754A" w:rsidP="004B1EC2">
      <w:pPr>
        <w:spacing w:after="0" w:line="240" w:lineRule="auto"/>
      </w:pPr>
      <w:r>
        <w:separator/>
      </w:r>
    </w:p>
  </w:footnote>
  <w:footnote w:type="continuationSeparator" w:id="0">
    <w:p w14:paraId="31550639" w14:textId="77777777" w:rsidR="00FD754A" w:rsidRDefault="00FD754A"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 xml:space="preserve">)</w:t>
        <w:tab/>
        <w:t xml:space="preserve">Forpligtelserne i henhold til Europa-Parlamentets og Rådets direktiv (EU) 2015/1535 af 9. september 2015 om en informationsprocedure med hensyn til tekniske forskrifter samt forskrifter for informationssamfundets tjeneste (kodifikation) (EUT L 241 af 17.9.2015, s. 1) er overholdt.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427F" w14:textId="77777777" w:rsidR="004B1EC2" w:rsidRDefault="00FD754A">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2745" w14:textId="77777777" w:rsidR="004B1EC2" w:rsidRDefault="00FD754A">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F64D" w14:textId="77777777" w:rsidR="004B1EC2" w:rsidRDefault="00FD754A">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C2"/>
    <w:rsid w:val="00161369"/>
    <w:rsid w:val="00233D4F"/>
    <w:rsid w:val="003E792C"/>
    <w:rsid w:val="00477483"/>
    <w:rsid w:val="004B1EC2"/>
    <w:rsid w:val="00517864"/>
    <w:rsid w:val="00680806"/>
    <w:rsid w:val="006C68D8"/>
    <w:rsid w:val="006D4BDD"/>
    <w:rsid w:val="007C68A5"/>
    <w:rsid w:val="008A0FC8"/>
    <w:rsid w:val="009F6A32"/>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2959</Words>
  <Characters>16868</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Ke, Tingting</cp:lastModifiedBy>
  <cp:revision>3</cp:revision>
  <dcterms:created xsi:type="dcterms:W3CDTF">2020-11-17T09:54:00Z</dcterms:created>
  <dcterms:modified xsi:type="dcterms:W3CDTF">2020-11-17T11:52:00Z</dcterms:modified>
</cp:coreProperties>
</file>