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Regolamento di riordino delle disposizioni giuridiche relative ai prodotti alimentari in riferimento agli additivi alimentari</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del 2 giugno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Il ministero federale dell'Alimentazione e dell'agricoltura, visti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l'articolo 4, paragrafo 3, punto 2; l'articolo 7, paragrafo 1, punto 1 e paragrafo 2, punto 1; l'articolo 13, paragrafo 1, punto 2 e paragrafo 4, punto 1, lettera a; l'articolo 34, frase 1, punti da 1 a 3 e 5; e l'articolo 35, punto 1, lettera b), doppia lettera aa), anche in combinato disposto con l'articolo 4, paragrafo 2, del codice dei prodotti alimentari e dei mangimi nella versione pubblicata il 3 giugno 2013 (</w:t>
      </w:r>
      <w:proofErr w:type="spellStart"/>
      <w:r>
        <w:rPr>
          <w:rStyle w:val="Marker"/>
          <w:color w:val="000000" w:themeColor="text1"/>
        </w:rPr>
        <w:t>BGBl</w:t>
      </w:r>
      <w:proofErr w:type="spellEnd"/>
      <w:r>
        <w:rPr>
          <w:rStyle w:val="Marker"/>
          <w:color w:val="000000" w:themeColor="text1"/>
        </w:rPr>
        <w:t>. I, pag. 1426), di cui l'articolo 4, paragrafo 3; l'articolo 7, paragrafi 1 e 2; l'articolo 13, paragrafi 1 e 4; l'articolo 34, frase 1, e l'articolo 35 sono stati modificati dall'articolo 67 del regolamento del 31 agosto 2015 (</w:t>
      </w:r>
      <w:proofErr w:type="spellStart"/>
      <w:r>
        <w:rPr>
          <w:rStyle w:val="Marker"/>
          <w:color w:val="000000" w:themeColor="text1"/>
        </w:rPr>
        <w:t>BGBl</w:t>
      </w:r>
      <w:proofErr w:type="spellEnd"/>
      <w:r>
        <w:rPr>
          <w:rStyle w:val="Marker"/>
          <w:color w:val="000000" w:themeColor="text1"/>
        </w:rPr>
        <w:t xml:space="preserve">. I, pag. 1474), di concerto con il ministero federale dell'Economia e dell'energia, </w:t>
      </w:r>
    </w:p>
    <w:p w14:paraId="5BCAB890" w14:textId="1816E7A0"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l'articolo 13, paragrafo 1, punti 5 e 6 e paragrafo 3, frase 1, punto 1 e l'articolo 62, paragrafo 1, punto 1 e punto 2, lettera a), anche in combinato disposto con l'articolo 4, paragrafo 2 del codice dei prodotti alimentari e dei mangimi, nella versione pubblicata il 3 giugno 2013 (</w:t>
      </w:r>
      <w:proofErr w:type="spellStart"/>
      <w:r>
        <w:rPr>
          <w:rStyle w:val="Marker"/>
          <w:color w:val="000000" w:themeColor="text1"/>
        </w:rPr>
        <w:t>BGBl</w:t>
      </w:r>
      <w:proofErr w:type="spellEnd"/>
      <w:r>
        <w:rPr>
          <w:rStyle w:val="Marker"/>
          <w:color w:val="000000" w:themeColor="text1"/>
        </w:rPr>
        <w:t>. I, pag. 1426), di cui l'articolo 13, paragrafo 1, è stato da ultimo modificato dall'articolo 67 del regolamento del 31 agosto 2015 (</w:t>
      </w:r>
      <w:proofErr w:type="spellStart"/>
      <w:r>
        <w:rPr>
          <w:rStyle w:val="Marker"/>
          <w:color w:val="000000" w:themeColor="text1"/>
        </w:rPr>
        <w:t>BGBl</w:t>
      </w:r>
      <w:proofErr w:type="spellEnd"/>
      <w:r>
        <w:rPr>
          <w:rStyle w:val="Marker"/>
          <w:color w:val="000000" w:themeColor="text1"/>
        </w:rPr>
        <w:t>. I, pag. 1474) e l'articolo 62, paragrafo 1, è stato da ultimo modificato dall'articolo 10 della legge del 27 giugno 2017 (</w:t>
      </w:r>
      <w:proofErr w:type="spellStart"/>
      <w:r>
        <w:rPr>
          <w:rStyle w:val="Marker"/>
          <w:color w:val="000000" w:themeColor="text1"/>
        </w:rPr>
        <w:t>BGBl</w:t>
      </w:r>
      <w:proofErr w:type="spellEnd"/>
      <w:r>
        <w:rPr>
          <w:rStyle w:val="Marker"/>
          <w:color w:val="000000" w:themeColor="text1"/>
        </w:rPr>
        <w:t>. I, pag. 1966), nonché</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l'articolo 3, paragrafo 1, frase 1, della legge sul latte e sulla margarina del 25 luglio 1990 (</w:t>
      </w:r>
      <w:proofErr w:type="spellStart"/>
      <w:r>
        <w:rPr>
          <w:rStyle w:val="Marker"/>
          <w:color w:val="000000" w:themeColor="text1"/>
        </w:rPr>
        <w:t>BGBl</w:t>
      </w:r>
      <w:proofErr w:type="spellEnd"/>
      <w:r>
        <w:rPr>
          <w:rStyle w:val="Marker"/>
          <w:color w:val="000000" w:themeColor="text1"/>
        </w:rPr>
        <w:t>. I, pag. 1471), da ultimo modificato dall'articolo 2, punto 2, della legge del 18 gennaio 2019 (</w:t>
      </w:r>
      <w:proofErr w:type="spellStart"/>
      <w:r>
        <w:rPr>
          <w:rStyle w:val="Marker"/>
          <w:color w:val="000000" w:themeColor="text1"/>
        </w:rPr>
        <w:t>BGBl</w:t>
      </w:r>
      <w:proofErr w:type="spellEnd"/>
      <w:r>
        <w:rPr>
          <w:rStyle w:val="Marker"/>
          <w:color w:val="000000" w:themeColor="text1"/>
        </w:rPr>
        <w:t>. I, pag. 33), di concerto con il ministero federale dell'Economia e dell'energia:</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Articolo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Regolamento di attuazione delle disposizioni giuridiche dell'Unione in riferimento agli additivi alimentari</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Regolamento di attuazione sugli additivi alimentari)</w:t>
      </w:r>
      <w:r>
        <w:rPr>
          <w:color w:val="000000" w:themeColor="text1"/>
        </w:rPr>
        <w:t xml:space="preserve"> – </w:t>
      </w:r>
      <w:r>
        <w:rPr>
          <w:rStyle w:val="Marker"/>
          <w:color w:val="000000" w:themeColor="text1"/>
        </w:rPr>
        <w:t xml:space="preserve">de: </w:t>
      </w:r>
      <w:proofErr w:type="spellStart"/>
      <w:r>
        <w:rPr>
          <w:rStyle w:val="Marker"/>
          <w:color w:val="000000" w:themeColor="text1"/>
        </w:rPr>
        <w:t>Lebensmittelzusatzstoff-Durchführungsverordnung</w:t>
      </w:r>
      <w:proofErr w:type="spellEnd"/>
      <w:r>
        <w:rPr>
          <w:rStyle w:val="Marker"/>
          <w:color w:val="000000" w:themeColor="text1"/>
        </w:rPr>
        <w:t>,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Campo di applicazione</w:t>
      </w:r>
    </w:p>
    <w:p w14:paraId="2BF9E65D" w14:textId="77777777" w:rsidR="00B924E5" w:rsidRPr="0016085B" w:rsidRDefault="00B924E5" w:rsidP="00F53A7F">
      <w:pPr>
        <w:pStyle w:val="JuristischerAbsatznichtnummeriert"/>
        <w:rPr>
          <w:color w:val="000000" w:themeColor="text1"/>
        </w:rPr>
      </w:pPr>
      <w:r>
        <w:rPr>
          <w:color w:val="000000" w:themeColor="text1"/>
        </w:rPr>
        <w:t>(1) Il presente regolamento si applica a completamento</w:t>
      </w:r>
    </w:p>
    <w:p w14:paraId="2D075467" w14:textId="011736E1" w:rsidR="00B924E5" w:rsidRPr="0016085B" w:rsidRDefault="00F53A7F" w:rsidP="00D140BA">
      <w:pPr>
        <w:pStyle w:val="NummerierungStufe1"/>
        <w:rPr>
          <w:color w:val="000000" w:themeColor="text1"/>
        </w:rPr>
      </w:pPr>
      <w:r>
        <w:rPr>
          <w:color w:val="000000" w:themeColor="text1"/>
        </w:rPr>
        <w:t xml:space="preserve">delle norme del regolamento (CE) n. 1333/2008 del Parlamento europeo e del Consiglio, del 16 dicembre 2008, relativo agli additivi alimentari (GU L 354 del 31.12.2008, pag. 16; L 105 del 27.4.2010, pag. 114; L 322 del 21.11.2012, pag. 8; L 123 del 19.5.2015, pag. 122), da ultimo modificato dal regolamento (UE) 2020/1819 (GU L 406 </w:t>
      </w:r>
      <w:r>
        <w:rPr>
          <w:color w:val="000000" w:themeColor="text1"/>
        </w:rPr>
        <w:lastRenderedPageBreak/>
        <w:t>del 3.12.2020, pag. 26) e degli strumenti giuridici dell'Unione europea fondati su di esse, in riferimento</w:t>
      </w:r>
    </w:p>
    <w:p w14:paraId="0D3DCC5C" w14:textId="24CB2113" w:rsidR="00B924E5" w:rsidRPr="0016085B" w:rsidRDefault="00B924E5" w:rsidP="00D140BA">
      <w:pPr>
        <w:pStyle w:val="NummerierungStufe2"/>
        <w:rPr>
          <w:color w:val="000000" w:themeColor="text1"/>
        </w:rPr>
      </w:pPr>
      <w:r>
        <w:rPr>
          <w:color w:val="000000" w:themeColor="text1"/>
        </w:rPr>
        <w:t xml:space="preserve">all'uso degli additivi alimentari quali definiti all'articolo 3, paragrafo 2, lettera a), in combinato disposto con l'articolo 2, paragrafo 2, del regolamento (CE) n. 1333/2008 e successive modifiche, e </w:t>
      </w:r>
    </w:p>
    <w:p w14:paraId="16D5B034" w14:textId="77777777" w:rsidR="00B924E5" w:rsidRPr="0016085B" w:rsidRDefault="00B924E5" w:rsidP="00D140BA">
      <w:pPr>
        <w:pStyle w:val="NummerierungStufe2"/>
        <w:rPr>
          <w:color w:val="000000" w:themeColor="text1"/>
        </w:rPr>
      </w:pPr>
      <w:r>
        <w:rPr>
          <w:color w:val="000000" w:themeColor="text1"/>
        </w:rPr>
        <w:t>all'immissione sul mercato e all'etichettatura degli additivi alimentari e degli alimenti contenenti additivi alimentari; e</w:t>
      </w:r>
    </w:p>
    <w:p w14:paraId="1ED57902" w14:textId="3857A06E" w:rsidR="00B924E5" w:rsidRPr="0016085B" w:rsidRDefault="00F53A7F" w:rsidP="00D140BA">
      <w:pPr>
        <w:pStyle w:val="NummerierungStufe1"/>
        <w:rPr>
          <w:color w:val="000000" w:themeColor="text1"/>
        </w:rPr>
      </w:pPr>
      <w:r>
        <w:rPr>
          <w:color w:val="000000" w:themeColor="text1"/>
        </w:rPr>
        <w:t xml:space="preserve">e delle norme del 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 (GU L 304 del 22.11.2011, pag. 18; L 331 del 18.11.2014, pag. 41; L 50 del 21.2.2015, pag. 48; L 266 del 30.9.2016, pag. 7), da ultimo modificato dal regolamento (UE) 2015/2283 (GU L 327 dell'11.12.2015, pag. 1), in riferimento all'etichettatura degli alimenti </w:t>
      </w:r>
      <w:proofErr w:type="spellStart"/>
      <w:r>
        <w:rPr>
          <w:color w:val="000000" w:themeColor="text1"/>
        </w:rPr>
        <w:t>preimballati</w:t>
      </w:r>
      <w:proofErr w:type="spellEnd"/>
      <w:r>
        <w:rPr>
          <w:color w:val="000000" w:themeColor="text1"/>
        </w:rPr>
        <w:t xml:space="preserve"> ai sensi dell'articolo 2, paragrafo 2, lettera e), del regolamento (UE) n. 1169/2011, come modificato, e degli alimenti non </w:t>
      </w:r>
      <w:proofErr w:type="spellStart"/>
      <w:r>
        <w:rPr>
          <w:color w:val="000000" w:themeColor="text1"/>
        </w:rPr>
        <w:t>preimballati</w:t>
      </w:r>
      <w:proofErr w:type="spellEnd"/>
      <w:r>
        <w:rPr>
          <w:color w:val="000000" w:themeColor="text1"/>
        </w:rPr>
        <w:t xml:space="preserve"> destinati</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al consumatore finale ai sensi dell'articolo 3, punto 18, del regolamento (CE) n. 178/2002 del Parlamento europeo e del Consiglio, del 28 gennaio 2002, che stabilisce i principi e i requisiti generali della legislazione alimentare, istituisce l'Autorità europea per la sicurezza alimentare e fissa procedure nel campo della sicurezza alimentare (GU L 31 dell'1.2.2002, pag. 1), da ultimo modificato dal regolamento (UE) 2019/1381 (GU L 231 del 6.9.2019, pag. 1), e successive modifiche, oppure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alle collettività ai sensi dell'articolo 2, paragrafo 2, lettera d) del regolamento (UE) n.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Il presente </w:t>
      </w:r>
      <w:r>
        <w:rPr>
          <w:color w:val="000000" w:themeColor="text1"/>
        </w:rPr>
        <w:t>regolamento disciplina il trasporto, la conservazione e lo stoccaggio dei nitriti, nonché i requisiti per la produzione di miscela di sale e nitrato di sodio.</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Definizioni</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Ai sensi del presente regolamento, gli alimenti </w:t>
      </w:r>
      <w:proofErr w:type="gramStart"/>
      <w:r>
        <w:rPr>
          <w:rStyle w:val="Marker"/>
          <w:color w:val="000000" w:themeColor="text1"/>
        </w:rPr>
        <w:t xml:space="preserve">non </w:t>
      </w:r>
      <w:r>
        <w:rPr>
          <w:color w:val="000000" w:themeColor="text1"/>
        </w:rPr>
        <w:t xml:space="preserve"> </w:t>
      </w:r>
      <w:proofErr w:type="spellStart"/>
      <w:r>
        <w:rPr>
          <w:color w:val="000000" w:themeColor="text1"/>
        </w:rPr>
        <w:t>preimballati</w:t>
      </w:r>
      <w:proofErr w:type="spellEnd"/>
      <w:proofErr w:type="gramEnd"/>
      <w:r>
        <w:rPr>
          <w:color w:val="000000" w:themeColor="text1"/>
        </w:rPr>
        <w:t xml:space="preserve"> sono alimenti che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sono messi in vendita senza imballaggio,</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sono imballati presso il punto vendita su richiesta del consumatore finale o delle collettività, oppure</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sono preconfezionati in vista della relativa vendita immediata.</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Birra</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Nella produzione di birra immessa sul mercato con la denominazione "prodotta in conformità dei requisiti di purezza tedeschi" o con indicazioni analoghe, come additivi alimentari possono essere utilizzati solamente:</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l'anidride carbonica formatasi durante la produzione della birra, o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l'anidride carbonica e l'azoto, se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apportati nella birra solo in quantità inevitabili dal punto di vista tecnico, e </w:t>
      </w:r>
    </w:p>
    <w:p w14:paraId="39391909" w14:textId="77777777" w:rsidR="00F50831" w:rsidRPr="0016085B" w:rsidRDefault="002D51E9" w:rsidP="004875F2">
      <w:pPr>
        <w:pStyle w:val="NummerierungStufe2"/>
        <w:rPr>
          <w:color w:val="000000" w:themeColor="text1"/>
        </w:rPr>
      </w:pPr>
      <w:r>
        <w:rPr>
          <w:rStyle w:val="Marker"/>
          <w:color w:val="000000" w:themeColor="text1"/>
        </w:rPr>
        <w:t>se, utilizzandoli, non si verifica un aumento del contenuto di anidride carbonica nella birra.</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Nitriti e miscela di sale e nitrato di sodio</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I nitriti non devono essere introdotti negli stabilimenti di produzione di alimenti, né conservati o stoccati in tali stabilimenti. Tale divieto non si applica all'introduzione di nitrito di sodio e nitrito di potassio negli stabilimenti che producono miscele di nitrito di sodio o di nitrito di potassio e sale da cucina, sale da cucina iodato o un sostituto del sale da cucina (miscela di sale e nitrato di sodio).</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La produzione di miscela di sale e nitrato di sodio richiede una licenza rilasciata dalle autorità competenti. Tale licenza viene rilasciata solo se il richiedente</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è affidabile e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dispone delle attrezzature e degli ausili necessari per la corretta produzione di miscela di sale e nitrato di sodio.</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La miscela di sale e nitrato di sodio può essere prodotta solo in locali destinati esclusivamente a tale finalità.</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Etichettatura</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 xml:space="preserve">Per quanto riguarda gli alimenti non </w:t>
      </w:r>
      <w:proofErr w:type="spellStart"/>
      <w:r>
        <w:rPr>
          <w:rStyle w:val="Marker"/>
          <w:color w:val="000000" w:themeColor="text1"/>
        </w:rPr>
        <w:t>preimballati</w:t>
      </w:r>
      <w:proofErr w:type="spellEnd"/>
      <w:r>
        <w:rPr>
          <w:rStyle w:val="Marker"/>
          <w:color w:val="000000" w:themeColor="text1"/>
        </w:rPr>
        <w:t xml:space="preserve"> ai sensi dell'articolo 2 punto 3 che non sono destinati al self-service, e gli alimenti non </w:t>
      </w:r>
      <w:proofErr w:type="spellStart"/>
      <w:r>
        <w:rPr>
          <w:rStyle w:val="Marker"/>
          <w:color w:val="000000" w:themeColor="text1"/>
        </w:rPr>
        <w:t>preimballati</w:t>
      </w:r>
      <w:proofErr w:type="spellEnd"/>
      <w:r>
        <w:rPr>
          <w:rStyle w:val="Marker"/>
          <w:color w:val="000000" w:themeColor="text1"/>
        </w:rPr>
        <w:t xml:space="preserve"> ai sensi dell'articolo 2, punti 1 e 2, il responsabile, ai sensi dell'articolo 8, paragrafo 1 o paragrafo 4, frase 2, del regolamento (UE) n. 1169/2011, può immetterli sul mercato allo scopo della fornitura ai consumatori finali o alle collettività, oppure il responsabile in conformità dell'articolo 8, paragrafo 3, del regolamento (UE) n. 1169/2011 può distribuirli, solo se gli additivi alimentari utilizzati in fase di produzione sono etichettati con le seguenti informazioni secondo le modalità specificate al paragrafo 2:</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nel caso di alimenti contenenti coloranti, è presente l'indicazione "con colorante",</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nel caso di alimenti contenenti additivi alimentari utilizzati per la conservazione, è presente l'indicazione "con conservante" o "conservato",</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nel caso di alimenti contenenti additivi alimentari utilizzati come antiossidanti, è presente l'indicazione "con antiossidante",</w:t>
      </w:r>
    </w:p>
    <w:p w14:paraId="2D784925" w14:textId="77777777" w:rsidR="00B30A63" w:rsidRPr="0016085B" w:rsidRDefault="00B30A63" w:rsidP="00B30A63">
      <w:pPr>
        <w:pStyle w:val="NummerierungStufe1"/>
        <w:rPr>
          <w:color w:val="000000" w:themeColor="text1"/>
        </w:rPr>
      </w:pPr>
      <w:r>
        <w:rPr>
          <w:rStyle w:val="Marker"/>
          <w:color w:val="000000" w:themeColor="text1"/>
        </w:rPr>
        <w:t>nel caso di alimenti contenenti nitrati o miscela di sale e nitrato di sodio, le indicazioni di cui ai punti 2 e 3 possono essere sostituite con le seguenti:</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per gli alimenti contenenti miscela di sale e nitrato di sodio, con la dicitura "con miscela di sale e nitrato di sodio",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per gli alimenti contenenti nitrato di sodio o nitrato di potassio, anche miscelati, con l'indicazione "con nitrato", e</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per gli alimenti contenenti miscela di sale e nitrato di sodio e nitrato di sodio o nitrato di potassio, anche miscelati, con la dicitura "con miscela di sale e nitrato di sodio e nitrati",</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nel caso di alimenti contenenti additivi alimentari utilizzati come esaltatori di sapidità, è presente la dicitura "con esaltatore di sapidità",</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nel caso di olive contenenti gluconato ferroso (E 579) o lattato ferroso (E 585), è presente con l'indicazione "annerite",</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 xml:space="preserve">nel caso di frutta e verdura fresca con additivi alimentari con numero E 445, E 471, E 473, E 474, da E 901 a E 905 e </w:t>
      </w:r>
      <w:proofErr w:type="spellStart"/>
      <w:r>
        <w:rPr>
          <w:rStyle w:val="Marker"/>
          <w:color w:val="000000" w:themeColor="text1"/>
        </w:rPr>
        <w:t>E</w:t>
      </w:r>
      <w:proofErr w:type="spellEnd"/>
      <w:r>
        <w:rPr>
          <w:rStyle w:val="Marker"/>
          <w:color w:val="000000" w:themeColor="text1"/>
        </w:rPr>
        <w:t> 914 utilizzati per il trattamento superficiale, è presente la dicitura la dicitura "cerate",</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nel caso di prodotti derivati della carne contenenti additivi alimentari con numero da E 338 a E 341, E 343 e da E 450 a E 452, è presente la dicitura "con fosfato",</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nel caso di alimenti contenenti edulcoranti, ad eccezione degli edulcoranti da tavola, è presente la dicitura "con edulcorante/i",</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 xml:space="preserve">nel caso degli edulcoranti da tavola, </w:t>
      </w:r>
      <w:proofErr w:type="gramStart"/>
      <w:r>
        <w:rPr>
          <w:rStyle w:val="Marker"/>
          <w:color w:val="000000" w:themeColor="text1"/>
        </w:rPr>
        <w:t>la dicitura "a base di ...",</w:t>
      </w:r>
      <w:proofErr w:type="gramEnd"/>
      <w:r>
        <w:rPr>
          <w:rStyle w:val="Marker"/>
          <w:color w:val="000000" w:themeColor="text1"/>
        </w:rPr>
        <w:t xml:space="preserve"> viene completata con la denominazione degli edulcoranti utilizzati,</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 xml:space="preserve">nel caso di alimenti contenenti aspartame (E 951) o sale di aspartame </w:t>
      </w:r>
      <w:proofErr w:type="spellStart"/>
      <w:r>
        <w:rPr>
          <w:rStyle w:val="Marker"/>
          <w:color w:val="000000" w:themeColor="text1"/>
        </w:rPr>
        <w:t>acesulfame</w:t>
      </w:r>
      <w:proofErr w:type="spellEnd"/>
      <w:r>
        <w:rPr>
          <w:rStyle w:val="Marker"/>
          <w:color w:val="000000" w:themeColor="text1"/>
        </w:rPr>
        <w:t xml:space="preserve"> (E 962), è presente l'indicazione "contiene una fonte di fenilalanina",</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nel caso di alimenti</w:t>
      </w:r>
      <w:r>
        <w:rPr>
          <w:color w:val="000000" w:themeColor="text1"/>
        </w:rPr>
        <w:t xml:space="preserve"> </w:t>
      </w:r>
      <w:r>
        <w:rPr>
          <w:rStyle w:val="Marker"/>
          <w:color w:val="000000" w:themeColor="text1"/>
        </w:rPr>
        <w:t xml:space="preserve">con più del 10 per cento di </w:t>
      </w:r>
      <w:proofErr w:type="spellStart"/>
      <w:r>
        <w:rPr>
          <w:rStyle w:val="Marker"/>
          <w:color w:val="000000" w:themeColor="text1"/>
        </w:rPr>
        <w:t>polialcoli</w:t>
      </w:r>
      <w:proofErr w:type="spellEnd"/>
      <w:r>
        <w:rPr>
          <w:rStyle w:val="Marker"/>
          <w:color w:val="000000" w:themeColor="text1"/>
        </w:rPr>
        <w:t xml:space="preserve"> aggiunti con numero E 420, E 421, E 953 e da E 965 a E 968 the i è presente l'indicazione "può avere un effetto lassativo in caso di consumo eccessivo".</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Le informazioni di cui al paragrafo 1 devono essere fornite:</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in conformità dell'articolo 12, paragrafo 2, del regolamento (UE) n. 1169/2011 o dell'articolo 4, paragrafi 3 e 4, del regolamento di attuazione relativo alle informazioni sugli alimenti del 5 luglio 2017 (</w:t>
      </w:r>
      <w:proofErr w:type="spellStart"/>
      <w:r>
        <w:rPr>
          <w:rStyle w:val="Marker"/>
          <w:color w:val="000000" w:themeColor="text1"/>
        </w:rPr>
        <w:t>BGBl</w:t>
      </w:r>
      <w:proofErr w:type="spellEnd"/>
      <w:r>
        <w:rPr>
          <w:rStyle w:val="Marker"/>
          <w:color w:val="000000" w:themeColor="text1"/>
        </w:rPr>
        <w:t xml:space="preserve">. I, pag. 2272), </w:t>
      </w:r>
      <w:r>
        <w:rPr>
          <w:rStyle w:val="Hyperlink"/>
          <w:color w:val="000000" w:themeColor="text1"/>
          <w:u w:val="none"/>
        </w:rPr>
        <w:t>da ultimo modificato dall'articolo 4 del regolamento del 18 novembre 2020 (</w:t>
      </w:r>
      <w:proofErr w:type="spellStart"/>
      <w:r>
        <w:rPr>
          <w:rStyle w:val="Hyperlink"/>
          <w:color w:val="000000" w:themeColor="text1"/>
          <w:u w:val="none"/>
        </w:rPr>
        <w:t>BGBl</w:t>
      </w:r>
      <w:proofErr w:type="spellEnd"/>
      <w:r>
        <w:rPr>
          <w:rStyle w:val="Hyperlink"/>
          <w:color w:val="000000" w:themeColor="text1"/>
          <w:u w:val="none"/>
        </w:rPr>
        <w:t>. I, pag.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nella misura in cui le indicazioni siano obbligatorie ai sensi dell'articolo 4, paragrafo 2, del regolamento di attuazione relativo alle informazioni sugli alimenti, secondo le stesse modalità e tramite lo stesso mezzo con cui le informazioni ai sensi dell'articolo 4, paragrafo 2, del regolamento di attuazione relativo alle informazioni sugli alimenti devono essere fornite e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 xml:space="preserve">nel caso di prodotti alimentari non </w:t>
      </w:r>
      <w:proofErr w:type="spellStart"/>
      <w:r>
        <w:rPr>
          <w:rStyle w:val="Marker"/>
          <w:color w:val="000000" w:themeColor="text1"/>
        </w:rPr>
        <w:t>preimballati</w:t>
      </w:r>
      <w:proofErr w:type="spellEnd"/>
      <w:r>
        <w:rPr>
          <w:rStyle w:val="Marker"/>
          <w:color w:val="000000" w:themeColor="text1"/>
        </w:rPr>
        <w:t xml:space="preserve"> messi in vendita mediante tecniche di comunicazione a distanza, conformemente all'articolo 14, paragrafo 1, del regolamento (UE) n.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lastRenderedPageBreak/>
        <w:t>Le informazioni di cui al paragrafo 1, punti da 1 a 8, possono essere omesse:</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nel caso di alimenti muniti di un elenco degli ingredienti conforme ai requisiti relativi alle indicazioni di cui all'articolo 9, paragrafo 1, lettera b), in combinato disposto con l'articolo 18 del regolamento (UE) n.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nel caso di alimenti in cui siano indicati tutti gli additivi alimentari utilizzati nella produzione dell'alimento di cui all'allegato VII, parte C, del regolamento (UE) n. 1169/2011, con la denominazione della categoria seguita dalla denominazione specifica o dal numero E su un avviso esposto nel punto di vendita, in una nota scritta o in un documento informativo in formato elettronico fornito dall'operatore del settore alimentare, immediatamente e facilmente accessibili al consumatore finale; sull'alimento o sull'avviso deve essere fatto riferimento alla nota scritta o al documento informativo in formato elettronico, oppure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nel caso di alimenti contenenti additivi alimentari che, ai sensi dell'articolo 20 del regolamento (UE) n. 1169/2011, non devono figurare nell'elenco degli ingredienti.</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 xml:space="preserve">Le indicazioni sugli edulcoranti da tavola </w:t>
      </w:r>
      <w:proofErr w:type="spellStart"/>
      <w:r>
        <w:rPr>
          <w:rStyle w:val="Marker"/>
          <w:color w:val="000000" w:themeColor="text1"/>
        </w:rPr>
        <w:t>preimballati</w:t>
      </w:r>
      <w:proofErr w:type="spellEnd"/>
      <w:r>
        <w:rPr>
          <w:rStyle w:val="Marker"/>
          <w:color w:val="000000" w:themeColor="text1"/>
        </w:rPr>
        <w:t xml:space="preserve"> possono essere fornite ai consumatori finali solo se</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 xml:space="preserve">nel caso di cui all'articolo 23, paragrafo 2, del regolamento (CE) n. 1333/2008, la sua denominazione, anche in combinato disposto con l'articolo 23, paragrafo 5, è corredata delle indicazioni ivi menzionate, e </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nel caso di cui all'articolo 23, paragrafo 3, del regolamento (CE) n. 1333/2008, la sua etichettatura, anche in combinato disposto con l'articolo 23, paragrafo 5, è corredata delle indicazioni ivi menzionate.</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 xml:space="preserve">Il paragrafo 1, punti da 1 a 3, e il paragrafo 3, punto 1, si applicano per analogia all'etichettatura delle bevande </w:t>
      </w:r>
      <w:proofErr w:type="spellStart"/>
      <w:r>
        <w:rPr>
          <w:rStyle w:val="Marker"/>
          <w:color w:val="000000" w:themeColor="text1"/>
        </w:rPr>
        <w:t>preimballate</w:t>
      </w:r>
      <w:proofErr w:type="spellEnd"/>
      <w:r>
        <w:rPr>
          <w:rStyle w:val="Marker"/>
          <w:color w:val="000000" w:themeColor="text1"/>
        </w:rPr>
        <w:t xml:space="preserve"> contenenti più dell'1,2 % di alcol in volume, fermo restando l'obbligo di fornire le indicazioni di cui all'articolo 12, paragrafo 2, del regolamento (UE) n.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Per frutta e verdura fresca</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 xml:space="preserve">non </w:t>
      </w:r>
      <w:proofErr w:type="spellStart"/>
      <w:r>
        <w:rPr>
          <w:rStyle w:val="Marker"/>
          <w:color w:val="000000" w:themeColor="text1"/>
        </w:rPr>
        <w:t>preimballata</w:t>
      </w:r>
      <w:proofErr w:type="spellEnd"/>
      <w:r>
        <w:rPr>
          <w:rStyle w:val="Marker"/>
          <w:color w:val="000000" w:themeColor="text1"/>
        </w:rPr>
        <w:t xml:space="preserve"> ai sensi dell'articolo 2, punto 3, e destinata al self-service oppure </w:t>
      </w:r>
      <w:proofErr w:type="spellStart"/>
      <w:r>
        <w:rPr>
          <w:rStyle w:val="Marker"/>
          <w:color w:val="000000" w:themeColor="text1"/>
        </w:rPr>
        <w:t>preimballata</w:t>
      </w:r>
      <w:proofErr w:type="spellEnd"/>
      <w:r>
        <w:rPr>
          <w:rStyle w:val="Marker"/>
          <w:color w:val="000000" w:themeColor="text1"/>
        </w:rPr>
        <w:t xml:space="preserve"> e </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per cui non è previsto un elenco di ingredienti ai sensi dell'articolo 19, paragrafo 1, lettera a), del regolamento (UE) n. 1169/2011 e per cui l'elenco degli ingredienti non è fornito su base volontaria,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si applica il paragrafo 1, punto 7, per analogia, fatta salva la fornitura delle indicazioni di cui all'articolo 12, paragrafo 2, del regolamento (UE) n.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Reati</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Ai sensi dell'articolo 59, paragrafo 1, punto 21, lettera a), del codice dei prodotti alimentari e dei mangimi, commette reato chiunque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in violazione dell'articolo 4, paragrafo 1, frase 1, introduca, conservi o stocchi nitriti,</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lastRenderedPageBreak/>
        <w:t>produca miscela di sale e nitrato di sodio senza la licenza di cui all'articolo 4, paragrafo 2, frase 1, oppure</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produca miscela di sale e nitrato di sodio in violazione dell'articolo 4, paragrafo 2, frase 3.</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Ai sensi dell'articolo 58, paragrafo 3, punto 2, e paragrafi da 4 a 6 del codice dei prodotti alimentari e dei mangimi, è punito chiunque immetta sul mercato, intenzionalmente o per negligenza, in violazione dell'articolo 5, in combinato disposto con l'articolo 4, paragrafo 5, in combinato disposto con l'articolo 14, in combinato disposto con l'allegato II, parte A, sezione 2, punto 1, del regolamento (CE) n. 1333/2008 del Parlamento europeo e del Consiglio, del 16 dicembre 2008, relativo agli additivi alimentari (GU L 354, del 31.12.2008, pag. 16; L 105 del 27.4.2010, pag. 114; L 322 del 21.11.2012, pag. 8; L 138 del 24.5.2013, pag. 20; L 123 del 19.5.2015, pag. 122, L 214 del 13.8.2015, pag. 30;  L 165 del 23.6.2016, pag. 24; L 282 del 19.10.2016, pag. 84; L 82 del 26.3.2018, pag. 18; L 60 del 28.2.2019, pag. 35), da ultimo modificato dal regolamento (UE) 2020/771 (GU L 184 del 12.6.2020, pag.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un additivo alimentare non conforme alle specifiche di cui all'allegato del regolamento (UE) n. 231/2012 della Commissione, del 9 marzo 2012, che stabilisce le specifiche degli additivi alimentari elencati negli allegati II e III del regolamento (CE) n. 1333/2008 del Parlamento europeo e del Consiglio (GU L 83 del 22.3.2012, pag. 1; L 189 del 14.7.2016, pag. 59; L 292 del 27.10.2016, pag. 50), da ultimo modificato dal regolamento (UE) 2020/771 (GU L 184 del 12.6.2020, pag.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 xml:space="preserve">un alimento in cui è presente un additivo alimentare non conforme alle specifiche stabilite, di cui all'allegato del regolamento (UE) n. 231/2012, oppure, </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in combinato disposto con la nota in allegato al regolamento (UE) n.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un additivo alimentare che è stato sterilizzato mediante ossido di etilene, oppure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un alimento contenente un additivo alimentare sterilizzato mediante ossido di etilene,</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Illeciti amministrativi</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Commette un illecito amministrativo ai sensi dell'articolo 60, paragrafo 1, punto 2, del codice dei prodotti alimentari e dei mangimi chi compie una delle azioni di cui all'articolo 6, paragrafo 1 a causa di un comportamento negligente.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Ai sensi dell'articolo 60, paragrafo 2, punto 26, lettera a), del codice dei prodotti alimentari e dei mangimi commette una violazione amministrativa chiunque, intenzionalmente o per negligenza,</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immetta sul mercato o fornisca un alimento in violazione dell'articolo 5, paragrafo 1, punti da 1 a 3, in ogni caso anche in combinato disposto con il paragrafo 5, in violazione dell'articolo 5, paragrafo 1, punti da 4 a 6 o 7, anche in combinato disposto con il paragrafo 6, o in violazione dell'articolo 5, paragrafo 1, punti da 8 a 12; oppure</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fornisca edulcorante da tavola in violazione dell'articolo 5, paragrafo 4.</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lastRenderedPageBreak/>
        <w:t xml:space="preserve"> </w:t>
      </w:r>
      <w:r>
        <w:rPr>
          <w:rStyle w:val="Marker"/>
          <w:color w:val="000000" w:themeColor="text1"/>
        </w:rPr>
        <w:t>Chiunque violi il regolamento (CE) n. 1333/2008 immettendo sul mercato un additivo alimentare intenzionalmente o per negligenza, in violazione dell'articolo 21, paragrafo 1, frase 1, in combinato disposto con l'articolo 22, paragrafi 1, 2 o 3, o in violazione dell'articolo 23, paragrafo 1, è considerato responsabile di un illecito amministrativo ai sensi dell'articolo 60, paragrafo 4, punto 2, lettera a), del codice dei prodotti alimentari e dei mangimi.</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Articolo 2</w:t>
      </w:r>
    </w:p>
    <w:p w14:paraId="3E319B20" w14:textId="77777777" w:rsidR="00620BBC" w:rsidRPr="0016085B" w:rsidRDefault="00620BBC" w:rsidP="00B52D80">
      <w:pPr>
        <w:pStyle w:val="Artikelberschrift"/>
        <w:rPr>
          <w:color w:val="000000" w:themeColor="text1"/>
        </w:rPr>
      </w:pPr>
      <w:r>
        <w:rPr>
          <w:rStyle w:val="Marker"/>
          <w:color w:val="000000" w:themeColor="text1"/>
        </w:rPr>
        <w:t>Modifica del regolamento sui prodotti dietetici</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Il regolamento sui prodotti dietetici nella versione del 28 aprile 2005 (BGBI. I pag. 1161), da ultimo modificato dall'articolo 22 del regolamento del 5 luglio 2017 (BGBI. I, pag. 2272), si modifica come segue:</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L'articolo 5, paragrafo 1, si formula come segue:</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"Nell'estrazione (produzione), fabbricazione e preparazione di alimenti dietetici è consentito aggiungere sostanze solo in conformità del presente regolamento, fatta salva la legislazione della Comunità europea o dell'Unione europea direttamente applicabile."</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L'articolo 6 è soppresso.</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 xml:space="preserve">Nell'articolo 25, paragrafo 4, frase 2, le </w:t>
      </w:r>
      <w:proofErr w:type="spellStart"/>
      <w:r>
        <w:rPr>
          <w:rStyle w:val="Marker"/>
          <w:color w:val="000000" w:themeColor="text1"/>
        </w:rPr>
        <w:t>parole</w:t>
      </w:r>
      <w:r>
        <w:rPr>
          <w:rStyle w:val="RevisionText"/>
          <w:color w:val="000000" w:themeColor="text1"/>
        </w:rPr>
        <w:t>"articolo</w:t>
      </w:r>
      <w:proofErr w:type="spellEnd"/>
      <w:r>
        <w:rPr>
          <w:rStyle w:val="RevisionText"/>
          <w:color w:val="000000" w:themeColor="text1"/>
        </w:rPr>
        <w:t xml:space="preserve"> 9 del regolamento sull'approvazione degli additivi”</w:t>
      </w:r>
      <w:r>
        <w:rPr>
          <w:color w:val="000000" w:themeColor="text1"/>
        </w:rPr>
        <w:t xml:space="preserve"> </w:t>
      </w:r>
      <w:r>
        <w:rPr>
          <w:rStyle w:val="Marker"/>
          <w:color w:val="000000" w:themeColor="text1"/>
        </w:rPr>
        <w:t xml:space="preserve">sono </w:t>
      </w:r>
      <w:proofErr w:type="gramStart"/>
      <w:r>
        <w:rPr>
          <w:rStyle w:val="Marker"/>
          <w:color w:val="000000" w:themeColor="text1"/>
        </w:rPr>
        <w:t xml:space="preserve">sostituite </w:t>
      </w:r>
      <w:r>
        <w:rPr>
          <w:color w:val="000000" w:themeColor="text1"/>
        </w:rPr>
        <w:t xml:space="preserve"> </w:t>
      </w:r>
      <w:r>
        <w:rPr>
          <w:rStyle w:val="RevisionText"/>
          <w:color w:val="000000" w:themeColor="text1"/>
        </w:rPr>
        <w:t>dalle</w:t>
      </w:r>
      <w:proofErr w:type="gramEnd"/>
      <w:r>
        <w:rPr>
          <w:rStyle w:val="RevisionText"/>
          <w:color w:val="000000" w:themeColor="text1"/>
        </w:rPr>
        <w:t xml:space="preserve"> parole</w:t>
      </w:r>
      <w:r>
        <w:rPr>
          <w:color w:val="000000" w:themeColor="text1"/>
        </w:rPr>
        <w:t xml:space="preserve"> </w:t>
      </w:r>
      <w:r>
        <w:rPr>
          <w:rStyle w:val="Marker"/>
          <w:color w:val="000000" w:themeColor="text1"/>
        </w:rPr>
        <w:t>"articolo 5 del regolamento di attuazione sugli additivi alimentari".</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All'articolo 26, paragrafo 3, la dicitura </w:t>
      </w:r>
      <w:r>
        <w:rPr>
          <w:rStyle w:val="RevisionText"/>
          <w:color w:val="000000" w:themeColor="text1"/>
        </w:rPr>
        <w:t>"articolo 6, frase 3”</w:t>
      </w:r>
      <w:r>
        <w:rPr>
          <w:rStyle w:val="Marker"/>
          <w:color w:val="000000" w:themeColor="text1"/>
        </w:rPr>
        <w:t xml:space="preserve"> è soppressa.</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Articolo 3</w:t>
      </w:r>
    </w:p>
    <w:p w14:paraId="6384CFDD" w14:textId="77777777" w:rsidR="008C3136" w:rsidRPr="0016085B" w:rsidRDefault="008C3136" w:rsidP="008C3136">
      <w:pPr>
        <w:pStyle w:val="Artikelberschrift"/>
        <w:rPr>
          <w:color w:val="000000" w:themeColor="text1"/>
        </w:rPr>
      </w:pPr>
      <w:r>
        <w:rPr>
          <w:rStyle w:val="Marker"/>
          <w:color w:val="000000" w:themeColor="text1"/>
        </w:rPr>
        <w:t>Modifica del regolamento sui latticini</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Il regolamento sui latticini del 15 luglio 1970 (</w:t>
      </w:r>
      <w:proofErr w:type="spellStart"/>
      <w:r>
        <w:rPr>
          <w:rStyle w:val="Marker"/>
          <w:color w:val="000000" w:themeColor="text1"/>
        </w:rPr>
        <w:t>BGBl</w:t>
      </w:r>
      <w:proofErr w:type="spellEnd"/>
      <w:r>
        <w:rPr>
          <w:rStyle w:val="Marker"/>
          <w:color w:val="000000" w:themeColor="text1"/>
        </w:rPr>
        <w:t>. I, pag. 1150), da ultimo modificato dall'articolo 21 del regolamento del 5 luglio 2017 (</w:t>
      </w:r>
      <w:proofErr w:type="spellStart"/>
      <w:r>
        <w:rPr>
          <w:rStyle w:val="Marker"/>
          <w:color w:val="000000" w:themeColor="text1"/>
        </w:rPr>
        <w:t>BGBl</w:t>
      </w:r>
      <w:proofErr w:type="spellEnd"/>
      <w:r>
        <w:rPr>
          <w:rStyle w:val="Marker"/>
          <w:color w:val="000000" w:themeColor="text1"/>
        </w:rPr>
        <w:t>. I, pag. 2272), si modifica come segue:</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L'articolo 3, paragrafo 1, frase 2, è abrogato.</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L'articolo 5 si formula come segue:</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Uso delle vitamine</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Nella fabbricazione di latticini, le vitamine elencate nell'appendice </w:t>
      </w:r>
      <w:proofErr w:type="gramStart"/>
      <w:r>
        <w:rPr>
          <w:rStyle w:val="RevisionText"/>
          <w:color w:val="000000" w:themeColor="text1"/>
        </w:rPr>
        <w:t>2</w:t>
      </w:r>
      <w:proofErr w:type="gramEnd"/>
      <w:r>
        <w:rPr>
          <w:rStyle w:val="RevisionText"/>
          <w:color w:val="000000" w:themeColor="text1"/>
        </w:rPr>
        <w:t xml:space="preserve"> possono essere utilizzate per gli scopi ivi specificati. Il contenuto di vitamine non deve superare i livelli massimi specificati nell'appendice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lastRenderedPageBreak/>
        <w:t>I derivati dei grassi lattieri da spalmare di cui ai punti 2 e 3 dell'appendice 2 sono grassi lattieri da spalmare come definiti nell'allegato VII, appendice II, sezione A, punti da 2 a 4, del regolamento (UE) n. 1308/2013 del Parlamento europeo e del Consiglio, del 17 dicembre 2013, recante organizzazione comune dei mercati dei prodotti agricoli e che abroga i regolamenti (CEE) n. 922/72, (CEE) n. 234/79, (CE) n. 1037/2001 e (CE) n. 1234/2007 del Consiglio (GU L 347 del 20.12.2013, pag. 671; L 189 del 27.6.2014, pag. 261; L 130 del 19.5.2016, pag. 18; L 34 del 9.2.2017, pag. 41; L 106 del 6.4.2020, pag. 12), da ultimo modificato dal regolamento (UE) 2017/2393 (GU L 350 del 29.12.2017, pag.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 xml:space="preserve">Le vitamine di cui all'appendice </w:t>
      </w:r>
      <w:proofErr w:type="gramStart"/>
      <w:r>
        <w:rPr>
          <w:rStyle w:val="RevisionText"/>
          <w:color w:val="000000" w:themeColor="text1"/>
        </w:rPr>
        <w:t>2</w:t>
      </w:r>
      <w:proofErr w:type="gramEnd"/>
      <w:r>
        <w:rPr>
          <w:rStyle w:val="RevisionText"/>
          <w:color w:val="000000" w:themeColor="text1"/>
        </w:rPr>
        <w:t xml:space="preserve"> possono essere utilizzate anche nella produzione degli alimenti indicati.</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In deroga all'articolo 16, paragrafo 1, frase 1, della legge sui prodotti alimentari e sui materiali e oggetti a contatto con gli alimenti, non sussiste l'obbligo di indicare il contenuto di vitamine utilizzate ai sensi dei paragrafi 1 e 3. Resta invariato l'articolo 3, paragrafo 2, punto 3."</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All'articolo 7, paragrafo 2, la parola </w:t>
      </w:r>
      <w:r>
        <w:rPr>
          <w:rStyle w:val="RevisionText"/>
          <w:color w:val="000000" w:themeColor="text1"/>
        </w:rPr>
        <w:t>"additivi"</w:t>
      </w:r>
      <w:r>
        <w:rPr>
          <w:rStyle w:val="Marker"/>
          <w:color w:val="000000" w:themeColor="text1"/>
        </w:rPr>
        <w:t xml:space="preserve"> è sostituita dalla </w:t>
      </w:r>
      <w:r>
        <w:rPr>
          <w:rStyle w:val="RevisionText"/>
          <w:color w:val="000000" w:themeColor="text1"/>
        </w:rPr>
        <w:t xml:space="preserve">parola </w:t>
      </w:r>
      <w:r>
        <w:rPr>
          <w:rStyle w:val="Marker"/>
          <w:color w:val="000000" w:themeColor="text1"/>
        </w:rPr>
        <w:t>"vitamine".</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L'appendice 2 si modifica come segue:</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Il titolo si formula come segue:</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"Appendice </w:t>
      </w:r>
      <w:r>
        <w:rPr>
          <w:rStyle w:val="Marker"/>
          <w:color w:val="000000" w:themeColor="text1"/>
        </w:rPr>
        <w:t>2 (in riferimento all'articolo 5, paragrafo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Vitamine</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Al punto 1 la parola</w:t>
      </w:r>
      <w:r>
        <w:rPr>
          <w:color w:val="000000" w:themeColor="text1"/>
        </w:rPr>
        <w:t xml:space="preserve"> </w:t>
      </w:r>
      <w:r>
        <w:rPr>
          <w:rStyle w:val="RevisionText"/>
          <w:color w:val="000000" w:themeColor="text1"/>
        </w:rPr>
        <w:t>"</w:t>
      </w:r>
      <w:proofErr w:type="gramStart"/>
      <w:r>
        <w:rPr>
          <w:rStyle w:val="RevisionText"/>
          <w:color w:val="000000" w:themeColor="text1"/>
        </w:rPr>
        <w:t>additivi”</w:t>
      </w:r>
      <w:r>
        <w:rPr>
          <w:color w:val="000000" w:themeColor="text1"/>
        </w:rPr>
        <w:t xml:space="preserve"> </w:t>
      </w:r>
      <w:r>
        <w:rPr>
          <w:rStyle w:val="Marker"/>
          <w:color w:val="000000" w:themeColor="text1"/>
        </w:rPr>
        <w:t xml:space="preserve"> è</w:t>
      </w:r>
      <w:proofErr w:type="gramEnd"/>
      <w:r>
        <w:rPr>
          <w:rStyle w:val="Marker"/>
          <w:color w:val="000000" w:themeColor="text1"/>
        </w:rPr>
        <w:t xml:space="preserve"> sostituita dalla</w:t>
      </w:r>
      <w:r>
        <w:rPr>
          <w:color w:val="000000" w:themeColor="text1"/>
        </w:rPr>
        <w:t xml:space="preserve"> </w:t>
      </w:r>
      <w:r>
        <w:rPr>
          <w:rStyle w:val="RevisionText"/>
          <w:color w:val="000000" w:themeColor="text1"/>
        </w:rPr>
        <w:t>parola</w:t>
      </w:r>
      <w:r>
        <w:rPr>
          <w:color w:val="000000" w:themeColor="text1"/>
        </w:rPr>
        <w:t xml:space="preserve"> </w:t>
      </w:r>
      <w:r>
        <w:rPr>
          <w:rStyle w:val="Marker"/>
          <w:color w:val="000000" w:themeColor="text1"/>
        </w:rPr>
        <w:t>"vitamine".</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Articolo 4</w:t>
      </w:r>
    </w:p>
    <w:p w14:paraId="2591148C" w14:textId="77777777" w:rsidR="00A41ACF" w:rsidRPr="0016085B" w:rsidRDefault="00A41ACF" w:rsidP="00A41ACF">
      <w:pPr>
        <w:pStyle w:val="Artikelberschrift"/>
        <w:rPr>
          <w:color w:val="000000" w:themeColor="text1"/>
        </w:rPr>
      </w:pPr>
      <w:r>
        <w:rPr>
          <w:rStyle w:val="Marker"/>
          <w:color w:val="000000" w:themeColor="text1"/>
        </w:rPr>
        <w:t>Modifica del regolamento sul formaggio</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Il regolamento sul formaggio nella versione pubblicata il 14 aprile 1986 (</w:t>
      </w:r>
      <w:proofErr w:type="spellStart"/>
      <w:r>
        <w:rPr>
          <w:rStyle w:val="Marker"/>
          <w:color w:val="000000" w:themeColor="text1"/>
        </w:rPr>
        <w:t>BGBl</w:t>
      </w:r>
      <w:proofErr w:type="spellEnd"/>
      <w:r>
        <w:rPr>
          <w:rStyle w:val="Marker"/>
          <w:color w:val="000000" w:themeColor="text1"/>
        </w:rPr>
        <w:t>. I, pag. 412), da ultimo modificato dall'articolo 18 del regolamento del 5 luglio 2017 (</w:t>
      </w:r>
      <w:proofErr w:type="spellStart"/>
      <w:r>
        <w:rPr>
          <w:rStyle w:val="Marker"/>
          <w:color w:val="000000" w:themeColor="text1"/>
        </w:rPr>
        <w:t>BGBl</w:t>
      </w:r>
      <w:proofErr w:type="spellEnd"/>
      <w:r>
        <w:rPr>
          <w:rStyle w:val="Marker"/>
          <w:color w:val="000000" w:themeColor="text1"/>
        </w:rPr>
        <w:t>. I, pag. 2272), si modifica come segue:</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L'articolo 14, paragrafo 1, frase 2, è abrogato.</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L'articolo 23, frase 4, è abrogato.</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Nell'appendice 1, sezione A, la colonna 3 in riferimento alle varietà standard Camembert e Brie è modificata come segue: </w:t>
      </w:r>
    </w:p>
    <w:p w14:paraId="4B3FEED2" w14:textId="77777777" w:rsidR="00FD79EA" w:rsidRPr="0016085B" w:rsidRDefault="00FD79EA" w:rsidP="00A44C55">
      <w:pPr>
        <w:pStyle w:val="RevisionJuristischerAbsatzFolgeabsatz"/>
        <w:ind w:left="425"/>
        <w:rPr>
          <w:color w:val="000000" w:themeColor="text1"/>
        </w:rPr>
      </w:pPr>
      <w:r>
        <w:rPr>
          <w:rStyle w:val="RevisionText"/>
          <w:color w:val="000000" w:themeColor="text1"/>
        </w:rPr>
        <w:t xml:space="preserve">“maturazione solo con colture di </w:t>
      </w:r>
      <w:proofErr w:type="spellStart"/>
      <w:r>
        <w:rPr>
          <w:rStyle w:val="RevisionText"/>
          <w:color w:val="000000" w:themeColor="text1"/>
        </w:rPr>
        <w:t>penicillium</w:t>
      </w:r>
      <w:proofErr w:type="spellEnd"/>
      <w:r>
        <w:rPr>
          <w:rStyle w:val="RevisionText"/>
          <w:color w:val="000000" w:themeColor="text1"/>
        </w:rPr>
        <w:t xml:space="preserve"> </w:t>
      </w:r>
      <w:proofErr w:type="spellStart"/>
      <w:r>
        <w:rPr>
          <w:rStyle w:val="RevisionText"/>
          <w:color w:val="000000" w:themeColor="text1"/>
        </w:rPr>
        <w:t>camemberti</w:t>
      </w:r>
      <w:proofErr w:type="spellEnd"/>
      <w:r>
        <w:rPr>
          <w:rStyle w:val="RevisionText"/>
          <w:color w:val="000000" w:themeColor="text1"/>
        </w:rPr>
        <w:t xml:space="preserve"> (muffa di rivestimento del Camembert) e </w:t>
      </w:r>
      <w:proofErr w:type="spellStart"/>
      <w:r>
        <w:rPr>
          <w:rStyle w:val="RevisionText"/>
          <w:color w:val="000000" w:themeColor="text1"/>
        </w:rPr>
        <w:t>geotrichum</w:t>
      </w:r>
      <w:proofErr w:type="spellEnd"/>
      <w:r>
        <w:rPr>
          <w:rStyle w:val="RevisionText"/>
          <w:color w:val="000000" w:themeColor="text1"/>
        </w:rPr>
        <w:t xml:space="preserve"> </w:t>
      </w:r>
      <w:proofErr w:type="spellStart"/>
      <w:r>
        <w:rPr>
          <w:rStyle w:val="RevisionText"/>
          <w:color w:val="000000" w:themeColor="text1"/>
        </w:rPr>
        <w:t>candidum</w:t>
      </w:r>
      <w:proofErr w:type="spellEnd"/>
      <w:r>
        <w:rPr>
          <w:rStyle w:val="RevisionText"/>
          <w:color w:val="000000" w:themeColor="text1"/>
        </w:rPr>
        <w:t xml:space="preserve"> (oospora </w:t>
      </w:r>
      <w:proofErr w:type="spellStart"/>
      <w:r>
        <w:rPr>
          <w:rStyle w:val="RevisionText"/>
          <w:color w:val="000000" w:themeColor="text1"/>
        </w:rPr>
        <w:t>lactis</w:t>
      </w:r>
      <w:proofErr w:type="spellEnd"/>
      <w:r>
        <w:rPr>
          <w:rStyle w:val="RevisionText"/>
          <w:color w:val="000000" w:themeColor="text1"/>
        </w:rPr>
        <w:t>)"</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lastRenderedPageBreak/>
        <w:t>Articolo 5</w:t>
      </w:r>
    </w:p>
    <w:p w14:paraId="6B9DC4DC" w14:textId="77777777" w:rsidR="00A41ACF" w:rsidRPr="0016085B" w:rsidRDefault="00A41ACF" w:rsidP="00A41ACF">
      <w:pPr>
        <w:pStyle w:val="Artikelberschrift"/>
        <w:rPr>
          <w:color w:val="000000" w:themeColor="text1"/>
        </w:rPr>
      </w:pPr>
      <w:r>
        <w:rPr>
          <w:rStyle w:val="Marker"/>
          <w:color w:val="000000" w:themeColor="text1"/>
        </w:rPr>
        <w:t>Modifica del regolamento sul burro</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L'articolo 2, paragrafo 4, e l'articolo 5, paragrafo 5, del regolamento sul burro del 3 febbraio 1997 (</w:t>
      </w:r>
      <w:proofErr w:type="spellStart"/>
      <w:r>
        <w:rPr>
          <w:rStyle w:val="Marker"/>
          <w:color w:val="000000" w:themeColor="text1"/>
        </w:rPr>
        <w:t>BGBl</w:t>
      </w:r>
      <w:proofErr w:type="spellEnd"/>
      <w:r>
        <w:rPr>
          <w:rStyle w:val="Marker"/>
          <w:color w:val="000000" w:themeColor="text1"/>
        </w:rPr>
        <w:t>. I, pag. 144), da ultimo modificato dall'articolo 19 del regolamento del 5 luglio 2017 (</w:t>
      </w:r>
      <w:proofErr w:type="spellStart"/>
      <w:r>
        <w:rPr>
          <w:rStyle w:val="Marker"/>
          <w:color w:val="000000" w:themeColor="text1"/>
        </w:rPr>
        <w:t>BGBl</w:t>
      </w:r>
      <w:proofErr w:type="spellEnd"/>
      <w:r>
        <w:rPr>
          <w:rStyle w:val="Marker"/>
          <w:color w:val="000000" w:themeColor="text1"/>
        </w:rPr>
        <w:t xml:space="preserve">. I, pag. 2272) è abrogato.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Articolo 6</w:t>
      </w:r>
    </w:p>
    <w:p w14:paraId="13320EFE" w14:textId="77777777" w:rsidR="008C3136" w:rsidRPr="0016085B" w:rsidRDefault="008C3136" w:rsidP="008C3136">
      <w:pPr>
        <w:pStyle w:val="Artikelberschrift"/>
        <w:rPr>
          <w:color w:val="000000" w:themeColor="text1"/>
        </w:rPr>
      </w:pPr>
      <w:r>
        <w:rPr>
          <w:rStyle w:val="Marker"/>
          <w:color w:val="000000" w:themeColor="text1"/>
        </w:rPr>
        <w:t>Modifica del regolamento che applica la legge provvisoria sulla birra</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All'articolo 17, paragrafo 1, frase 2, del regolamento che applica la legge provvisoria sulla birra, nella versione pubblicata il 29 luglio 1993 (</w:t>
      </w:r>
      <w:proofErr w:type="spellStart"/>
      <w:r>
        <w:rPr>
          <w:rStyle w:val="Marker"/>
          <w:color w:val="000000" w:themeColor="text1"/>
        </w:rPr>
        <w:t>BGBl</w:t>
      </w:r>
      <w:proofErr w:type="spellEnd"/>
      <w:r>
        <w:rPr>
          <w:rStyle w:val="Marker"/>
          <w:color w:val="000000" w:themeColor="text1"/>
        </w:rPr>
        <w:t>. I, pag. 1422), da ultimo modificato dall'articolo 2 del regolamento dell'8 dicembre 2000 (</w:t>
      </w:r>
      <w:proofErr w:type="spellStart"/>
      <w:r>
        <w:rPr>
          <w:rStyle w:val="Marker"/>
          <w:color w:val="000000" w:themeColor="text1"/>
        </w:rPr>
        <w:t>BGBl</w:t>
      </w:r>
      <w:proofErr w:type="spellEnd"/>
      <w:r>
        <w:rPr>
          <w:rStyle w:val="Marker"/>
          <w:color w:val="000000" w:themeColor="text1"/>
        </w:rPr>
        <w:t>. I, pag. 1686), le parole</w:t>
      </w:r>
      <w:r>
        <w:rPr>
          <w:color w:val="000000" w:themeColor="text1"/>
        </w:rPr>
        <w:t xml:space="preserve"> </w:t>
      </w:r>
      <w:r>
        <w:rPr>
          <w:rStyle w:val="RevisionText"/>
          <w:color w:val="000000" w:themeColor="text1"/>
        </w:rPr>
        <w:t xml:space="preserve">"regolamento sull'approvazione degli additivi” </w:t>
      </w:r>
      <w:r>
        <w:rPr>
          <w:rStyle w:val="Marker"/>
          <w:color w:val="000000" w:themeColor="text1"/>
        </w:rPr>
        <w:t>sono sostituite dalle</w:t>
      </w:r>
      <w:r>
        <w:rPr>
          <w:color w:val="000000" w:themeColor="text1"/>
        </w:rPr>
        <w:t xml:space="preserve"> </w:t>
      </w:r>
      <w:proofErr w:type="gramStart"/>
      <w:r>
        <w:rPr>
          <w:rStyle w:val="RevisionText"/>
          <w:color w:val="000000" w:themeColor="text1"/>
        </w:rPr>
        <w:t>parole</w:t>
      </w:r>
      <w:r>
        <w:rPr>
          <w:color w:val="000000" w:themeColor="text1"/>
        </w:rPr>
        <w:t xml:space="preserve"> </w:t>
      </w:r>
      <w:r>
        <w:rPr>
          <w:rStyle w:val="Marker"/>
          <w:color w:val="000000" w:themeColor="text1"/>
        </w:rPr>
        <w:t xml:space="preserve"> "</w:t>
      </w:r>
      <w:proofErr w:type="gramEnd"/>
      <w:r>
        <w:rPr>
          <w:rStyle w:val="Marker"/>
          <w:color w:val="000000" w:themeColor="text1"/>
        </w:rPr>
        <w:t>regolamento di attuazione sugli additivi alimentari".</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Articolo 7</w:t>
      </w:r>
    </w:p>
    <w:p w14:paraId="2CF50561" w14:textId="67FB83BB" w:rsidR="008C3136" w:rsidRPr="0016085B" w:rsidRDefault="008C3136" w:rsidP="008C3136">
      <w:pPr>
        <w:pStyle w:val="Artikelberschrift"/>
        <w:rPr>
          <w:color w:val="000000" w:themeColor="text1"/>
        </w:rPr>
      </w:pPr>
      <w:r>
        <w:rPr>
          <w:rStyle w:val="Marker"/>
          <w:color w:val="000000" w:themeColor="text1"/>
        </w:rPr>
        <w:t>Modifica del regolamento sulle bevande alcoliche</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All'articolo 10, paragrafo 6, del regolamento sulle bevande alcoliche, nella versione pubblicata il 30 giugno 2003 (</w:t>
      </w:r>
      <w:proofErr w:type="spellStart"/>
      <w:r>
        <w:rPr>
          <w:rStyle w:val="Marker"/>
          <w:color w:val="000000" w:themeColor="text1"/>
        </w:rPr>
        <w:t>BGBl</w:t>
      </w:r>
      <w:proofErr w:type="spellEnd"/>
      <w:r>
        <w:rPr>
          <w:rStyle w:val="Marker"/>
          <w:color w:val="000000" w:themeColor="text1"/>
        </w:rPr>
        <w:t>. I, pag. 1255), da ultimo modificato dall'articolo 15 del regolamento del 5 luglio 2017 (</w:t>
      </w:r>
      <w:proofErr w:type="spellStart"/>
      <w:r>
        <w:rPr>
          <w:rStyle w:val="Marker"/>
          <w:color w:val="000000" w:themeColor="text1"/>
        </w:rPr>
        <w:t>BGBl</w:t>
      </w:r>
      <w:proofErr w:type="spellEnd"/>
      <w:r>
        <w:rPr>
          <w:rStyle w:val="Marker"/>
          <w:color w:val="000000" w:themeColor="text1"/>
        </w:rPr>
        <w:t>. I, pag. 2272), le parole</w:t>
      </w:r>
      <w:r>
        <w:rPr>
          <w:rStyle w:val="RevisionText"/>
          <w:color w:val="000000" w:themeColor="text1"/>
        </w:rPr>
        <w:t xml:space="preserve"> "regolamento sull'approvazione degli additivi” </w:t>
      </w:r>
      <w:r>
        <w:rPr>
          <w:rStyle w:val="Marker"/>
          <w:color w:val="000000" w:themeColor="text1"/>
        </w:rPr>
        <w:t>sono sostituite dalle</w:t>
      </w:r>
      <w:r>
        <w:rPr>
          <w:color w:val="000000" w:themeColor="text1"/>
        </w:rPr>
        <w:t xml:space="preserve"> </w:t>
      </w:r>
      <w:r>
        <w:rPr>
          <w:rStyle w:val="RevisionText"/>
          <w:color w:val="000000" w:themeColor="text1"/>
        </w:rPr>
        <w:t xml:space="preserve">parole </w:t>
      </w:r>
      <w:r>
        <w:rPr>
          <w:rStyle w:val="Marker"/>
          <w:color w:val="000000" w:themeColor="text1"/>
        </w:rPr>
        <w:t xml:space="preserve">"regolamento di attuazione sugli additivi alimentari".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Articolo 8</w:t>
      </w:r>
    </w:p>
    <w:p w14:paraId="259F6C91" w14:textId="77777777" w:rsidR="00620BBC" w:rsidRPr="0016085B" w:rsidRDefault="00620BBC" w:rsidP="00B52D80">
      <w:pPr>
        <w:pStyle w:val="Artikelberschrift"/>
        <w:rPr>
          <w:color w:val="000000" w:themeColor="text1"/>
        </w:rPr>
      </w:pPr>
      <w:r>
        <w:rPr>
          <w:rStyle w:val="Marker"/>
          <w:color w:val="000000" w:themeColor="text1"/>
        </w:rPr>
        <w:t>Entrata in vigore e abrogazione</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Il presente regolamento entra in vigore il giorno successivo alla sua pubblicazione. Al contempo sono abrogati il regolamento sull'approvazione degli additivi del 29 gennaio 1998 (</w:t>
      </w:r>
      <w:proofErr w:type="spellStart"/>
      <w:r>
        <w:rPr>
          <w:rStyle w:val="Marker"/>
          <w:color w:val="000000" w:themeColor="text1"/>
        </w:rPr>
        <w:t>BGBl</w:t>
      </w:r>
      <w:proofErr w:type="spellEnd"/>
      <w:r>
        <w:rPr>
          <w:rStyle w:val="Marker"/>
          <w:color w:val="000000" w:themeColor="text1"/>
        </w:rPr>
        <w:t>. I, pagg. 230, 231), da ultimo modificato dall'articolo 23 del regolamento del 5 luglio 2017 (</w:t>
      </w:r>
      <w:proofErr w:type="spellStart"/>
      <w:r>
        <w:rPr>
          <w:rStyle w:val="Marker"/>
          <w:color w:val="000000" w:themeColor="text1"/>
        </w:rPr>
        <w:t>BGBl</w:t>
      </w:r>
      <w:proofErr w:type="spellEnd"/>
      <w:r>
        <w:rPr>
          <w:rStyle w:val="Marker"/>
          <w:color w:val="000000" w:themeColor="text1"/>
        </w:rPr>
        <w:t>. I, pag. 2272) e il regolamento sulla distribuzione di additivi del 29 gennaio 1998 (</w:t>
      </w:r>
      <w:proofErr w:type="spellStart"/>
      <w:r>
        <w:rPr>
          <w:rStyle w:val="Marker"/>
          <w:color w:val="000000" w:themeColor="text1"/>
        </w:rPr>
        <w:t>BGBl</w:t>
      </w:r>
      <w:proofErr w:type="spellEnd"/>
      <w:r>
        <w:rPr>
          <w:rStyle w:val="Marker"/>
          <w:color w:val="000000" w:themeColor="text1"/>
        </w:rPr>
        <w:t>. I, pagg. 230, 269), da ultimo modificato dall'articolo 2 del regolamento del 28 marzo 2011 (</w:t>
      </w:r>
      <w:proofErr w:type="spellStart"/>
      <w:r>
        <w:rPr>
          <w:rStyle w:val="Marker"/>
          <w:color w:val="000000" w:themeColor="text1"/>
        </w:rPr>
        <w:t>BGBl</w:t>
      </w:r>
      <w:proofErr w:type="spellEnd"/>
      <w:r>
        <w:rPr>
          <w:rStyle w:val="Marker"/>
          <w:color w:val="000000" w:themeColor="text1"/>
        </w:rPr>
        <w:t>. I, pag. 530).</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Con l'approvazione del Bundesrat.</w:t>
      </w:r>
    </w:p>
    <w:p w14:paraId="5EE3F538" w14:textId="41C0B4A0" w:rsidR="00BF08F3" w:rsidRDefault="00BF08F3" w:rsidP="00BF08F3">
      <w:pPr>
        <w:pStyle w:val="OrtDatum"/>
        <w:jc w:val="left"/>
        <w:rPr>
          <w:color w:val="000000" w:themeColor="text1"/>
        </w:rPr>
      </w:pPr>
      <w:r>
        <w:rPr>
          <w:color w:val="000000" w:themeColor="text1"/>
        </w:rPr>
        <w:t>Bonn, 2 giugno 2021</w:t>
      </w:r>
    </w:p>
    <w:p w14:paraId="18DE2D41" w14:textId="77777777" w:rsidR="00820430" w:rsidRPr="00820430" w:rsidRDefault="00820430" w:rsidP="00820430">
      <w:pPr>
        <w:pStyle w:val="Organisation"/>
      </w:pPr>
    </w:p>
    <w:p w14:paraId="6A4347CC" w14:textId="77777777" w:rsidR="00BF08F3" w:rsidRPr="0016085B" w:rsidRDefault="00BF08F3" w:rsidP="00BF08F3">
      <w:pPr>
        <w:pStyle w:val="Organisation"/>
        <w:rPr>
          <w:color w:val="000000" w:themeColor="text1"/>
        </w:rPr>
      </w:pPr>
      <w:r>
        <w:rPr>
          <w:color w:val="000000" w:themeColor="text1"/>
        </w:rPr>
        <w:lastRenderedPageBreak/>
        <w:t>La ministra federale dell'Alimentazione e dell'agricoltura</w:t>
      </w:r>
    </w:p>
    <w:p w14:paraId="0468343C" w14:textId="2051C122" w:rsidR="00620BBC" w:rsidRPr="0016085B" w:rsidRDefault="00E96D90" w:rsidP="0016085B">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614C" w14:textId="77777777" w:rsidR="00F14DBA" w:rsidRDefault="00F14DBA">
      <w:pPr>
        <w:spacing w:before="0" w:after="0"/>
      </w:pPr>
      <w:r>
        <w:separator/>
      </w:r>
    </w:p>
  </w:endnote>
  <w:endnote w:type="continuationSeparator" w:id="0">
    <w:p w14:paraId="39636D1B" w14:textId="77777777" w:rsidR="00F14DBA" w:rsidRDefault="00F14DBA">
      <w:pPr>
        <w:spacing w:before="0" w:after="0"/>
      </w:pPr>
      <w:r>
        <w:continuationSeparator/>
      </w:r>
    </w:p>
  </w:endnote>
  <w:endnote w:type="continuationNotice" w:id="1">
    <w:p w14:paraId="3BC218A0" w14:textId="77777777" w:rsidR="00F14DBA" w:rsidRDefault="00F14D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65AB" w14:textId="77777777" w:rsidR="00F14DBA" w:rsidRDefault="00F14DBA">
      <w:pPr>
        <w:spacing w:before="0" w:after="0"/>
      </w:pPr>
      <w:r>
        <w:separator/>
      </w:r>
    </w:p>
  </w:footnote>
  <w:footnote w:type="continuationSeparator" w:id="0">
    <w:p w14:paraId="1BF0184D" w14:textId="77777777" w:rsidR="00F14DBA" w:rsidRDefault="00F14DBA">
      <w:pPr>
        <w:spacing w:before="0" w:after="0"/>
      </w:pPr>
      <w:r>
        <w:continuationSeparator/>
      </w:r>
    </w:p>
  </w:footnote>
  <w:footnote w:type="continuationNotice" w:id="1">
    <w:p w14:paraId="263AA2AF" w14:textId="77777777" w:rsidR="00F14DBA" w:rsidRDefault="00F14DBA">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Sono stati rispettati gli obblighi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F14DBA">
      <w:fldChar w:fldCharType="begin"/>
    </w:r>
    <w:r w:rsidR="00F14DBA">
      <w:instrText xml:space="preserve"> DOCPROPERTY "Bearbeitungsstand" \* MERGEFORMAT </w:instrText>
    </w:r>
    <w:r w:rsidR="00F14DBA">
      <w:fldChar w:fldCharType="separate"/>
    </w:r>
    <w:proofErr w:type="spellStart"/>
    <w:r w:rsidRPr="00801EED">
      <w:rPr>
        <w:sz w:val="18"/>
      </w:rPr>
      <w:t>Bearbeitungsstand</w:t>
    </w:r>
    <w:proofErr w:type="spellEnd"/>
    <w:r w:rsidRPr="00801EED">
      <w:rPr>
        <w:sz w:val="18"/>
      </w:rPr>
      <w:t xml:space="preserve">: </w:t>
    </w:r>
    <w:proofErr w:type="gramStart"/>
    <w:r w:rsidRPr="00801EED">
      <w:rPr>
        <w:sz w:val="18"/>
      </w:rPr>
      <w:t>10.03.2021  15</w:t>
    </w:r>
    <w:proofErr w:type="gramEnd"/>
    <w:r w:rsidRPr="00801EED">
      <w:rPr>
        <w:sz w:val="18"/>
      </w:rPr>
      <w:t xml:space="preserve">:03 </w:t>
    </w:r>
    <w:proofErr w:type="spellStart"/>
    <w:r w:rsidRPr="00801EED">
      <w:rPr>
        <w:sz w:val="18"/>
      </w:rPr>
      <w:t>Uhr</w:t>
    </w:r>
    <w:proofErr w:type="spellEnd"/>
    <w:r w:rsidR="00F14DB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430"/>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4DBA"/>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2615</Words>
  <Characters>19042</Characters>
  <Application>Microsoft Office Word</Application>
  <DocSecurity>0</DocSecurity>
  <Lines>396</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2022-02-14T09:03:00Z</dcterms:created>
  <dcterms:modified xsi:type="dcterms:W3CDTF">2022-02-14T09:03:00Z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