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EAEEF" w14:textId="77777777" w:rsidR="00B50B1E" w:rsidRPr="00AC459C" w:rsidRDefault="00B50B1E" w:rsidP="007C6B1F">
      <w:pPr>
        <w:spacing w:line="276" w:lineRule="auto"/>
        <w:rPr>
          <w:rFonts w:ascii="Verdana" w:hAnsi="Verdana" w:cs="Arial"/>
          <w:sz w:val="20"/>
        </w:rPr>
      </w:pPr>
      <w:bookmarkStart w:id="0" w:name="_Hlk12871277"/>
      <w:bookmarkStart w:id="1" w:name="_Hlk11742238"/>
      <w:r w:rsidRPr="00AC459C">
        <w:rPr>
          <w:rFonts w:ascii="Verdana" w:hAnsi="Verdana"/>
          <w:noProof/>
          <w:sz w:val="20"/>
        </w:rPr>
        <w:drawing>
          <wp:inline distT="0" distB="0" distL="0" distR="0" wp14:anchorId="6BEFF026" wp14:editId="267011B7">
            <wp:extent cx="1566977" cy="720000"/>
            <wp:effectExtent l="0" t="0" r="0" b="4445"/>
            <wp:docPr id="5" name="Afbeelding 5" descr="C:\Users\Spillekr\AppData\Local\Microsoft\Windows\Temporary Internet Files\Content.Outlook\WBA55KF8\Logo Vlaamse Rege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pic:nvPicPr>
                  <pic:blipFill>
                    <a:blip r:embed="rId11">
                      <a:extLst>
                        <a:ext uri="{28A0092B-C50C-407E-A947-70E740481C1C}">
                          <a14:useLocalDpi xmlns:a14="http://schemas.microsoft.com/office/drawing/2010/main" val="0"/>
                        </a:ext>
                      </a:extLst>
                    </a:blip>
                    <a:stretch>
                      <a:fillRect/>
                    </a:stretch>
                  </pic:blipFill>
                  <pic:spPr>
                    <a:xfrm>
                      <a:off x="0" y="0"/>
                      <a:ext cx="1566977" cy="720000"/>
                    </a:xfrm>
                    <a:prstGeom prst="rect">
                      <a:avLst/>
                    </a:prstGeom>
                  </pic:spPr>
                </pic:pic>
              </a:graphicData>
            </a:graphic>
          </wp:inline>
        </w:drawing>
      </w:r>
    </w:p>
    <w:p w14:paraId="00E9D8BA" w14:textId="77777777" w:rsidR="00B50B1E" w:rsidRPr="00AC459C" w:rsidRDefault="00B50B1E" w:rsidP="007C6B1F">
      <w:pPr>
        <w:spacing w:line="276" w:lineRule="auto"/>
        <w:rPr>
          <w:rFonts w:ascii="Verdana" w:hAnsi="Verdana" w:cs="Arial"/>
          <w:sz w:val="20"/>
        </w:rPr>
      </w:pPr>
    </w:p>
    <w:p w14:paraId="262BF924" w14:textId="77777777" w:rsidR="00B50B1E" w:rsidRPr="00AC459C" w:rsidRDefault="00B50B1E" w:rsidP="007C6B1F">
      <w:pPr>
        <w:spacing w:line="276" w:lineRule="auto"/>
        <w:rPr>
          <w:rFonts w:ascii="Verdana" w:hAnsi="Verdana" w:cs="Arial"/>
          <w:sz w:val="20"/>
        </w:rPr>
      </w:pPr>
    </w:p>
    <w:p w14:paraId="22156E85" w14:textId="0306659B" w:rsidR="0057232D" w:rsidRPr="00AC459C" w:rsidRDefault="0057232D" w:rsidP="007C6B1F">
      <w:pPr>
        <w:spacing w:line="276" w:lineRule="auto"/>
        <w:rPr>
          <w:rFonts w:ascii="Verdana" w:hAnsi="Verdana" w:cstheme="minorHAnsi"/>
          <w:b/>
          <w:spacing w:val="-3"/>
          <w:sz w:val="24"/>
          <w:szCs w:val="24"/>
        </w:rPr>
      </w:pPr>
      <w:r w:rsidRPr="00AC459C">
        <w:rPr>
          <w:rFonts w:ascii="Verdana" w:hAnsi="Verdana"/>
          <w:b/>
          <w:sz w:val="24"/>
          <w:szCs w:val="24"/>
        </w:rPr>
        <w:t>Decisão do Governo da Flandres que altera o Regulamento da Flandres relativo às licenças ambientais (VLAREME), de 28 de outubro de 2016, no que se refere à declaração e ao registo de fertilizantes e fertilização</w:t>
      </w:r>
    </w:p>
    <w:p w14:paraId="58C844ED" w14:textId="77777777" w:rsidR="00B50B1E" w:rsidRPr="00AC459C" w:rsidRDefault="00B50B1E" w:rsidP="007C6B1F">
      <w:pPr>
        <w:spacing w:line="276" w:lineRule="auto"/>
        <w:rPr>
          <w:rFonts w:ascii="Verdana" w:hAnsi="Verdana" w:cs="Arial"/>
          <w:sz w:val="20"/>
        </w:rPr>
      </w:pPr>
    </w:p>
    <w:p w14:paraId="16092E87" w14:textId="77777777" w:rsidR="00B50B1E" w:rsidRPr="00AC459C" w:rsidRDefault="00B50B1E" w:rsidP="007C6B1F">
      <w:pPr>
        <w:spacing w:line="276" w:lineRule="auto"/>
        <w:rPr>
          <w:rFonts w:ascii="Verdana" w:hAnsi="Verdana" w:cs="Arial"/>
          <w:sz w:val="20"/>
        </w:rPr>
      </w:pPr>
    </w:p>
    <w:p w14:paraId="794AA258" w14:textId="1314999C" w:rsidR="00B50B1E" w:rsidRPr="00AC459C" w:rsidRDefault="00B50B1E" w:rsidP="007C6B1F">
      <w:pPr>
        <w:spacing w:line="276" w:lineRule="auto"/>
        <w:rPr>
          <w:rFonts w:ascii="Verdana" w:hAnsi="Verdana" w:cs="Arial"/>
          <w:b/>
          <w:sz w:val="20"/>
        </w:rPr>
      </w:pPr>
      <w:r w:rsidRPr="00AC459C">
        <w:rPr>
          <w:rFonts w:ascii="Verdana" w:hAnsi="Verdana"/>
          <w:b/>
          <w:sz w:val="20"/>
        </w:rPr>
        <w:t>Base jurídica</w:t>
      </w:r>
    </w:p>
    <w:p w14:paraId="3F42F7BD" w14:textId="77777777" w:rsidR="00B50B1E" w:rsidRPr="00AC459C" w:rsidRDefault="00B50B1E" w:rsidP="007C6B1F">
      <w:pPr>
        <w:spacing w:line="276" w:lineRule="auto"/>
        <w:rPr>
          <w:rFonts w:ascii="Verdana" w:hAnsi="Verdana" w:cs="Arial"/>
          <w:sz w:val="20"/>
        </w:rPr>
      </w:pPr>
    </w:p>
    <w:p w14:paraId="0726EB8D" w14:textId="4E605674" w:rsidR="00B50B1E" w:rsidRPr="00AC459C" w:rsidRDefault="00B50B1E" w:rsidP="007C6B1F">
      <w:pPr>
        <w:spacing w:line="276" w:lineRule="auto"/>
        <w:rPr>
          <w:rFonts w:ascii="Verdana" w:hAnsi="Verdana" w:cs="Arial"/>
          <w:sz w:val="20"/>
        </w:rPr>
      </w:pPr>
      <w:r w:rsidRPr="00AC459C">
        <w:rPr>
          <w:rFonts w:ascii="Verdana" w:hAnsi="Verdana"/>
          <w:sz w:val="20"/>
        </w:rPr>
        <w:t>A presente decisão é baseada no:</w:t>
      </w:r>
    </w:p>
    <w:p w14:paraId="60E18AFD" w14:textId="24D0AA4E" w:rsidR="002C354F" w:rsidRPr="00AC459C" w:rsidRDefault="00AC459C" w:rsidP="007C6B1F">
      <w:pPr>
        <w:spacing w:line="276" w:lineRule="auto"/>
        <w:rPr>
          <w:rFonts w:ascii="Verdana" w:hAnsi="Verdana" w:cs="Arial"/>
          <w:sz w:val="20"/>
        </w:rPr>
      </w:pPr>
      <w:r>
        <w:rPr>
          <w:rFonts w:ascii="Verdana" w:hAnsi="Verdana"/>
          <w:sz w:val="20"/>
        </w:rPr>
        <w:t>-</w:t>
      </w:r>
      <w:r w:rsidR="002C354F" w:rsidRPr="00AC459C">
        <w:rPr>
          <w:rFonts w:ascii="Verdana" w:hAnsi="Verdana"/>
          <w:sz w:val="20"/>
        </w:rPr>
        <w:t xml:space="preserve"> a Lei Especial de 8 de agosto de 1980 sobre a reforma das instituições, artigo 20.º, com a redação que lhe foi dada pela Lei Especial de 16 de julho de 1993;</w:t>
      </w:r>
    </w:p>
    <w:p w14:paraId="70AED5C5" w14:textId="6009BC07" w:rsidR="0078245C" w:rsidRPr="00AC459C" w:rsidRDefault="00AC459C" w:rsidP="007C6B1F">
      <w:pPr>
        <w:spacing w:line="276" w:lineRule="auto"/>
        <w:rPr>
          <w:rFonts w:ascii="Verdana" w:hAnsi="Verdana" w:cs="Arial"/>
          <w:sz w:val="20"/>
        </w:rPr>
      </w:pPr>
      <w:r>
        <w:rPr>
          <w:rFonts w:ascii="Verdana" w:hAnsi="Verdana"/>
          <w:sz w:val="20"/>
        </w:rPr>
        <w:t>-</w:t>
      </w:r>
      <w:r w:rsidR="00B7517A" w:rsidRPr="00AC459C">
        <w:rPr>
          <w:rFonts w:ascii="Verdana" w:hAnsi="Verdana"/>
          <w:sz w:val="20"/>
        </w:rPr>
        <w:t xml:space="preserve"> Decreto relativo ao estrume, de 22 de dezembro de 2006, artigo 4.º, n.º 3, introduzido pelo Decreto de 12 de dezembro de 2008 e alterado pelo Decreto de 12 de junho de 2015, artigo 13.º, n.º 10, substituído pelo Decreto de 12 de junho de 2015 e alterado pelo Decreto de 24 de maio de 2019, artigo 23.º, n.º 7, </w:t>
      </w:r>
      <w:bookmarkStart w:id="2" w:name="_Hlk34138488"/>
      <w:r w:rsidR="00B7517A" w:rsidRPr="00AC459C">
        <w:rPr>
          <w:rFonts w:ascii="Verdana" w:hAnsi="Verdana"/>
          <w:sz w:val="20"/>
        </w:rPr>
        <w:t>substituído pelo Decreto de 12 de junho de 2015</w:t>
      </w:r>
      <w:bookmarkEnd w:id="2"/>
      <w:r w:rsidR="00B7517A" w:rsidRPr="00AC459C">
        <w:rPr>
          <w:rFonts w:ascii="Verdana" w:hAnsi="Verdana"/>
          <w:sz w:val="20"/>
        </w:rPr>
        <w:t>, artigo 24.º, n.º 2, com a redação que lhe foi dada pelos Decretos de 28 de fevereiro de 2014 e 24 de maio de 2019, n.º 5, com a redação que lhe foi dada pelo Decreto de 12 de junho de 2015, e n.º 6, introduzido pelo Decreto de 24 de maio de 2019.</w:t>
      </w:r>
    </w:p>
    <w:p w14:paraId="5F64AC1F" w14:textId="77777777" w:rsidR="00B50B1E" w:rsidRPr="00AC459C" w:rsidRDefault="00B50B1E" w:rsidP="007C6B1F">
      <w:pPr>
        <w:spacing w:line="276" w:lineRule="auto"/>
        <w:rPr>
          <w:rFonts w:ascii="Verdana" w:hAnsi="Verdana" w:cs="Arial"/>
          <w:sz w:val="20"/>
        </w:rPr>
      </w:pPr>
    </w:p>
    <w:p w14:paraId="342C1BFF" w14:textId="55225164" w:rsidR="00B50B1E" w:rsidRPr="00AC459C" w:rsidRDefault="00B50B1E" w:rsidP="007C6B1F">
      <w:pPr>
        <w:spacing w:line="276" w:lineRule="auto"/>
        <w:rPr>
          <w:rFonts w:ascii="Verdana" w:hAnsi="Verdana" w:cs="Arial"/>
          <w:b/>
          <w:sz w:val="20"/>
        </w:rPr>
      </w:pPr>
      <w:r w:rsidRPr="00AC459C">
        <w:rPr>
          <w:rFonts w:ascii="Verdana" w:hAnsi="Verdana"/>
          <w:b/>
          <w:sz w:val="20"/>
        </w:rPr>
        <w:t>Requisitos processuais</w:t>
      </w:r>
    </w:p>
    <w:p w14:paraId="1B3ACD58" w14:textId="77777777" w:rsidR="00B50B1E" w:rsidRPr="00AC459C" w:rsidRDefault="00B50B1E" w:rsidP="007C6B1F">
      <w:pPr>
        <w:spacing w:line="276" w:lineRule="auto"/>
        <w:rPr>
          <w:rFonts w:ascii="Verdana" w:hAnsi="Verdana" w:cs="Arial"/>
          <w:sz w:val="20"/>
        </w:rPr>
      </w:pPr>
    </w:p>
    <w:p w14:paraId="39E47C4A" w14:textId="683557E7" w:rsidR="00B50B1E" w:rsidRPr="00AC459C" w:rsidRDefault="00B50B1E" w:rsidP="007C6B1F">
      <w:pPr>
        <w:spacing w:line="276" w:lineRule="auto"/>
        <w:rPr>
          <w:rFonts w:ascii="Verdana" w:hAnsi="Verdana" w:cs="Arial"/>
          <w:sz w:val="20"/>
        </w:rPr>
      </w:pPr>
      <w:r w:rsidRPr="00AC459C">
        <w:rPr>
          <w:rFonts w:ascii="Verdana" w:hAnsi="Verdana"/>
          <w:sz w:val="20"/>
        </w:rPr>
        <w:t>Foram cumpridos os seguintes requisitos processuais:</w:t>
      </w:r>
    </w:p>
    <w:p w14:paraId="17F69227" w14:textId="5B2FA619" w:rsidR="001C5306" w:rsidRPr="00AC459C" w:rsidRDefault="00AC459C" w:rsidP="007C6B1F">
      <w:pPr>
        <w:spacing w:line="276" w:lineRule="auto"/>
        <w:rPr>
          <w:rFonts w:ascii="Verdana" w:eastAsiaTheme="minorHAnsi" w:hAnsi="Verdana" w:cs="Verdana"/>
          <w:sz w:val="20"/>
        </w:rPr>
      </w:pPr>
      <w:r>
        <w:rPr>
          <w:rFonts w:ascii="Verdana" w:hAnsi="Verdana"/>
          <w:sz w:val="20"/>
        </w:rPr>
        <w:t>-</w:t>
      </w:r>
      <w:r w:rsidR="001C5306" w:rsidRPr="00AC459C">
        <w:rPr>
          <w:rFonts w:ascii="Verdana" w:hAnsi="Verdana"/>
          <w:sz w:val="20"/>
        </w:rPr>
        <w:t xml:space="preserve"> A Inspeção das Finanças emitiu o seu parecer em 16 de julho de 2020,</w:t>
      </w:r>
    </w:p>
    <w:p w14:paraId="1CD8B094" w14:textId="0ABE0F5F" w:rsidR="0057232D" w:rsidRPr="00AC459C" w:rsidRDefault="00AC459C" w:rsidP="007C6B1F">
      <w:pPr>
        <w:spacing w:line="276" w:lineRule="auto"/>
        <w:rPr>
          <w:rFonts w:ascii="Verdana" w:eastAsiaTheme="minorHAnsi" w:hAnsi="Verdana" w:cs="Verdana"/>
          <w:sz w:val="20"/>
        </w:rPr>
      </w:pPr>
      <w:r>
        <w:rPr>
          <w:rFonts w:ascii="Verdana" w:hAnsi="Verdana"/>
          <w:sz w:val="20"/>
        </w:rPr>
        <w:t>-</w:t>
      </w:r>
      <w:r w:rsidR="0057232D" w:rsidRPr="00AC459C">
        <w:rPr>
          <w:rFonts w:ascii="Verdana" w:hAnsi="Verdana"/>
          <w:sz w:val="20"/>
        </w:rPr>
        <w:t xml:space="preserve"> A Comissão</w:t>
      </w:r>
      <w:bookmarkStart w:id="3" w:name="_Hlk31017701"/>
      <w:r w:rsidR="0057232D" w:rsidRPr="00AC459C">
        <w:rPr>
          <w:rFonts w:ascii="Verdana" w:hAnsi="Verdana"/>
          <w:sz w:val="20"/>
        </w:rPr>
        <w:t xml:space="preserve"> de supervisão da Flandres para o tratamento de dados pessoais</w:t>
      </w:r>
      <w:bookmarkEnd w:id="3"/>
      <w:r w:rsidR="0057232D" w:rsidRPr="00AC459C">
        <w:rPr>
          <w:rFonts w:ascii="Verdana" w:hAnsi="Verdana"/>
          <w:sz w:val="20"/>
        </w:rPr>
        <w:t xml:space="preserve"> emitiu o Parecer n.º 2020/46 em 4 de novembro de 2020.</w:t>
      </w:r>
    </w:p>
    <w:p w14:paraId="0D80FC20" w14:textId="634CA664" w:rsidR="00B50B1E" w:rsidRPr="00AC459C" w:rsidRDefault="00AC459C" w:rsidP="007C6B1F">
      <w:pPr>
        <w:spacing w:line="276" w:lineRule="auto"/>
        <w:rPr>
          <w:rFonts w:ascii="Verdana" w:eastAsiaTheme="minorHAnsi" w:hAnsi="Verdana" w:cs="Verdana"/>
          <w:sz w:val="20"/>
        </w:rPr>
      </w:pPr>
      <w:r>
        <w:rPr>
          <w:rFonts w:ascii="Verdana" w:hAnsi="Verdana"/>
          <w:sz w:val="20"/>
        </w:rPr>
        <w:t>-</w:t>
      </w:r>
      <w:r w:rsidR="001C5306" w:rsidRPr="00AC459C">
        <w:rPr>
          <w:rFonts w:ascii="Verdana" w:hAnsi="Verdana"/>
          <w:sz w:val="20"/>
        </w:rPr>
        <w:t xml:space="preserve"> O Conselho de Estado emitiu o Parecer n.º 68.157/1 em 12 de novembro de 2020, em conformidade com o artigo 84.º, n.º 1, primeiro parágrafo, ponto 2, das Leis do Conselho de Estado, coordenadas em 12 de janeiro de 1973.</w:t>
      </w:r>
    </w:p>
    <w:p w14:paraId="34448728" w14:textId="032B1830" w:rsidR="00787C27" w:rsidRPr="00AC459C" w:rsidRDefault="00AC459C" w:rsidP="00787C27">
      <w:pPr>
        <w:spacing w:line="276" w:lineRule="auto"/>
        <w:rPr>
          <w:rFonts w:ascii="Verdana" w:eastAsiaTheme="minorHAnsi" w:hAnsi="Verdana" w:cs="Verdana"/>
          <w:sz w:val="20"/>
        </w:rPr>
      </w:pPr>
      <w:r>
        <w:rPr>
          <w:rFonts w:ascii="Verdana" w:hAnsi="Verdana"/>
          <w:sz w:val="20"/>
        </w:rPr>
        <w:t xml:space="preserve">- </w:t>
      </w:r>
      <w:r w:rsidR="00787C27" w:rsidRPr="00AC459C">
        <w:rPr>
          <w:rFonts w:ascii="Verdana" w:hAnsi="Verdana"/>
          <w:sz w:val="20"/>
        </w:rPr>
        <w:t>Este projeto foi comunicado à Comissão Europeia em 19 de novembro de 2020, aplicando o artigo 5.º da Diretiva (UE) 2015/1535 do Parlamento Europeu e do Conselho, de 9 de setembro de 2015, relativa a um procedimento de informação no domínio das regulamentações técnicas e das regras relativas aos serviços da sociedade da informação.</w:t>
      </w:r>
    </w:p>
    <w:p w14:paraId="285517EA" w14:textId="77777777" w:rsidR="00B50B1E" w:rsidRPr="00AC459C" w:rsidRDefault="00B50B1E" w:rsidP="007C6B1F">
      <w:pPr>
        <w:spacing w:line="276" w:lineRule="auto"/>
        <w:rPr>
          <w:rFonts w:ascii="Verdana" w:hAnsi="Verdana" w:cs="Arial"/>
          <w:sz w:val="20"/>
        </w:rPr>
      </w:pPr>
    </w:p>
    <w:p w14:paraId="26A5300B" w14:textId="422DEA6A" w:rsidR="00B50B1E" w:rsidRPr="00AC459C" w:rsidRDefault="00B50B1E" w:rsidP="007C6B1F">
      <w:pPr>
        <w:spacing w:line="276" w:lineRule="auto"/>
        <w:rPr>
          <w:rFonts w:ascii="Verdana" w:hAnsi="Verdana" w:cs="Arial"/>
          <w:b/>
          <w:sz w:val="20"/>
        </w:rPr>
      </w:pPr>
      <w:r w:rsidRPr="00AC459C">
        <w:rPr>
          <w:rFonts w:ascii="Verdana" w:hAnsi="Verdana"/>
          <w:b/>
          <w:sz w:val="20"/>
        </w:rPr>
        <w:t>Proponente</w:t>
      </w:r>
    </w:p>
    <w:p w14:paraId="2A30E5F2" w14:textId="77777777" w:rsidR="00B50B1E" w:rsidRPr="00AC459C" w:rsidRDefault="00B50B1E" w:rsidP="007C6B1F">
      <w:pPr>
        <w:spacing w:line="276" w:lineRule="auto"/>
        <w:rPr>
          <w:rFonts w:ascii="Verdana" w:hAnsi="Verdana" w:cs="Arial"/>
          <w:sz w:val="20"/>
        </w:rPr>
      </w:pPr>
    </w:p>
    <w:p w14:paraId="30F2477C" w14:textId="2096B897" w:rsidR="00B50B1E" w:rsidRPr="00AC459C" w:rsidRDefault="00B50B1E" w:rsidP="007C6B1F">
      <w:pPr>
        <w:spacing w:line="276" w:lineRule="auto"/>
        <w:rPr>
          <w:rFonts w:ascii="Verdana" w:hAnsi="Verdana" w:cs="Arial"/>
          <w:sz w:val="20"/>
        </w:rPr>
      </w:pPr>
      <w:r w:rsidRPr="00AC459C">
        <w:rPr>
          <w:rFonts w:ascii="Verdana" w:hAnsi="Verdana"/>
          <w:sz w:val="20"/>
        </w:rPr>
        <w:t>A presente decisão é proposta pela ministra da Justiça e da Execução, do Ambiente, da Energia e do Turismo da Flandres.</w:t>
      </w:r>
    </w:p>
    <w:p w14:paraId="6689C003" w14:textId="3B0F1D37" w:rsidR="00B50B1E" w:rsidRPr="00AC459C" w:rsidRDefault="00B50B1E" w:rsidP="007C6B1F">
      <w:pPr>
        <w:spacing w:line="276" w:lineRule="auto"/>
        <w:rPr>
          <w:rFonts w:ascii="Verdana" w:hAnsi="Verdana" w:cs="Arial"/>
          <w:sz w:val="20"/>
        </w:rPr>
      </w:pPr>
    </w:p>
    <w:p w14:paraId="4DE0A6E3" w14:textId="77777777" w:rsidR="00970611" w:rsidRPr="00AC459C" w:rsidRDefault="00970611" w:rsidP="007C6B1F">
      <w:pPr>
        <w:spacing w:line="276" w:lineRule="auto"/>
        <w:rPr>
          <w:rFonts w:ascii="Verdana" w:hAnsi="Verdana" w:cs="Arial"/>
          <w:sz w:val="20"/>
        </w:rPr>
      </w:pPr>
    </w:p>
    <w:p w14:paraId="4D9829B3" w14:textId="77777777" w:rsidR="00B50B1E" w:rsidRPr="00AC459C" w:rsidRDefault="00B50B1E" w:rsidP="007C6B1F">
      <w:pPr>
        <w:spacing w:line="276" w:lineRule="auto"/>
        <w:rPr>
          <w:rFonts w:ascii="Verdana" w:hAnsi="Verdana" w:cs="Arial"/>
          <w:sz w:val="20"/>
        </w:rPr>
      </w:pPr>
      <w:r w:rsidRPr="00AC459C">
        <w:rPr>
          <w:rFonts w:ascii="Verdana" w:hAnsi="Verdana"/>
          <w:sz w:val="20"/>
        </w:rPr>
        <w:t>Após deliberação,</w:t>
      </w:r>
    </w:p>
    <w:p w14:paraId="6184A678" w14:textId="77777777" w:rsidR="00B50B1E" w:rsidRPr="00AC459C" w:rsidRDefault="00B50B1E" w:rsidP="007C6B1F">
      <w:pPr>
        <w:spacing w:line="276" w:lineRule="auto"/>
        <w:rPr>
          <w:rFonts w:ascii="Verdana" w:hAnsi="Verdana" w:cs="Arial"/>
          <w:sz w:val="20"/>
        </w:rPr>
      </w:pPr>
    </w:p>
    <w:p w14:paraId="38F33FC2" w14:textId="77777777" w:rsidR="00B50B1E" w:rsidRPr="00AC459C" w:rsidRDefault="00B50B1E" w:rsidP="007C6B1F">
      <w:pPr>
        <w:spacing w:line="276" w:lineRule="auto"/>
        <w:rPr>
          <w:rFonts w:ascii="Verdana" w:hAnsi="Verdana" w:cs="Arial"/>
          <w:sz w:val="20"/>
        </w:rPr>
      </w:pPr>
    </w:p>
    <w:p w14:paraId="66E1BA1C" w14:textId="77777777" w:rsidR="00B50B1E" w:rsidRPr="00AC459C" w:rsidRDefault="00B50B1E" w:rsidP="007C6B1F">
      <w:pPr>
        <w:spacing w:line="276" w:lineRule="auto"/>
        <w:jc w:val="center"/>
        <w:rPr>
          <w:rFonts w:ascii="Verdana" w:hAnsi="Verdana" w:cs="Arial"/>
          <w:sz w:val="20"/>
        </w:rPr>
      </w:pPr>
      <w:r w:rsidRPr="00AC459C">
        <w:rPr>
          <w:rFonts w:ascii="Verdana" w:hAnsi="Verdana"/>
          <w:sz w:val="20"/>
        </w:rPr>
        <w:lastRenderedPageBreak/>
        <w:t>PELA PRESENTE, O GOVERNO DA FLANDRES DECIDE O SEGUINTE:</w:t>
      </w:r>
    </w:p>
    <w:bookmarkEnd w:id="0"/>
    <w:bookmarkEnd w:id="1"/>
    <w:p w14:paraId="7CADACB2" w14:textId="77777777" w:rsidR="00B50B1E" w:rsidRPr="00AC459C" w:rsidRDefault="00B50B1E" w:rsidP="007C6B1F">
      <w:pPr>
        <w:spacing w:line="276" w:lineRule="auto"/>
        <w:rPr>
          <w:rFonts w:ascii="Verdana" w:hAnsi="Verdana" w:cs="Arial"/>
          <w:sz w:val="20"/>
        </w:rPr>
      </w:pPr>
    </w:p>
    <w:p w14:paraId="2DC7116A" w14:textId="77777777" w:rsidR="00B50B1E" w:rsidRPr="00AC459C" w:rsidRDefault="00B50B1E" w:rsidP="007C6B1F">
      <w:pPr>
        <w:spacing w:line="276" w:lineRule="auto"/>
        <w:rPr>
          <w:rFonts w:ascii="Verdana" w:hAnsi="Verdana" w:cs="Arial"/>
          <w:sz w:val="20"/>
        </w:rPr>
      </w:pPr>
    </w:p>
    <w:p w14:paraId="3E373C40" w14:textId="399282F8" w:rsidR="00B50B1E" w:rsidRPr="00AC459C" w:rsidRDefault="00B50B1E">
      <w:pPr>
        <w:spacing w:line="276" w:lineRule="auto"/>
        <w:rPr>
          <w:rFonts w:ascii="Verdana" w:hAnsi="Verdana" w:cs="Arial"/>
          <w:sz w:val="20"/>
        </w:rPr>
      </w:pPr>
      <w:bookmarkStart w:id="4" w:name="_Hlk50978137"/>
      <w:r w:rsidRPr="00AC459C">
        <w:rPr>
          <w:rFonts w:ascii="Verdana" w:hAnsi="Verdana"/>
          <w:b/>
          <w:sz w:val="20"/>
        </w:rPr>
        <w:t>Artigo 1.º</w:t>
      </w:r>
      <w:r w:rsidRPr="00AC459C">
        <w:rPr>
          <w:rFonts w:ascii="Verdana" w:hAnsi="Verdana"/>
          <w:sz w:val="20"/>
        </w:rPr>
        <w:t xml:space="preserve"> No VLAREME de 28 de outubro de 2016,</w:t>
      </w:r>
      <w:bookmarkStart w:id="5" w:name="_Hlk34130674"/>
      <w:bookmarkStart w:id="6" w:name="_Hlk34130995"/>
      <w:bookmarkEnd w:id="4"/>
      <w:r w:rsidRPr="00AC459C">
        <w:rPr>
          <w:rFonts w:ascii="Verdana" w:hAnsi="Verdana"/>
          <w:sz w:val="20"/>
        </w:rPr>
        <w:t xml:space="preserve"> com a redação que lhe foi dada pela Decisão do Governo da Flandres de 29 de maio de 2020, é inserido um novo artigo 2.2.1.4 com a seguinte redação:</w:t>
      </w:r>
      <w:bookmarkEnd w:id="5"/>
    </w:p>
    <w:p w14:paraId="4CD7EE14" w14:textId="77777777" w:rsidR="007C6B1F" w:rsidRPr="00AC459C" w:rsidRDefault="007C6B1F" w:rsidP="007C6B1F">
      <w:pPr>
        <w:spacing w:line="276" w:lineRule="auto"/>
        <w:rPr>
          <w:rFonts w:ascii="Verdana" w:hAnsi="Verdana" w:cs="Arial"/>
          <w:sz w:val="20"/>
        </w:rPr>
      </w:pPr>
    </w:p>
    <w:bookmarkEnd w:id="6"/>
    <w:p w14:paraId="47AE10BD" w14:textId="44EDC404" w:rsidR="002167B8" w:rsidRPr="00AC459C" w:rsidRDefault="00E872C9" w:rsidP="007C6B1F">
      <w:pPr>
        <w:spacing w:line="276" w:lineRule="auto"/>
        <w:rPr>
          <w:rFonts w:ascii="Verdana" w:hAnsi="Verdana" w:cs="Arial"/>
          <w:sz w:val="20"/>
        </w:rPr>
      </w:pPr>
      <w:r w:rsidRPr="00AC459C">
        <w:rPr>
          <w:rFonts w:ascii="Verdana" w:hAnsi="Verdana"/>
          <w:sz w:val="20"/>
        </w:rPr>
        <w:t xml:space="preserve">«Artigo 2.2.1.4. Em derrogação dos artigos 2.2.1.1 a 2.2.1.3, os segundo a nono parágrafos incluídos são aplicáveis ao registo para produtores, distribuidores, importadores ou exportadores de fertilizantes referido no artigo 2.2.3.1 e </w:t>
      </w:r>
      <w:bookmarkStart w:id="7" w:name="_Hlk33003152"/>
      <w:r w:rsidRPr="00AC459C">
        <w:rPr>
          <w:rFonts w:ascii="Verdana" w:hAnsi="Verdana"/>
          <w:sz w:val="20"/>
        </w:rPr>
        <w:t>ao registo para agricultores de fertilizantes referido no artigo 2.2.4.1</w:t>
      </w:r>
      <w:bookmarkEnd w:id="7"/>
      <w:r w:rsidRPr="00AC459C">
        <w:rPr>
          <w:rFonts w:ascii="Verdana" w:hAnsi="Verdana"/>
          <w:sz w:val="20"/>
        </w:rPr>
        <w:t xml:space="preserve">. </w:t>
      </w:r>
    </w:p>
    <w:p w14:paraId="4B8D2B19" w14:textId="77777777" w:rsidR="0097554C" w:rsidRPr="00AC459C" w:rsidRDefault="0097554C" w:rsidP="007C6B1F">
      <w:pPr>
        <w:spacing w:line="276" w:lineRule="auto"/>
        <w:rPr>
          <w:rFonts w:ascii="Verdana" w:hAnsi="Verdana" w:cs="Arial"/>
          <w:sz w:val="20"/>
        </w:rPr>
      </w:pPr>
    </w:p>
    <w:p w14:paraId="65FB33EA" w14:textId="4C52C060" w:rsidR="008C64EA" w:rsidRPr="00AC459C" w:rsidRDefault="0097554C" w:rsidP="00A478D5">
      <w:pPr>
        <w:spacing w:line="276" w:lineRule="auto"/>
        <w:ind w:firstLine="708"/>
        <w:rPr>
          <w:rFonts w:ascii="Verdana" w:hAnsi="Verdana" w:cs="Arial"/>
          <w:sz w:val="20"/>
        </w:rPr>
      </w:pPr>
      <w:bookmarkStart w:id="8" w:name="_Hlk50985504"/>
      <w:r w:rsidRPr="00AC459C">
        <w:rPr>
          <w:rFonts w:ascii="Verdana" w:hAnsi="Verdana"/>
          <w:sz w:val="20"/>
        </w:rPr>
        <w:t>Os registos supramencionados são mantidos através do balcão da Internet disponibilizado pelo Banco de Estrume.</w:t>
      </w:r>
    </w:p>
    <w:bookmarkEnd w:id="8"/>
    <w:p w14:paraId="77313E20" w14:textId="77777777" w:rsidR="007C6B1F" w:rsidRPr="00AC459C" w:rsidRDefault="007C6B1F" w:rsidP="007C6B1F">
      <w:pPr>
        <w:spacing w:line="276" w:lineRule="auto"/>
        <w:rPr>
          <w:rFonts w:ascii="Verdana" w:hAnsi="Verdana" w:cs="Arial"/>
          <w:sz w:val="20"/>
        </w:rPr>
      </w:pPr>
    </w:p>
    <w:p w14:paraId="513C9378" w14:textId="46E9A4E8" w:rsidR="002167B8" w:rsidRPr="00AC459C" w:rsidRDefault="0097554C" w:rsidP="00A478D5">
      <w:pPr>
        <w:spacing w:line="276" w:lineRule="auto"/>
        <w:ind w:firstLine="708"/>
        <w:rPr>
          <w:rFonts w:ascii="Verdana" w:hAnsi="Verdana" w:cs="Arial"/>
          <w:sz w:val="20"/>
        </w:rPr>
      </w:pPr>
      <w:bookmarkStart w:id="9" w:name="_Hlk65689442"/>
      <w:r w:rsidRPr="00AC459C">
        <w:rPr>
          <w:rFonts w:ascii="Verdana" w:hAnsi="Verdana"/>
          <w:sz w:val="20"/>
        </w:rPr>
        <w:t>Os registos acima referidos devem ser preenchidos dentro dos seguintes prazos:</w:t>
      </w:r>
    </w:p>
    <w:p w14:paraId="151D57AF" w14:textId="48EFA14A" w:rsidR="002A052A" w:rsidRPr="00AC459C" w:rsidRDefault="0097554C" w:rsidP="00A478D5">
      <w:pPr>
        <w:pStyle w:val="ListParagraph"/>
        <w:numPr>
          <w:ilvl w:val="0"/>
          <w:numId w:val="10"/>
        </w:numPr>
        <w:spacing w:line="276" w:lineRule="auto"/>
        <w:ind w:hanging="720"/>
        <w:rPr>
          <w:rFonts w:ascii="Verdana" w:hAnsi="Verdana" w:cs="Arial"/>
          <w:sz w:val="20"/>
        </w:rPr>
      </w:pPr>
      <w:r w:rsidRPr="00AC459C">
        <w:rPr>
          <w:rFonts w:ascii="Verdana" w:hAnsi="Verdana"/>
          <w:sz w:val="20"/>
        </w:rPr>
        <w:t>No caso do registo para produtores, distribuidores, importadores ou exportadores de fertilizantes referido no artigo 2.2.3.1: o mais tardar no segundo dia após o dia da ocorrência dos factos a inscrever no registo;</w:t>
      </w:r>
    </w:p>
    <w:p w14:paraId="39BCE0B3" w14:textId="1E7AB9BD" w:rsidR="002167B8" w:rsidRPr="00AC459C" w:rsidRDefault="0097554C" w:rsidP="00A478D5">
      <w:pPr>
        <w:pStyle w:val="ListParagraph"/>
        <w:numPr>
          <w:ilvl w:val="0"/>
          <w:numId w:val="10"/>
        </w:numPr>
        <w:spacing w:line="276" w:lineRule="auto"/>
        <w:ind w:hanging="720"/>
        <w:rPr>
          <w:rFonts w:ascii="Verdana" w:hAnsi="Verdana" w:cs="Arial"/>
          <w:sz w:val="20"/>
        </w:rPr>
      </w:pPr>
      <w:r w:rsidRPr="00AC459C">
        <w:rPr>
          <w:rFonts w:ascii="Verdana" w:hAnsi="Verdana"/>
          <w:sz w:val="20"/>
        </w:rPr>
        <w:t>No caso do registo de fertilizantes para agricultores referido no artigo 2.2.4.1: o mais tardar no sétimo dia após o dia da ocorrência dos factos a inscrever no registo.</w:t>
      </w:r>
    </w:p>
    <w:bookmarkEnd w:id="9"/>
    <w:p w14:paraId="47F59B2C" w14:textId="77777777" w:rsidR="007C6B1F" w:rsidRPr="00AC459C" w:rsidRDefault="007C6B1F" w:rsidP="007C6B1F">
      <w:pPr>
        <w:spacing w:line="276" w:lineRule="auto"/>
        <w:rPr>
          <w:rFonts w:ascii="Verdana" w:hAnsi="Verdana" w:cs="Arial"/>
          <w:sz w:val="20"/>
        </w:rPr>
      </w:pPr>
    </w:p>
    <w:p w14:paraId="45B599B4" w14:textId="4B960108" w:rsidR="00E872C9" w:rsidRPr="00AC459C" w:rsidRDefault="002167B8" w:rsidP="007C6B1F">
      <w:pPr>
        <w:spacing w:line="276" w:lineRule="auto"/>
        <w:ind w:firstLine="708"/>
        <w:rPr>
          <w:rFonts w:ascii="Verdana" w:hAnsi="Verdana" w:cs="Arial"/>
          <w:sz w:val="20"/>
        </w:rPr>
      </w:pPr>
      <w:r w:rsidRPr="00AC459C">
        <w:rPr>
          <w:rFonts w:ascii="Verdana" w:hAnsi="Verdana"/>
          <w:sz w:val="20"/>
        </w:rPr>
        <w:t>Os documentos de apoio ao registo devem ser conservados no local onde se realiza a atividade sujeita a registo. No caso de documentos comprovativos conservados em formato digital, a sua conservação no local onde se realiza a atividade sujeita a registo significa que podem ser consultados no local onde se realiza a atividade sujeita a registo.</w:t>
      </w:r>
    </w:p>
    <w:p w14:paraId="3F1CE38E" w14:textId="77777777" w:rsidR="007C6B1F" w:rsidRPr="00AC459C" w:rsidRDefault="007C6B1F" w:rsidP="007C6B1F">
      <w:pPr>
        <w:spacing w:line="276" w:lineRule="auto"/>
        <w:rPr>
          <w:rFonts w:ascii="Verdana" w:hAnsi="Verdana" w:cs="Arial"/>
          <w:sz w:val="20"/>
        </w:rPr>
      </w:pPr>
    </w:p>
    <w:p w14:paraId="42BFF2D6" w14:textId="7CC7326A" w:rsidR="002167B8" w:rsidRPr="00AC459C" w:rsidRDefault="002167B8" w:rsidP="007C6B1F">
      <w:pPr>
        <w:spacing w:line="276" w:lineRule="auto"/>
        <w:ind w:firstLine="708"/>
        <w:rPr>
          <w:rFonts w:ascii="Verdana" w:hAnsi="Verdana" w:cs="Arial"/>
          <w:sz w:val="20"/>
        </w:rPr>
      </w:pPr>
      <w:r w:rsidRPr="00AC459C">
        <w:rPr>
          <w:rFonts w:ascii="Verdana" w:hAnsi="Verdana"/>
          <w:sz w:val="20"/>
        </w:rPr>
        <w:t>Os documentos necessários para apoiar o registo devem ser conservados de forma que fique claro a que anotação no registo se referem as provas documentais em questão.</w:t>
      </w:r>
    </w:p>
    <w:p w14:paraId="46A87405" w14:textId="77777777" w:rsidR="007C6B1F" w:rsidRPr="00AC459C" w:rsidRDefault="007C6B1F" w:rsidP="007C6B1F">
      <w:pPr>
        <w:spacing w:line="276" w:lineRule="auto"/>
        <w:rPr>
          <w:rFonts w:ascii="Verdana" w:hAnsi="Verdana" w:cs="Arial"/>
          <w:sz w:val="20"/>
        </w:rPr>
      </w:pPr>
    </w:p>
    <w:p w14:paraId="55A59F5E" w14:textId="40A7EEDA" w:rsidR="007C6B1F" w:rsidRPr="00AC459C" w:rsidRDefault="00A62DFB" w:rsidP="00A478D5">
      <w:pPr>
        <w:spacing w:line="276" w:lineRule="auto"/>
        <w:ind w:firstLine="708"/>
        <w:rPr>
          <w:rFonts w:ascii="Verdana" w:hAnsi="Verdana" w:cs="Arial"/>
          <w:sz w:val="20"/>
        </w:rPr>
      </w:pPr>
      <w:r w:rsidRPr="00AC459C">
        <w:rPr>
          <w:rFonts w:ascii="Verdana" w:hAnsi="Verdana"/>
          <w:sz w:val="20"/>
        </w:rPr>
        <w:t>As informações referidas no artigo 2.2.4.1, n.º 2, segundo parágrafo, que não tenham sido registadas pelo agricultor a cuja exploração pertence a parcela em questão, são transmitidas pelo Banco de Estrume ao agricultor a cuja exploração pertence a parcela em questão. O Banco de Estrume transmitirá os dados referidos no artigo 2.2.4.1, n.º 2, segundo parágrafo, assim que os dados do pedido único do ano em questão identifiquem o agricultor a cuja exploração pertence a parcela em questão.</w:t>
      </w:r>
      <w:r w:rsidRPr="00AC459C">
        <w:rPr>
          <w:rFonts w:ascii="Verdana" w:hAnsi="Verdana"/>
          <w:sz w:val="20"/>
        </w:rPr>
        <w:tab/>
      </w:r>
    </w:p>
    <w:p w14:paraId="2C8A8207" w14:textId="77777777" w:rsidR="00A478D5" w:rsidRPr="00AC459C" w:rsidRDefault="00A478D5" w:rsidP="007C6B1F">
      <w:pPr>
        <w:spacing w:line="276" w:lineRule="auto"/>
        <w:rPr>
          <w:rFonts w:ascii="Verdana" w:hAnsi="Verdana" w:cs="Arial"/>
          <w:sz w:val="20"/>
        </w:rPr>
      </w:pPr>
    </w:p>
    <w:p w14:paraId="7800C300" w14:textId="21610775" w:rsidR="00AC6A25" w:rsidRPr="00AC459C" w:rsidRDefault="00A62DFB" w:rsidP="007C6B1F">
      <w:pPr>
        <w:spacing w:line="276" w:lineRule="auto"/>
        <w:rPr>
          <w:rFonts w:ascii="Verdana" w:hAnsi="Verdana" w:cs="Arial"/>
          <w:sz w:val="20"/>
        </w:rPr>
      </w:pPr>
      <w:r w:rsidRPr="00AC459C">
        <w:rPr>
          <w:rFonts w:ascii="Verdana" w:hAnsi="Verdana"/>
          <w:sz w:val="20"/>
        </w:rPr>
        <w:tab/>
      </w:r>
      <w:bookmarkStart w:id="10" w:name="_Hlk67041136"/>
      <w:r w:rsidRPr="00AC459C">
        <w:rPr>
          <w:rFonts w:ascii="Verdana" w:hAnsi="Verdana"/>
          <w:sz w:val="20"/>
        </w:rPr>
        <w:t>Sem prejuízo da aplicação do sexto parágrafo, o ministro pode estabelecer que, no caso das inscrições no registo relativo à comercialização de fertilizantes, o Banco de Estrume deve transmitir as informações registadas por uma parte sujeita ao registo às outras partes envolvidas na comercialização de fertilizantes. O ministro pode definir regras mais pormenorizadas sobre esta matéria.</w:t>
      </w:r>
      <w:bookmarkEnd w:id="10"/>
    </w:p>
    <w:p w14:paraId="210C0864" w14:textId="65AAB34D" w:rsidR="007D4E61" w:rsidRPr="00AC459C" w:rsidRDefault="007D4E61" w:rsidP="004D3E74">
      <w:pPr>
        <w:spacing w:line="276" w:lineRule="auto"/>
        <w:ind w:firstLine="708"/>
        <w:rPr>
          <w:rFonts w:ascii="Verdana" w:hAnsi="Verdana" w:cs="Arial"/>
          <w:sz w:val="20"/>
        </w:rPr>
      </w:pPr>
    </w:p>
    <w:p w14:paraId="60AD7C0B" w14:textId="6147ED34" w:rsidR="007D4E61" w:rsidRPr="00AC459C" w:rsidRDefault="007C61F0" w:rsidP="004D3E74">
      <w:pPr>
        <w:spacing w:line="276" w:lineRule="auto"/>
        <w:ind w:firstLine="708"/>
        <w:rPr>
          <w:rFonts w:ascii="Verdana" w:hAnsi="Verdana" w:cs="Arial"/>
          <w:sz w:val="20"/>
        </w:rPr>
      </w:pPr>
      <w:r w:rsidRPr="00AC459C">
        <w:rPr>
          <w:rFonts w:ascii="Verdana" w:hAnsi="Verdana"/>
          <w:sz w:val="20"/>
        </w:rPr>
        <w:t>Em derrogação do n.º 3, o registo deve ser preenchido o mais tardar no mês seguinte àquele em que ocorreram os factos a inscrever no registo relativamente a:</w:t>
      </w:r>
    </w:p>
    <w:p w14:paraId="6937D824" w14:textId="7401E3AC" w:rsidR="00097755" w:rsidRPr="00AC459C" w:rsidRDefault="001B3659" w:rsidP="00AC459C">
      <w:pPr>
        <w:pStyle w:val="ListParagraph"/>
        <w:numPr>
          <w:ilvl w:val="0"/>
          <w:numId w:val="26"/>
        </w:numPr>
        <w:spacing w:line="276" w:lineRule="auto"/>
        <w:ind w:left="709" w:hanging="709"/>
        <w:rPr>
          <w:rFonts w:ascii="Verdana" w:hAnsi="Verdana" w:cs="Arial"/>
          <w:sz w:val="20"/>
        </w:rPr>
      </w:pPr>
      <w:r w:rsidRPr="00AC459C">
        <w:rPr>
          <w:rFonts w:ascii="Verdana" w:hAnsi="Verdana"/>
          <w:sz w:val="20"/>
        </w:rPr>
        <w:lastRenderedPageBreak/>
        <w:t xml:space="preserve">os dados a inscrever no registo dos produtores, distribuidores, importadores ou exportadores de adubos, referidos no artigo 2.2.3.1, no que respeita à exportação de adubos. </w:t>
      </w:r>
      <w:bookmarkStart w:id="11" w:name="_Hlk65691084"/>
      <w:r w:rsidRPr="00AC459C">
        <w:rPr>
          <w:rFonts w:ascii="Verdana" w:hAnsi="Verdana"/>
          <w:sz w:val="20"/>
        </w:rPr>
        <w:t>Em derrogação do artigo 2.2.3.1, n.º 4, o registo regista, para cada tipo de adubo, a quantidade de adubos exportada kg P</w:t>
      </w:r>
      <w:r w:rsidRPr="00AC459C">
        <w:rPr>
          <w:rFonts w:ascii="Verdana" w:hAnsi="Verdana"/>
          <w:sz w:val="20"/>
          <w:vertAlign w:val="subscript"/>
        </w:rPr>
        <w:t>2</w:t>
      </w:r>
      <w:r w:rsidRPr="00AC459C">
        <w:rPr>
          <w:rFonts w:ascii="Verdana" w:hAnsi="Verdana"/>
          <w:sz w:val="20"/>
        </w:rPr>
        <w:t>O</w:t>
      </w:r>
      <w:r w:rsidRPr="00AC459C">
        <w:rPr>
          <w:rFonts w:ascii="Verdana" w:hAnsi="Verdana"/>
          <w:sz w:val="20"/>
          <w:vertAlign w:val="subscript"/>
        </w:rPr>
        <w:t>5</w:t>
      </w:r>
      <w:r w:rsidRPr="00AC459C">
        <w:rPr>
          <w:rFonts w:ascii="Verdana" w:hAnsi="Verdana"/>
          <w:sz w:val="20"/>
        </w:rPr>
        <w:t>, em kg N e toneladas no mês em questão;</w:t>
      </w:r>
    </w:p>
    <w:bookmarkEnd w:id="11"/>
    <w:p w14:paraId="3BB4F434" w14:textId="7F8C762D" w:rsidR="00020256" w:rsidRPr="00AC459C" w:rsidRDefault="00F33D81" w:rsidP="00AC459C">
      <w:pPr>
        <w:pStyle w:val="ListParagraph"/>
        <w:numPr>
          <w:ilvl w:val="0"/>
          <w:numId w:val="26"/>
        </w:numPr>
        <w:spacing w:line="276" w:lineRule="auto"/>
        <w:ind w:left="709" w:hanging="709"/>
        <w:rPr>
          <w:rFonts w:ascii="Verdana" w:hAnsi="Verdana" w:cs="Arial"/>
          <w:sz w:val="20"/>
        </w:rPr>
      </w:pPr>
      <w:r w:rsidRPr="00AC459C">
        <w:rPr>
          <w:rFonts w:ascii="Verdana" w:hAnsi="Verdana"/>
          <w:sz w:val="20"/>
        </w:rPr>
        <w:t>os dados a registar no registo dos produtores, distribuidores, importadores ou exportadores de adubos, referidos no artigo 2.2.3.1, relativos às entregas a particulares de, no máximo, 100 kg de adubos por entrega. Em derrogação do artigo 2.2.3.1., n.º 1, o registo deve registar, para cada tipo de adubo, a quantidade de adubo, expressa em kg</w:t>
      </w:r>
      <w:r w:rsidRPr="00AC459C">
        <w:rPr>
          <w:rFonts w:ascii="Verdana" w:hAnsi="Verdana"/>
          <w:sz w:val="20"/>
          <w:vertAlign w:val="subscript"/>
        </w:rPr>
        <w:t xml:space="preserve"> </w:t>
      </w:r>
      <w:r w:rsidRPr="00AC459C">
        <w:rPr>
          <w:rFonts w:ascii="Verdana" w:hAnsi="Verdana"/>
          <w:sz w:val="20"/>
        </w:rPr>
        <w:t>P</w:t>
      </w:r>
      <w:r w:rsidRPr="00AC459C">
        <w:rPr>
          <w:rFonts w:ascii="Verdana" w:hAnsi="Verdana"/>
          <w:sz w:val="20"/>
          <w:vertAlign w:val="subscript"/>
        </w:rPr>
        <w:t>2</w:t>
      </w:r>
      <w:r w:rsidRPr="00AC459C">
        <w:rPr>
          <w:rFonts w:ascii="Verdana" w:hAnsi="Verdana"/>
          <w:sz w:val="20"/>
        </w:rPr>
        <w:t>O</w:t>
      </w:r>
      <w:r w:rsidRPr="00AC459C">
        <w:rPr>
          <w:rFonts w:ascii="Verdana" w:hAnsi="Verdana"/>
          <w:sz w:val="20"/>
          <w:vertAlign w:val="subscript"/>
        </w:rPr>
        <w:t>5</w:t>
      </w:r>
      <w:r w:rsidRPr="00AC459C">
        <w:rPr>
          <w:rFonts w:ascii="Verdana" w:hAnsi="Verdana"/>
          <w:sz w:val="20"/>
        </w:rPr>
        <w:t>, em kg N e toneladas, entregue a particulares durante o mês em questão através de entregas até um máximo de 100 kg por entrega;</w:t>
      </w:r>
    </w:p>
    <w:p w14:paraId="46BE80E9" w14:textId="025D3606" w:rsidR="003F6CCB" w:rsidRPr="00AC459C" w:rsidRDefault="00475ECD" w:rsidP="00AC459C">
      <w:pPr>
        <w:pStyle w:val="ListParagraph"/>
        <w:numPr>
          <w:ilvl w:val="0"/>
          <w:numId w:val="26"/>
        </w:numPr>
        <w:spacing w:line="276" w:lineRule="auto"/>
        <w:ind w:left="709" w:hanging="709"/>
        <w:rPr>
          <w:rFonts w:ascii="Verdana" w:hAnsi="Verdana" w:cs="Arial"/>
          <w:sz w:val="20"/>
        </w:rPr>
      </w:pPr>
      <w:r w:rsidRPr="00AC459C">
        <w:rPr>
          <w:rFonts w:ascii="Verdana" w:hAnsi="Verdana"/>
          <w:sz w:val="20"/>
        </w:rPr>
        <w:t>o registo de fertilizantes referido no artigo 2.2.4.1, que diz respeito a um agricultor sujeito a registo cuja exploração beneficia da isenção referida no artigo 14.º, n.º 6, do Decreto sobre o estrume. A isenção prevista no artigo 14.º, n.º 6, do Decreto sobre o estrume pode ser solicitada por qualquer agricultor em cuja exploração existam terras agrícolas, independentemente do tipo de superfície em que se situam as parcelas do agricultor.  Em derrogação do n.º 2 do artigo 2.2.4.1, é indicado no registo desse agricultor, para cada parcela de terreno agrícola pertencente à exploração, a quantidade de fertilizantes, especificada de acordo com o tipo de adubo e expressa em kg P</w:t>
      </w:r>
      <w:r w:rsidRPr="00AC459C">
        <w:rPr>
          <w:rFonts w:ascii="Verdana" w:hAnsi="Verdana"/>
          <w:sz w:val="20"/>
          <w:vertAlign w:val="subscript"/>
        </w:rPr>
        <w:t>2</w:t>
      </w:r>
      <w:r w:rsidRPr="00AC459C">
        <w:rPr>
          <w:rFonts w:ascii="Verdana" w:hAnsi="Verdana"/>
          <w:sz w:val="20"/>
        </w:rPr>
        <w:t>O</w:t>
      </w:r>
      <w:r w:rsidRPr="00AC459C">
        <w:rPr>
          <w:rFonts w:ascii="Verdana" w:hAnsi="Verdana"/>
          <w:sz w:val="20"/>
          <w:vertAlign w:val="subscript"/>
        </w:rPr>
        <w:t>5</w:t>
      </w:r>
      <w:r w:rsidRPr="00AC459C">
        <w:rPr>
          <w:rFonts w:ascii="Verdana" w:hAnsi="Verdana"/>
          <w:sz w:val="20"/>
        </w:rPr>
        <w:t>, em N kg e toneladas, na parcela relevante no mês em causa.</w:t>
      </w:r>
    </w:p>
    <w:p w14:paraId="045DE075" w14:textId="77777777" w:rsidR="00020256" w:rsidRPr="00AC459C" w:rsidRDefault="00020256" w:rsidP="008831D7">
      <w:pPr>
        <w:spacing w:line="276" w:lineRule="auto"/>
        <w:rPr>
          <w:rFonts w:ascii="Verdana" w:hAnsi="Verdana" w:cs="Arial"/>
          <w:sz w:val="20"/>
        </w:rPr>
      </w:pPr>
    </w:p>
    <w:p w14:paraId="1A4C1D0B" w14:textId="1BD1046B" w:rsidR="007D4E61" w:rsidRPr="00AC459C" w:rsidRDefault="00C13F78" w:rsidP="00845119">
      <w:pPr>
        <w:spacing w:line="276" w:lineRule="auto"/>
        <w:ind w:firstLine="708"/>
        <w:rPr>
          <w:rFonts w:ascii="Verdana" w:hAnsi="Verdana" w:cs="Arial"/>
          <w:sz w:val="20"/>
        </w:rPr>
      </w:pPr>
      <w:r w:rsidRPr="00AC459C">
        <w:rPr>
          <w:rFonts w:ascii="Verdana" w:hAnsi="Verdana"/>
          <w:sz w:val="20"/>
        </w:rPr>
        <w:t>O Ministro pode estabelecer as regras detalhadas relativas às derrogações referidas no oitavo parágrafo e alargar as situações em que os factos devem ser inscritos no registo o mais tardar no mês seguinte àquele em que ocorreram os factos referidos no oitavo parágrafo acima, e determinar, em derrogação do disposto nos artigos 2.2.3.1 e 2.2.4.1, as informações a inscrever no registo.».</w:t>
      </w:r>
    </w:p>
    <w:p w14:paraId="49CC7E38" w14:textId="77777777" w:rsidR="00004A1D" w:rsidRPr="00AC459C" w:rsidRDefault="00004A1D" w:rsidP="007C6B1F">
      <w:pPr>
        <w:spacing w:line="276" w:lineRule="auto"/>
        <w:rPr>
          <w:rFonts w:ascii="Verdana" w:hAnsi="Verdana" w:cs="Arial"/>
          <w:b/>
          <w:sz w:val="20"/>
        </w:rPr>
      </w:pPr>
    </w:p>
    <w:p w14:paraId="690E8A0E" w14:textId="4BB01FC6" w:rsidR="002167B8" w:rsidRPr="00AC459C" w:rsidRDefault="002167B8" w:rsidP="007C6B1F">
      <w:pPr>
        <w:spacing w:line="276" w:lineRule="auto"/>
        <w:rPr>
          <w:rFonts w:ascii="Verdana" w:hAnsi="Verdana" w:cs="Arial"/>
          <w:sz w:val="20"/>
        </w:rPr>
      </w:pPr>
      <w:r w:rsidRPr="00AC459C">
        <w:rPr>
          <w:rFonts w:ascii="Verdana" w:hAnsi="Verdana"/>
          <w:b/>
          <w:sz w:val="20"/>
        </w:rPr>
        <w:t>Artigo 2.º</w:t>
      </w:r>
      <w:r w:rsidRPr="00AC459C">
        <w:rPr>
          <w:rFonts w:ascii="Verdana" w:hAnsi="Verdana"/>
          <w:sz w:val="20"/>
        </w:rPr>
        <w:t xml:space="preserve"> O artigo 2.2.3.1 da mesma decisão, introduzido pela Decisão do Governo da Flandres de 22 de dezembro de 2017, é alterado como se segue:</w:t>
      </w:r>
    </w:p>
    <w:p w14:paraId="1D99DAC7" w14:textId="77777777" w:rsidR="007C6B1F" w:rsidRPr="00AC459C" w:rsidRDefault="007C6B1F" w:rsidP="007C6B1F">
      <w:pPr>
        <w:spacing w:line="276" w:lineRule="auto"/>
        <w:rPr>
          <w:rFonts w:ascii="Verdana" w:hAnsi="Verdana" w:cs="Arial"/>
          <w:sz w:val="20"/>
        </w:rPr>
      </w:pPr>
    </w:p>
    <w:p w14:paraId="488B8E08" w14:textId="52B16774" w:rsidR="007C5D1F" w:rsidRPr="00AC459C" w:rsidRDefault="007C5D1F" w:rsidP="00AC459C">
      <w:pPr>
        <w:pStyle w:val="ListParagraph"/>
        <w:numPr>
          <w:ilvl w:val="0"/>
          <w:numId w:val="29"/>
        </w:numPr>
        <w:spacing w:line="276" w:lineRule="auto"/>
        <w:rPr>
          <w:rFonts w:ascii="Verdana" w:hAnsi="Verdana" w:cs="Arial"/>
          <w:sz w:val="20"/>
        </w:rPr>
      </w:pPr>
      <w:r w:rsidRPr="00AC459C">
        <w:rPr>
          <w:rFonts w:ascii="Verdana" w:hAnsi="Verdana"/>
          <w:sz w:val="20"/>
        </w:rPr>
        <w:t>Entre as palavras «o nome» e as palavras «da parte interessada», são inseridas as palavras «e o número do agricultor ou da exploração agrícola»;</w:t>
      </w:r>
    </w:p>
    <w:p w14:paraId="54C1A363" w14:textId="23A5F0C5" w:rsidR="0061792F" w:rsidRPr="00AC459C" w:rsidRDefault="0061792F" w:rsidP="007C6B1F">
      <w:pPr>
        <w:spacing w:line="276" w:lineRule="auto"/>
        <w:rPr>
          <w:rFonts w:ascii="Verdana" w:hAnsi="Verdana" w:cs="Arial"/>
          <w:sz w:val="20"/>
        </w:rPr>
      </w:pPr>
    </w:p>
    <w:p w14:paraId="5212A838" w14:textId="04ACF6C2" w:rsidR="00E35BF0" w:rsidRPr="00AC459C" w:rsidRDefault="00E35BF0" w:rsidP="00AC459C">
      <w:pPr>
        <w:pStyle w:val="ListParagraph"/>
        <w:numPr>
          <w:ilvl w:val="0"/>
          <w:numId w:val="29"/>
        </w:numPr>
        <w:spacing w:line="276" w:lineRule="auto"/>
        <w:rPr>
          <w:rFonts w:ascii="Verdana" w:hAnsi="Verdana" w:cs="Arial"/>
          <w:sz w:val="20"/>
        </w:rPr>
      </w:pPr>
      <w:r w:rsidRPr="00AC459C">
        <w:rPr>
          <w:rFonts w:ascii="Verdana" w:hAnsi="Verdana"/>
          <w:sz w:val="20"/>
        </w:rPr>
        <w:t>No primeiro parágrafo, o ponto 5</w:t>
      </w:r>
      <w:r w:rsidR="00F37754" w:rsidRPr="00AC459C">
        <w:rPr>
          <w:rFonts w:ascii="Verdana" w:hAnsi="Verdana"/>
          <w:sz w:val="20"/>
        </w:rPr>
        <w:t>º</w:t>
      </w:r>
      <w:r w:rsidRPr="00AC459C">
        <w:rPr>
          <w:rFonts w:ascii="Verdana" w:hAnsi="Verdana"/>
          <w:sz w:val="20"/>
        </w:rPr>
        <w:t xml:space="preserve"> é suprimido;</w:t>
      </w:r>
    </w:p>
    <w:p w14:paraId="1A4968EE" w14:textId="0D4B2C75" w:rsidR="0061792F" w:rsidRPr="00AC459C" w:rsidRDefault="0061792F" w:rsidP="007C6B1F">
      <w:pPr>
        <w:spacing w:line="276" w:lineRule="auto"/>
        <w:rPr>
          <w:rFonts w:ascii="Verdana" w:hAnsi="Verdana" w:cs="Arial"/>
          <w:sz w:val="20"/>
        </w:rPr>
      </w:pPr>
    </w:p>
    <w:p w14:paraId="17F54E9C" w14:textId="7EB92924" w:rsidR="0061792F" w:rsidRPr="00AC459C" w:rsidRDefault="0061792F" w:rsidP="00AC459C">
      <w:pPr>
        <w:pStyle w:val="ListParagraph"/>
        <w:numPr>
          <w:ilvl w:val="0"/>
          <w:numId w:val="29"/>
        </w:numPr>
        <w:spacing w:line="276" w:lineRule="auto"/>
        <w:rPr>
          <w:rFonts w:ascii="Verdana" w:hAnsi="Verdana" w:cs="Arial"/>
          <w:sz w:val="20"/>
        </w:rPr>
      </w:pPr>
      <w:r w:rsidRPr="00AC459C">
        <w:rPr>
          <w:rFonts w:ascii="Verdana" w:hAnsi="Verdana"/>
          <w:sz w:val="20"/>
        </w:rPr>
        <w:t>No segundo parágrafo, ponto 2</w:t>
      </w:r>
      <w:r w:rsidR="00F37754" w:rsidRPr="00AC459C">
        <w:rPr>
          <w:rFonts w:ascii="Verdana" w:hAnsi="Verdana"/>
          <w:sz w:val="20"/>
        </w:rPr>
        <w:t>º</w:t>
      </w:r>
      <w:r w:rsidRPr="00AC459C">
        <w:rPr>
          <w:rFonts w:ascii="Verdana" w:hAnsi="Verdana"/>
          <w:sz w:val="20"/>
        </w:rPr>
        <w:t>, entre as palavras «o nome» e as palavras «o endereço», são inseridas as palavras «e o número do agricultor ou da exploração agrícola»;</w:t>
      </w:r>
    </w:p>
    <w:p w14:paraId="3E14F742" w14:textId="77777777" w:rsidR="007C6B1F" w:rsidRPr="00AC459C" w:rsidRDefault="007C6B1F" w:rsidP="007C6B1F">
      <w:pPr>
        <w:spacing w:line="276" w:lineRule="auto"/>
        <w:rPr>
          <w:rFonts w:ascii="Verdana" w:hAnsi="Verdana" w:cs="Arial"/>
          <w:sz w:val="20"/>
        </w:rPr>
      </w:pPr>
    </w:p>
    <w:p w14:paraId="1E7ED09A" w14:textId="0F64063D" w:rsidR="00E35BF0" w:rsidRPr="00AC459C" w:rsidRDefault="0061792F" w:rsidP="00AC459C">
      <w:pPr>
        <w:pStyle w:val="ListParagraph"/>
        <w:numPr>
          <w:ilvl w:val="0"/>
          <w:numId w:val="29"/>
        </w:numPr>
        <w:spacing w:line="276" w:lineRule="auto"/>
        <w:rPr>
          <w:rFonts w:ascii="Verdana" w:hAnsi="Verdana" w:cs="Arial"/>
          <w:sz w:val="20"/>
        </w:rPr>
      </w:pPr>
      <w:r w:rsidRPr="00AC459C">
        <w:rPr>
          <w:rFonts w:ascii="Verdana" w:hAnsi="Verdana"/>
          <w:sz w:val="20"/>
        </w:rPr>
        <w:t>No segundo parágrafo, o ponto 6</w:t>
      </w:r>
      <w:r w:rsidR="00F37754" w:rsidRPr="00AC459C">
        <w:rPr>
          <w:rFonts w:ascii="Verdana" w:hAnsi="Verdana"/>
          <w:sz w:val="20"/>
        </w:rPr>
        <w:t>º</w:t>
      </w:r>
      <w:r w:rsidRPr="00AC459C">
        <w:rPr>
          <w:rFonts w:ascii="Verdana" w:hAnsi="Verdana"/>
          <w:sz w:val="20"/>
        </w:rPr>
        <w:t xml:space="preserve"> é suprimido;</w:t>
      </w:r>
    </w:p>
    <w:p w14:paraId="564A84B5" w14:textId="77777777" w:rsidR="007C6B1F" w:rsidRPr="00AC459C" w:rsidRDefault="007C6B1F" w:rsidP="007C6B1F">
      <w:pPr>
        <w:spacing w:line="276" w:lineRule="auto"/>
        <w:rPr>
          <w:rFonts w:ascii="Verdana" w:hAnsi="Verdana" w:cs="Arial"/>
          <w:sz w:val="20"/>
        </w:rPr>
      </w:pPr>
    </w:p>
    <w:p w14:paraId="38CC1B19" w14:textId="3D3C01BB" w:rsidR="00E6702E" w:rsidRPr="00AC459C" w:rsidRDefault="00A932E5" w:rsidP="00AC459C">
      <w:pPr>
        <w:pStyle w:val="ListParagraph"/>
        <w:numPr>
          <w:ilvl w:val="0"/>
          <w:numId w:val="29"/>
        </w:numPr>
        <w:spacing w:line="276" w:lineRule="auto"/>
        <w:rPr>
          <w:rFonts w:ascii="Verdana" w:hAnsi="Verdana" w:cs="Arial"/>
          <w:sz w:val="20"/>
        </w:rPr>
      </w:pPr>
      <w:r w:rsidRPr="00AC459C">
        <w:rPr>
          <w:rFonts w:ascii="Verdana" w:hAnsi="Verdana"/>
          <w:sz w:val="20"/>
        </w:rPr>
        <w:t>No terceiro parágrafo, o ponto 5</w:t>
      </w:r>
      <w:r w:rsidR="00F37754" w:rsidRPr="00AC459C">
        <w:rPr>
          <w:rFonts w:ascii="Verdana" w:hAnsi="Verdana"/>
          <w:sz w:val="20"/>
        </w:rPr>
        <w:t>º</w:t>
      </w:r>
      <w:r w:rsidRPr="00AC459C">
        <w:rPr>
          <w:rFonts w:ascii="Verdana" w:hAnsi="Verdana"/>
          <w:sz w:val="20"/>
        </w:rPr>
        <w:t xml:space="preserve"> é suprimido;</w:t>
      </w:r>
    </w:p>
    <w:p w14:paraId="276F5393" w14:textId="77777777" w:rsidR="007C6B1F" w:rsidRPr="00AC459C" w:rsidRDefault="007C6B1F" w:rsidP="007C6B1F">
      <w:pPr>
        <w:spacing w:line="276" w:lineRule="auto"/>
        <w:rPr>
          <w:rFonts w:ascii="Verdana" w:hAnsi="Verdana" w:cs="Arial"/>
          <w:sz w:val="20"/>
        </w:rPr>
      </w:pPr>
    </w:p>
    <w:p w14:paraId="25CB53DC" w14:textId="0F2CC9A9" w:rsidR="007938D5" w:rsidRPr="00AC459C" w:rsidRDefault="00A932E5" w:rsidP="00AC459C">
      <w:pPr>
        <w:pStyle w:val="ListParagraph"/>
        <w:numPr>
          <w:ilvl w:val="0"/>
          <w:numId w:val="29"/>
        </w:numPr>
        <w:spacing w:line="276" w:lineRule="auto"/>
        <w:rPr>
          <w:rFonts w:ascii="Verdana" w:hAnsi="Verdana" w:cs="Arial"/>
          <w:sz w:val="20"/>
        </w:rPr>
      </w:pPr>
      <w:r w:rsidRPr="00AC459C">
        <w:rPr>
          <w:rFonts w:ascii="Verdana" w:hAnsi="Verdana"/>
          <w:sz w:val="20"/>
        </w:rPr>
        <w:t>No quarto parágrafo, o ponto 6</w:t>
      </w:r>
      <w:r w:rsidR="00F37754" w:rsidRPr="00AC459C">
        <w:rPr>
          <w:rFonts w:ascii="Verdana" w:hAnsi="Verdana"/>
          <w:sz w:val="20"/>
        </w:rPr>
        <w:t>º</w:t>
      </w:r>
      <w:r w:rsidRPr="00AC459C">
        <w:rPr>
          <w:rFonts w:ascii="Verdana" w:hAnsi="Verdana"/>
          <w:sz w:val="20"/>
        </w:rPr>
        <w:t xml:space="preserve"> é suprimido;</w:t>
      </w:r>
    </w:p>
    <w:p w14:paraId="344D8CEF" w14:textId="77777777" w:rsidR="007C6B1F" w:rsidRPr="00AC459C" w:rsidRDefault="007C6B1F" w:rsidP="007C6B1F">
      <w:pPr>
        <w:spacing w:line="276" w:lineRule="auto"/>
        <w:rPr>
          <w:rFonts w:ascii="Verdana" w:hAnsi="Verdana" w:cs="Arial"/>
          <w:sz w:val="20"/>
        </w:rPr>
      </w:pPr>
    </w:p>
    <w:p w14:paraId="7BAFD97A" w14:textId="0121EC97" w:rsidR="007938D5" w:rsidRPr="00AC459C" w:rsidRDefault="00A932E5" w:rsidP="00AC459C">
      <w:pPr>
        <w:pStyle w:val="ListParagraph"/>
        <w:numPr>
          <w:ilvl w:val="0"/>
          <w:numId w:val="29"/>
        </w:numPr>
        <w:spacing w:line="276" w:lineRule="auto"/>
        <w:rPr>
          <w:rFonts w:ascii="Verdana" w:hAnsi="Verdana" w:cs="Arial"/>
          <w:sz w:val="20"/>
        </w:rPr>
      </w:pPr>
      <w:r w:rsidRPr="00AC459C">
        <w:rPr>
          <w:rFonts w:ascii="Verdana" w:hAnsi="Verdana"/>
          <w:sz w:val="20"/>
        </w:rPr>
        <w:t>É aditado um quinto parágrafo, com a seguinte redação:</w:t>
      </w:r>
    </w:p>
    <w:p w14:paraId="795204CF" w14:textId="77777777" w:rsidR="007C6B1F" w:rsidRPr="00AC459C" w:rsidRDefault="007C6B1F" w:rsidP="007C6B1F">
      <w:pPr>
        <w:spacing w:line="276" w:lineRule="auto"/>
        <w:rPr>
          <w:rFonts w:ascii="Verdana" w:hAnsi="Verdana" w:cs="Arial"/>
          <w:sz w:val="20"/>
        </w:rPr>
      </w:pPr>
    </w:p>
    <w:p w14:paraId="69520E4C" w14:textId="1CFEDA40" w:rsidR="0008743C" w:rsidRPr="00AC459C" w:rsidRDefault="00DD38AE" w:rsidP="007C6B1F">
      <w:pPr>
        <w:spacing w:line="276" w:lineRule="auto"/>
        <w:rPr>
          <w:rFonts w:ascii="Verdana" w:hAnsi="Verdana" w:cs="Arial"/>
          <w:sz w:val="20"/>
        </w:rPr>
      </w:pPr>
      <w:r w:rsidRPr="00AC459C">
        <w:rPr>
          <w:rFonts w:ascii="Verdana" w:hAnsi="Verdana"/>
          <w:sz w:val="20"/>
        </w:rPr>
        <w:lastRenderedPageBreak/>
        <w:t>«Em derrogação do primeiro ao quarto parágrafos, para efeitos de identificação do fornecedor, produtor ou destinatário de fertilizantes que não tenham um número de exploração ou de operação, o número de empresa do fornecedor, produtor ou destinatário dos fertilizantes em questão deve ser inscrito no registo.»</w:t>
      </w:r>
    </w:p>
    <w:p w14:paraId="04342A1D" w14:textId="77777777" w:rsidR="007C6B1F" w:rsidRPr="00AC459C" w:rsidRDefault="007C6B1F" w:rsidP="007C6B1F">
      <w:pPr>
        <w:spacing w:line="276" w:lineRule="auto"/>
        <w:rPr>
          <w:rFonts w:ascii="Verdana" w:hAnsi="Verdana" w:cs="Arial"/>
          <w:sz w:val="20"/>
        </w:rPr>
      </w:pPr>
    </w:p>
    <w:p w14:paraId="30A3ACD3" w14:textId="75423D76" w:rsidR="0007144D" w:rsidRPr="00AC459C" w:rsidRDefault="007D16E6" w:rsidP="007C6B1F">
      <w:pPr>
        <w:spacing w:line="276" w:lineRule="auto"/>
        <w:rPr>
          <w:rFonts w:ascii="Verdana" w:hAnsi="Verdana" w:cs="Arial"/>
          <w:sz w:val="20"/>
        </w:rPr>
      </w:pPr>
      <w:r w:rsidRPr="00AC459C">
        <w:rPr>
          <w:rFonts w:ascii="Verdana" w:hAnsi="Verdana"/>
          <w:b/>
          <w:sz w:val="20"/>
        </w:rPr>
        <w:t>Artigo 3.º</w:t>
      </w:r>
      <w:r w:rsidRPr="00AC459C">
        <w:rPr>
          <w:rFonts w:ascii="Verdana" w:hAnsi="Verdana"/>
          <w:sz w:val="20"/>
        </w:rPr>
        <w:t xml:space="preserve"> Ao capítulo 2, parte 2, da mesma decisão, com a redação que lhe foi dada pela Decisão do Governo da Flandres de 22 de dezembro de 2017, é aditada uma nova subsecção 4, constituída pelo artigo 2.2.4.1, com a seguinte redação: </w:t>
      </w:r>
    </w:p>
    <w:p w14:paraId="391A9934" w14:textId="77777777" w:rsidR="0014108F" w:rsidRPr="00AC459C" w:rsidRDefault="0014108F" w:rsidP="007C6B1F">
      <w:pPr>
        <w:spacing w:line="276" w:lineRule="auto"/>
        <w:rPr>
          <w:rFonts w:ascii="Verdana" w:hAnsi="Verdana" w:cs="Arial"/>
          <w:sz w:val="20"/>
        </w:rPr>
      </w:pPr>
    </w:p>
    <w:p w14:paraId="6F44AF8E" w14:textId="6773AF50" w:rsidR="0007144D" w:rsidRPr="00AC459C" w:rsidRDefault="0014108F" w:rsidP="007C6B1F">
      <w:pPr>
        <w:spacing w:line="276" w:lineRule="auto"/>
        <w:rPr>
          <w:rFonts w:ascii="Verdana" w:hAnsi="Verdana" w:cs="Arial"/>
          <w:sz w:val="20"/>
        </w:rPr>
      </w:pPr>
      <w:r w:rsidRPr="00AC459C">
        <w:rPr>
          <w:rFonts w:ascii="Verdana" w:hAnsi="Verdana"/>
          <w:sz w:val="20"/>
        </w:rPr>
        <w:t>«Subsecção 4. O registo de fertilizantes para agricultores</w:t>
      </w:r>
    </w:p>
    <w:p w14:paraId="4045445A" w14:textId="324C3899" w:rsidR="007D16E6" w:rsidRPr="00AC459C" w:rsidRDefault="007D16E6" w:rsidP="007C6B1F">
      <w:pPr>
        <w:spacing w:line="276" w:lineRule="auto"/>
        <w:rPr>
          <w:rFonts w:ascii="Verdana" w:hAnsi="Verdana" w:cs="Arial"/>
          <w:sz w:val="20"/>
        </w:rPr>
      </w:pPr>
    </w:p>
    <w:p w14:paraId="54AAD43B" w14:textId="18FACFCA" w:rsidR="002844CB" w:rsidRPr="00AC459C" w:rsidRDefault="002844CB" w:rsidP="007C6B1F">
      <w:pPr>
        <w:spacing w:line="276" w:lineRule="auto"/>
        <w:rPr>
          <w:rFonts w:ascii="Verdana" w:hAnsi="Verdana" w:cs="Arial"/>
          <w:sz w:val="20"/>
        </w:rPr>
      </w:pPr>
      <w:r w:rsidRPr="00AC459C">
        <w:rPr>
          <w:rFonts w:ascii="Verdana" w:hAnsi="Verdana"/>
          <w:sz w:val="20"/>
        </w:rPr>
        <w:t xml:space="preserve">Artigo 2.2.4.1. 1. De acordo com o artigo 24.º, n.º 6, do Decreto relativo ao estrume, de 22 de dezembro de 2006, cada agricultor referido no artigo 23.º, n.º 1, primeiro parágrafo, ponto 1, do decreto acima referido deve manter um registo de fertilizantes artificiais para cada ano civil. </w:t>
      </w:r>
    </w:p>
    <w:p w14:paraId="75C13826" w14:textId="77777777" w:rsidR="00DE33CA" w:rsidRPr="00AC459C" w:rsidRDefault="00DE33CA" w:rsidP="007C6B1F">
      <w:pPr>
        <w:spacing w:line="276" w:lineRule="auto"/>
        <w:rPr>
          <w:rFonts w:ascii="Verdana" w:hAnsi="Verdana" w:cs="Arial"/>
          <w:sz w:val="20"/>
        </w:rPr>
      </w:pPr>
    </w:p>
    <w:p w14:paraId="35F84D55" w14:textId="72E2E638" w:rsidR="00DE33CA" w:rsidRPr="00AC459C" w:rsidRDefault="002844CB" w:rsidP="00DE33CA">
      <w:pPr>
        <w:spacing w:line="276" w:lineRule="auto"/>
        <w:ind w:firstLine="708"/>
        <w:rPr>
          <w:rFonts w:ascii="Verdana" w:hAnsi="Verdana" w:cs="Arial"/>
          <w:sz w:val="20"/>
        </w:rPr>
      </w:pPr>
      <w:r w:rsidRPr="00AC459C">
        <w:rPr>
          <w:rFonts w:ascii="Verdana" w:hAnsi="Verdana"/>
          <w:sz w:val="20"/>
        </w:rPr>
        <w:t>O registo de fertilizantes, mencionado no primeiro parágrafo, é constituído por duas partes:</w:t>
      </w:r>
    </w:p>
    <w:p w14:paraId="1D45EB85" w14:textId="380D38B2" w:rsidR="00DE33CA" w:rsidRPr="00AC459C" w:rsidRDefault="002844CB" w:rsidP="00A813CB">
      <w:pPr>
        <w:pStyle w:val="ListParagraph"/>
        <w:numPr>
          <w:ilvl w:val="0"/>
          <w:numId w:val="18"/>
        </w:numPr>
        <w:spacing w:line="276" w:lineRule="auto"/>
        <w:ind w:hanging="720"/>
        <w:rPr>
          <w:rFonts w:ascii="Verdana" w:hAnsi="Verdana" w:cs="Arial"/>
          <w:sz w:val="20"/>
        </w:rPr>
      </w:pPr>
      <w:r w:rsidRPr="00AC459C">
        <w:rPr>
          <w:rFonts w:ascii="Verdana" w:hAnsi="Verdana"/>
          <w:sz w:val="20"/>
        </w:rPr>
        <w:t>Um registo de utilização no qual é registada a utilização de fertilizantes ao nível das parcelas, em conformidade com o n.º 2;</w:t>
      </w:r>
    </w:p>
    <w:p w14:paraId="389CAED4" w14:textId="3FD315C7" w:rsidR="002844CB" w:rsidRPr="00AC459C" w:rsidRDefault="002844CB" w:rsidP="00A813CB">
      <w:pPr>
        <w:pStyle w:val="ListParagraph"/>
        <w:numPr>
          <w:ilvl w:val="0"/>
          <w:numId w:val="18"/>
        </w:numPr>
        <w:spacing w:line="276" w:lineRule="auto"/>
        <w:ind w:hanging="720"/>
        <w:rPr>
          <w:rFonts w:ascii="Verdana" w:hAnsi="Verdana" w:cs="Arial"/>
          <w:sz w:val="20"/>
        </w:rPr>
      </w:pPr>
      <w:r w:rsidRPr="00AC459C">
        <w:rPr>
          <w:rFonts w:ascii="Verdana" w:hAnsi="Verdana"/>
          <w:sz w:val="20"/>
        </w:rPr>
        <w:t xml:space="preserve">um registo comercial </w:t>
      </w:r>
      <w:bookmarkStart w:id="12" w:name="_Hlk43810782"/>
      <w:r w:rsidRPr="00AC459C">
        <w:rPr>
          <w:rFonts w:ascii="Verdana" w:hAnsi="Verdana"/>
          <w:sz w:val="20"/>
        </w:rPr>
        <w:t>no qual o agricultor indica os fluxos de fertilizantes na sua exploração, em conformidade com o n.º 3.</w:t>
      </w:r>
      <w:bookmarkEnd w:id="12"/>
    </w:p>
    <w:p w14:paraId="201162D7" w14:textId="77777777" w:rsidR="007C6B1F" w:rsidRPr="00AC459C" w:rsidRDefault="007C6B1F" w:rsidP="007C6B1F">
      <w:pPr>
        <w:spacing w:line="276" w:lineRule="auto"/>
        <w:rPr>
          <w:rFonts w:ascii="Verdana" w:hAnsi="Verdana" w:cs="Arial"/>
          <w:sz w:val="20"/>
        </w:rPr>
      </w:pPr>
    </w:p>
    <w:p w14:paraId="6DEBDB39" w14:textId="1E18A42F" w:rsidR="002844CB" w:rsidRPr="00AC459C" w:rsidRDefault="002844CB" w:rsidP="007C6B1F">
      <w:pPr>
        <w:spacing w:line="276" w:lineRule="auto"/>
        <w:rPr>
          <w:rFonts w:ascii="Verdana" w:hAnsi="Verdana" w:cs="Arial"/>
          <w:sz w:val="20"/>
        </w:rPr>
      </w:pPr>
      <w:r w:rsidRPr="00AC459C">
        <w:rPr>
          <w:rFonts w:ascii="Verdana" w:hAnsi="Verdana"/>
          <w:sz w:val="20"/>
        </w:rPr>
        <w:t xml:space="preserve">2. </w:t>
      </w:r>
      <w:bookmarkStart w:id="13" w:name="_Hlk43810736"/>
      <w:r w:rsidRPr="00AC459C">
        <w:rPr>
          <w:rFonts w:ascii="Verdana" w:hAnsi="Verdana"/>
          <w:sz w:val="20"/>
        </w:rPr>
        <w:t xml:space="preserve">O agricultor deve assegurar que o registo de utilização referido no n.º 1, segundo parágrafo, regista a utilização de fertilizantes em todas as parcelas agrícolas pertencentes à exploração. </w:t>
      </w:r>
      <w:bookmarkStart w:id="14" w:name="_Hlk32918566"/>
      <w:bookmarkEnd w:id="13"/>
    </w:p>
    <w:p w14:paraId="4D1EBB79" w14:textId="77777777" w:rsidR="007C6B1F" w:rsidRPr="00AC459C" w:rsidRDefault="007C6B1F" w:rsidP="007C6B1F">
      <w:pPr>
        <w:spacing w:line="276" w:lineRule="auto"/>
        <w:rPr>
          <w:rFonts w:ascii="Verdana" w:hAnsi="Verdana" w:cs="Arial"/>
          <w:sz w:val="20"/>
        </w:rPr>
      </w:pPr>
      <w:bookmarkStart w:id="15" w:name="_Hlk32920788"/>
      <w:bookmarkEnd w:id="14"/>
    </w:p>
    <w:p w14:paraId="0C45FC3E" w14:textId="6C903FFF" w:rsidR="002844CB" w:rsidRPr="00AC459C" w:rsidRDefault="002844CB" w:rsidP="00A478D5">
      <w:pPr>
        <w:spacing w:line="276" w:lineRule="auto"/>
        <w:rPr>
          <w:rFonts w:ascii="Verdana" w:hAnsi="Verdana" w:cs="Arial"/>
          <w:sz w:val="20"/>
        </w:rPr>
      </w:pPr>
      <w:r w:rsidRPr="00AC459C">
        <w:rPr>
          <w:rFonts w:ascii="Verdana" w:hAnsi="Verdana"/>
          <w:sz w:val="20"/>
        </w:rPr>
        <w:t>O agricultor deve assegurar o registo de cada aplicação de fertilizantes em cada parcela agrícola pertencente à exploração. Para cada utilização de fertilizante, devem ser registadas as seguintes informações:</w:t>
      </w:r>
    </w:p>
    <w:p w14:paraId="73EA849A" w14:textId="72B272C0" w:rsidR="002844CB" w:rsidRPr="00AC459C" w:rsidRDefault="002844CB" w:rsidP="00A813CB">
      <w:pPr>
        <w:pStyle w:val="ListParagraph"/>
        <w:numPr>
          <w:ilvl w:val="0"/>
          <w:numId w:val="11"/>
        </w:numPr>
        <w:spacing w:line="276" w:lineRule="auto"/>
        <w:ind w:hanging="720"/>
        <w:rPr>
          <w:rFonts w:ascii="Verdana" w:hAnsi="Verdana" w:cs="Arial"/>
          <w:sz w:val="20"/>
        </w:rPr>
      </w:pPr>
      <w:r w:rsidRPr="00AC459C">
        <w:rPr>
          <w:rFonts w:ascii="Verdana" w:hAnsi="Verdana"/>
          <w:sz w:val="20"/>
        </w:rPr>
        <w:t>A identificação da parcela ou parcelas na(s) qual(is) o fertilizante foi utilizado;</w:t>
      </w:r>
    </w:p>
    <w:p w14:paraId="06EDFCFD" w14:textId="42E9144E" w:rsidR="002844CB" w:rsidRPr="00AC459C" w:rsidRDefault="002844CB" w:rsidP="00A813CB">
      <w:pPr>
        <w:pStyle w:val="ListParagraph"/>
        <w:numPr>
          <w:ilvl w:val="0"/>
          <w:numId w:val="11"/>
        </w:numPr>
        <w:spacing w:line="276" w:lineRule="auto"/>
        <w:ind w:hanging="720"/>
        <w:rPr>
          <w:rFonts w:ascii="Verdana" w:hAnsi="Verdana" w:cs="Arial"/>
          <w:sz w:val="20"/>
        </w:rPr>
      </w:pPr>
      <w:r w:rsidRPr="00AC459C">
        <w:rPr>
          <w:rFonts w:ascii="Verdana" w:hAnsi="Verdana"/>
          <w:sz w:val="20"/>
        </w:rPr>
        <w:t>A data em que o fertilizante foi utilizado;</w:t>
      </w:r>
    </w:p>
    <w:p w14:paraId="730F1EE5" w14:textId="02BCC530" w:rsidR="002844CB" w:rsidRPr="00AC459C" w:rsidRDefault="002844CB" w:rsidP="00A813CB">
      <w:pPr>
        <w:pStyle w:val="ListParagraph"/>
        <w:numPr>
          <w:ilvl w:val="0"/>
          <w:numId w:val="11"/>
        </w:numPr>
        <w:spacing w:line="276" w:lineRule="auto"/>
        <w:ind w:hanging="720"/>
        <w:rPr>
          <w:rFonts w:ascii="Verdana" w:hAnsi="Verdana" w:cs="Arial"/>
          <w:sz w:val="20"/>
        </w:rPr>
      </w:pPr>
      <w:r w:rsidRPr="00AC459C">
        <w:rPr>
          <w:rFonts w:ascii="Verdana" w:hAnsi="Verdana"/>
          <w:sz w:val="20"/>
        </w:rPr>
        <w:t>A identificação do tipo de fertilizante utilizado. Tal significa a composição, expressa em percentagem N e percentagem P</w:t>
      </w:r>
      <w:r w:rsidRPr="00AC459C">
        <w:rPr>
          <w:rFonts w:ascii="Verdana" w:hAnsi="Verdana"/>
          <w:sz w:val="20"/>
          <w:vertAlign w:val="subscript"/>
        </w:rPr>
        <w:t>2</w:t>
      </w:r>
      <w:r w:rsidRPr="00AC459C">
        <w:rPr>
          <w:rFonts w:ascii="Verdana" w:hAnsi="Verdana"/>
          <w:sz w:val="20"/>
        </w:rPr>
        <w:t>O</w:t>
      </w:r>
      <w:r w:rsidRPr="00AC459C">
        <w:rPr>
          <w:rFonts w:ascii="Verdana" w:hAnsi="Verdana"/>
          <w:sz w:val="20"/>
          <w:vertAlign w:val="subscript"/>
        </w:rPr>
        <w:t>5</w:t>
      </w:r>
      <w:r w:rsidRPr="00AC459C">
        <w:rPr>
          <w:rFonts w:ascii="Verdana" w:hAnsi="Verdana"/>
          <w:sz w:val="20"/>
        </w:rPr>
        <w:t>, do fertilizante utilizado e o nome do fertilizante utilizado;</w:t>
      </w:r>
    </w:p>
    <w:p w14:paraId="26211EBF" w14:textId="63DB0454" w:rsidR="002844CB" w:rsidRPr="00AC459C" w:rsidRDefault="002844CB" w:rsidP="00A813CB">
      <w:pPr>
        <w:pStyle w:val="ListParagraph"/>
        <w:numPr>
          <w:ilvl w:val="0"/>
          <w:numId w:val="11"/>
        </w:numPr>
        <w:spacing w:line="276" w:lineRule="auto"/>
        <w:ind w:hanging="720"/>
        <w:rPr>
          <w:rFonts w:ascii="Verdana" w:hAnsi="Verdana" w:cs="Arial"/>
          <w:sz w:val="20"/>
        </w:rPr>
      </w:pPr>
      <w:r w:rsidRPr="00AC459C">
        <w:rPr>
          <w:rFonts w:ascii="Verdana" w:hAnsi="Verdana"/>
          <w:sz w:val="20"/>
        </w:rPr>
        <w:t>A quantidade de fertilizante utilizada, expressa em quilogramas ou litros.</w:t>
      </w:r>
    </w:p>
    <w:p w14:paraId="5FA53A0F" w14:textId="77777777" w:rsidR="002844CB" w:rsidRPr="00AC459C" w:rsidRDefault="002844CB" w:rsidP="007C6B1F">
      <w:pPr>
        <w:spacing w:line="276" w:lineRule="auto"/>
        <w:rPr>
          <w:rFonts w:ascii="Verdana" w:hAnsi="Verdana" w:cs="Arial"/>
          <w:sz w:val="20"/>
        </w:rPr>
      </w:pPr>
    </w:p>
    <w:p w14:paraId="60B145E3" w14:textId="0DBFF4B5" w:rsidR="002844CB" w:rsidRPr="00AC459C" w:rsidRDefault="002844CB" w:rsidP="000776BA">
      <w:pPr>
        <w:spacing w:line="276" w:lineRule="auto"/>
        <w:ind w:firstLine="708"/>
        <w:rPr>
          <w:rFonts w:ascii="Verdana" w:hAnsi="Verdana" w:cs="Arial"/>
          <w:sz w:val="20"/>
        </w:rPr>
      </w:pPr>
      <w:r w:rsidRPr="00AC459C">
        <w:rPr>
          <w:rFonts w:ascii="Verdana" w:hAnsi="Verdana"/>
          <w:sz w:val="20"/>
        </w:rPr>
        <w:t xml:space="preserve">Uma anotação no registo apenas pode referir-se à fertilização em diferentes parcelas de terras agrícolas se o fertilizante utilizado tiver sido aplicado no mesmo dia e espalhado uniformemente pelas diferentes parcelas em questão. </w:t>
      </w:r>
    </w:p>
    <w:p w14:paraId="0BD2F9A6" w14:textId="77777777" w:rsidR="002844CB" w:rsidRPr="00AC459C" w:rsidRDefault="002844CB" w:rsidP="007C6B1F">
      <w:pPr>
        <w:spacing w:line="276" w:lineRule="auto"/>
        <w:rPr>
          <w:rFonts w:ascii="Verdana" w:hAnsi="Verdana" w:cs="Arial"/>
          <w:sz w:val="20"/>
        </w:rPr>
      </w:pPr>
    </w:p>
    <w:p w14:paraId="37C00329" w14:textId="171CD636" w:rsidR="002844CB" w:rsidRPr="00AC459C" w:rsidRDefault="002844CB" w:rsidP="00A813CB">
      <w:pPr>
        <w:spacing w:line="276" w:lineRule="auto"/>
        <w:ind w:firstLine="708"/>
        <w:rPr>
          <w:rFonts w:ascii="Verdana" w:hAnsi="Verdana" w:cs="Arial"/>
          <w:sz w:val="20"/>
        </w:rPr>
      </w:pPr>
      <w:r w:rsidRPr="00AC459C">
        <w:rPr>
          <w:rFonts w:ascii="Verdana" w:hAnsi="Verdana"/>
          <w:sz w:val="20"/>
        </w:rPr>
        <w:t xml:space="preserve">Contrariamente ao disposto no primeiro ao terceiro parágrafos, a utilização de fertilizante numa cultura num meio de cultura não precisa de ser registada no registo de utilização. </w:t>
      </w:r>
    </w:p>
    <w:p w14:paraId="5C461C07" w14:textId="77777777" w:rsidR="002844CB" w:rsidRPr="00AC459C" w:rsidRDefault="002844CB" w:rsidP="007C6B1F">
      <w:pPr>
        <w:spacing w:line="276" w:lineRule="auto"/>
        <w:rPr>
          <w:rFonts w:ascii="Verdana" w:hAnsi="Verdana" w:cs="Arial"/>
          <w:sz w:val="20"/>
        </w:rPr>
      </w:pPr>
    </w:p>
    <w:p w14:paraId="08AE141C" w14:textId="0FF8769D" w:rsidR="002844CB" w:rsidRPr="00AC459C" w:rsidRDefault="002844CB" w:rsidP="00A813CB">
      <w:pPr>
        <w:spacing w:line="276" w:lineRule="auto"/>
        <w:ind w:firstLine="708"/>
        <w:rPr>
          <w:rFonts w:ascii="Verdana" w:hAnsi="Verdana" w:cs="Arial"/>
          <w:sz w:val="20"/>
        </w:rPr>
      </w:pPr>
      <w:r w:rsidRPr="00AC459C">
        <w:rPr>
          <w:rFonts w:ascii="Verdana" w:hAnsi="Verdana"/>
          <w:sz w:val="20"/>
        </w:rPr>
        <w:t>Contrariamente ao disposto no primeiro ao terceiro parágrafos, o ministro pode estabelecer a forma como a utilização de fertilizantes em terras agrícolas permanentemente cobertas deve ser registada no registo de utilização.</w:t>
      </w:r>
    </w:p>
    <w:bookmarkEnd w:id="15"/>
    <w:p w14:paraId="1946284D" w14:textId="77777777" w:rsidR="002844CB" w:rsidRPr="00AC459C" w:rsidRDefault="002844CB" w:rsidP="007C6B1F">
      <w:pPr>
        <w:spacing w:line="276" w:lineRule="auto"/>
        <w:rPr>
          <w:rFonts w:ascii="Verdana" w:hAnsi="Verdana" w:cs="Arial"/>
          <w:sz w:val="20"/>
        </w:rPr>
      </w:pPr>
    </w:p>
    <w:p w14:paraId="3FB2978F" w14:textId="740C8BBF" w:rsidR="004F37B2" w:rsidRPr="00AC459C" w:rsidRDefault="002844CB" w:rsidP="007C6B1F">
      <w:pPr>
        <w:spacing w:line="276" w:lineRule="auto"/>
        <w:rPr>
          <w:rFonts w:ascii="Verdana" w:hAnsi="Verdana" w:cs="Arial"/>
          <w:sz w:val="20"/>
        </w:rPr>
      </w:pPr>
      <w:r w:rsidRPr="00AC459C">
        <w:rPr>
          <w:rFonts w:ascii="Verdana" w:hAnsi="Verdana"/>
          <w:sz w:val="20"/>
        </w:rPr>
        <w:t xml:space="preserve">3. O agricultor deve indicar os fluxos de fertilizantes na sua exploração no registo comercial referido no n.º 1, segundo parágrafo, ponto 2. </w:t>
      </w:r>
    </w:p>
    <w:p w14:paraId="714D86F0" w14:textId="0957D92E" w:rsidR="00C60541" w:rsidRPr="00AC459C" w:rsidRDefault="00C60541" w:rsidP="00A813CB">
      <w:pPr>
        <w:spacing w:line="276" w:lineRule="auto"/>
        <w:ind w:firstLine="708"/>
        <w:rPr>
          <w:rFonts w:ascii="Verdana" w:hAnsi="Verdana" w:cs="Arial"/>
          <w:sz w:val="20"/>
        </w:rPr>
      </w:pPr>
    </w:p>
    <w:p w14:paraId="3384D94E" w14:textId="74AC5140" w:rsidR="002844CB" w:rsidRPr="00AC459C" w:rsidRDefault="00013391" w:rsidP="00A813CB">
      <w:pPr>
        <w:spacing w:line="276" w:lineRule="auto"/>
        <w:ind w:firstLine="708"/>
        <w:rPr>
          <w:rFonts w:ascii="Verdana" w:hAnsi="Verdana" w:cs="Arial"/>
          <w:sz w:val="20"/>
        </w:rPr>
      </w:pPr>
      <w:r w:rsidRPr="00AC459C">
        <w:rPr>
          <w:rFonts w:ascii="Verdana" w:hAnsi="Verdana"/>
          <w:sz w:val="20"/>
        </w:rPr>
        <w:t xml:space="preserve">No registo comercial, o agricultor deve registar todos os fertilizantes recebidos na sua exploração ou transferidos para terceiros. </w:t>
      </w:r>
    </w:p>
    <w:p w14:paraId="1619A7A3" w14:textId="77777777" w:rsidR="007C6B1F" w:rsidRPr="00AC459C" w:rsidRDefault="007C6B1F" w:rsidP="007C6B1F">
      <w:pPr>
        <w:spacing w:line="276" w:lineRule="auto"/>
        <w:rPr>
          <w:rFonts w:ascii="Verdana" w:hAnsi="Verdana" w:cs="Arial"/>
          <w:sz w:val="20"/>
        </w:rPr>
      </w:pPr>
    </w:p>
    <w:p w14:paraId="0A915C2E" w14:textId="26595811" w:rsidR="002844CB" w:rsidRPr="00AC459C" w:rsidRDefault="002844CB" w:rsidP="00A813CB">
      <w:pPr>
        <w:spacing w:line="276" w:lineRule="auto"/>
        <w:ind w:firstLine="708"/>
        <w:rPr>
          <w:rFonts w:ascii="Verdana" w:hAnsi="Verdana" w:cs="Arial"/>
          <w:sz w:val="20"/>
        </w:rPr>
      </w:pPr>
      <w:bookmarkStart w:id="16" w:name="_Hlk32921624"/>
      <w:r w:rsidRPr="00AC459C">
        <w:rPr>
          <w:rFonts w:ascii="Verdana" w:hAnsi="Verdana"/>
          <w:sz w:val="20"/>
        </w:rPr>
        <w:t>Para cada receção de fertilizante de terceiros, o agricultor deve registar todas as seguintes informações:</w:t>
      </w:r>
    </w:p>
    <w:p w14:paraId="058A1832" w14:textId="056829AC" w:rsidR="002844CB" w:rsidRPr="00AC459C" w:rsidRDefault="002844CB" w:rsidP="00A813CB">
      <w:pPr>
        <w:pStyle w:val="ListParagraph"/>
        <w:numPr>
          <w:ilvl w:val="0"/>
          <w:numId w:val="12"/>
        </w:numPr>
        <w:spacing w:line="276" w:lineRule="auto"/>
        <w:ind w:hanging="720"/>
        <w:rPr>
          <w:rFonts w:ascii="Verdana" w:hAnsi="Verdana" w:cs="Arial"/>
          <w:sz w:val="20"/>
        </w:rPr>
      </w:pPr>
      <w:r w:rsidRPr="00AC459C">
        <w:rPr>
          <w:rFonts w:ascii="Verdana" w:hAnsi="Verdana"/>
          <w:sz w:val="20"/>
        </w:rPr>
        <w:t>A identificação do tipo de fertilizante recebido. Tal significa a composição, expressa em percentagem N e percentagem P</w:t>
      </w:r>
      <w:r w:rsidRPr="00AC459C">
        <w:rPr>
          <w:rFonts w:ascii="Verdana" w:hAnsi="Verdana"/>
          <w:sz w:val="20"/>
          <w:vertAlign w:val="subscript"/>
        </w:rPr>
        <w:t>2</w:t>
      </w:r>
      <w:r w:rsidRPr="00AC459C">
        <w:rPr>
          <w:rFonts w:ascii="Verdana" w:hAnsi="Verdana"/>
          <w:sz w:val="20"/>
        </w:rPr>
        <w:t>O</w:t>
      </w:r>
      <w:r w:rsidRPr="00AC459C">
        <w:rPr>
          <w:rFonts w:ascii="Verdana" w:hAnsi="Verdana"/>
          <w:sz w:val="20"/>
          <w:vertAlign w:val="subscript"/>
        </w:rPr>
        <w:t>5</w:t>
      </w:r>
      <w:r w:rsidRPr="00AC459C">
        <w:rPr>
          <w:rFonts w:ascii="Verdana" w:hAnsi="Verdana"/>
          <w:sz w:val="20"/>
        </w:rPr>
        <w:t>, do fertilizante recebido e o nome do fertilizante recebido;</w:t>
      </w:r>
    </w:p>
    <w:p w14:paraId="1DCEF495" w14:textId="08136495" w:rsidR="002844CB" w:rsidRPr="00AC459C" w:rsidRDefault="002844CB" w:rsidP="00A813CB">
      <w:pPr>
        <w:pStyle w:val="ListParagraph"/>
        <w:numPr>
          <w:ilvl w:val="0"/>
          <w:numId w:val="12"/>
        </w:numPr>
        <w:spacing w:line="276" w:lineRule="auto"/>
        <w:ind w:hanging="720"/>
        <w:rPr>
          <w:rFonts w:ascii="Verdana" w:hAnsi="Verdana" w:cs="Arial"/>
          <w:sz w:val="20"/>
        </w:rPr>
      </w:pPr>
      <w:r w:rsidRPr="00AC459C">
        <w:rPr>
          <w:rFonts w:ascii="Verdana" w:hAnsi="Verdana"/>
          <w:sz w:val="20"/>
        </w:rPr>
        <w:t>A quantidade de fertilizante recebida, expressa em quilogramas ou litros;</w:t>
      </w:r>
    </w:p>
    <w:p w14:paraId="2789B75F" w14:textId="6B066B56" w:rsidR="002844CB" w:rsidRPr="00AC459C" w:rsidRDefault="002844CB" w:rsidP="00A813CB">
      <w:pPr>
        <w:pStyle w:val="ListParagraph"/>
        <w:numPr>
          <w:ilvl w:val="0"/>
          <w:numId w:val="12"/>
        </w:numPr>
        <w:spacing w:line="276" w:lineRule="auto"/>
        <w:ind w:hanging="720"/>
        <w:rPr>
          <w:rFonts w:ascii="Verdana" w:hAnsi="Verdana" w:cs="Arial"/>
          <w:sz w:val="20"/>
        </w:rPr>
      </w:pPr>
      <w:r w:rsidRPr="00AC459C">
        <w:rPr>
          <w:rFonts w:ascii="Verdana" w:hAnsi="Verdana"/>
          <w:sz w:val="20"/>
        </w:rPr>
        <w:t>A data em que o fertilizante foi recebido na exploração do agricultor;</w:t>
      </w:r>
    </w:p>
    <w:p w14:paraId="694C76AD" w14:textId="5E38E848" w:rsidR="002844CB" w:rsidRPr="00AC459C" w:rsidRDefault="002844CB" w:rsidP="00A813CB">
      <w:pPr>
        <w:pStyle w:val="ListParagraph"/>
        <w:numPr>
          <w:ilvl w:val="0"/>
          <w:numId w:val="12"/>
        </w:numPr>
        <w:spacing w:line="276" w:lineRule="auto"/>
        <w:ind w:hanging="720"/>
        <w:rPr>
          <w:rFonts w:ascii="Verdana" w:hAnsi="Verdana" w:cs="Arial"/>
          <w:sz w:val="20"/>
        </w:rPr>
      </w:pPr>
      <w:r w:rsidRPr="00AC459C">
        <w:rPr>
          <w:rFonts w:ascii="Verdana" w:hAnsi="Verdana"/>
          <w:sz w:val="20"/>
        </w:rPr>
        <w:t>A identificação da exploração ou empresa agrícola de onde provém o fertilizante.</w:t>
      </w:r>
    </w:p>
    <w:p w14:paraId="3571A968" w14:textId="77777777" w:rsidR="002844CB" w:rsidRPr="00AC459C" w:rsidRDefault="002844CB" w:rsidP="007C6B1F">
      <w:pPr>
        <w:spacing w:line="276" w:lineRule="auto"/>
        <w:rPr>
          <w:rFonts w:ascii="Verdana" w:hAnsi="Verdana" w:cs="Arial"/>
          <w:sz w:val="20"/>
        </w:rPr>
      </w:pPr>
    </w:p>
    <w:p w14:paraId="647CDD76" w14:textId="71D0BDAB" w:rsidR="002844CB" w:rsidRPr="00AC459C" w:rsidRDefault="002844CB" w:rsidP="00A813CB">
      <w:pPr>
        <w:spacing w:line="276" w:lineRule="auto"/>
        <w:ind w:firstLine="708"/>
        <w:rPr>
          <w:rFonts w:ascii="Verdana" w:hAnsi="Verdana" w:cs="Arial"/>
          <w:sz w:val="20"/>
        </w:rPr>
      </w:pPr>
      <w:r w:rsidRPr="00AC459C">
        <w:rPr>
          <w:rFonts w:ascii="Verdana" w:hAnsi="Verdana"/>
          <w:sz w:val="20"/>
        </w:rPr>
        <w:t>Para cada transferência de fertilizante para terceiros, o agricultor deve registar todas as seguintes informações:</w:t>
      </w:r>
    </w:p>
    <w:p w14:paraId="2548DA2D" w14:textId="4834009A" w:rsidR="002844CB" w:rsidRPr="00AC459C" w:rsidRDefault="002844CB" w:rsidP="00A813CB">
      <w:pPr>
        <w:pStyle w:val="ListParagraph"/>
        <w:numPr>
          <w:ilvl w:val="0"/>
          <w:numId w:val="13"/>
        </w:numPr>
        <w:spacing w:line="276" w:lineRule="auto"/>
        <w:ind w:hanging="720"/>
        <w:rPr>
          <w:rFonts w:ascii="Verdana" w:hAnsi="Verdana" w:cs="Arial"/>
          <w:sz w:val="20"/>
        </w:rPr>
      </w:pPr>
      <w:r w:rsidRPr="00AC459C">
        <w:rPr>
          <w:rFonts w:ascii="Verdana" w:hAnsi="Verdana"/>
          <w:sz w:val="20"/>
        </w:rPr>
        <w:t>A identificação do tipo de fertilizante transferido. Tal significa a composição, expressa em percentagem N e percentagem P</w:t>
      </w:r>
      <w:r w:rsidRPr="00AC459C">
        <w:rPr>
          <w:rFonts w:ascii="Verdana" w:hAnsi="Verdana"/>
          <w:sz w:val="20"/>
          <w:vertAlign w:val="subscript"/>
        </w:rPr>
        <w:t>2</w:t>
      </w:r>
      <w:r w:rsidRPr="00AC459C">
        <w:rPr>
          <w:rFonts w:ascii="Verdana" w:hAnsi="Verdana"/>
          <w:sz w:val="20"/>
        </w:rPr>
        <w:t>O</w:t>
      </w:r>
      <w:r w:rsidRPr="00AC459C">
        <w:rPr>
          <w:rFonts w:ascii="Verdana" w:hAnsi="Verdana"/>
          <w:sz w:val="20"/>
          <w:vertAlign w:val="subscript"/>
        </w:rPr>
        <w:t>5</w:t>
      </w:r>
      <w:r w:rsidRPr="00AC459C">
        <w:rPr>
          <w:rFonts w:ascii="Verdana" w:hAnsi="Verdana"/>
          <w:sz w:val="20"/>
        </w:rPr>
        <w:t xml:space="preserve">, do fertilizante </w:t>
      </w:r>
      <w:bookmarkStart w:id="17" w:name="_Hlk32921665"/>
      <w:r w:rsidRPr="00AC459C">
        <w:rPr>
          <w:rFonts w:ascii="Verdana" w:hAnsi="Verdana"/>
          <w:sz w:val="20"/>
        </w:rPr>
        <w:t>transferido</w:t>
      </w:r>
      <w:bookmarkEnd w:id="17"/>
      <w:r w:rsidRPr="00AC459C">
        <w:rPr>
          <w:rFonts w:ascii="Verdana" w:hAnsi="Verdana"/>
          <w:sz w:val="20"/>
        </w:rPr>
        <w:t xml:space="preserve"> e o nome do fertilizante transferido;</w:t>
      </w:r>
    </w:p>
    <w:p w14:paraId="76E6AFCF" w14:textId="0E07E3BF" w:rsidR="002844CB" w:rsidRPr="00AC459C" w:rsidRDefault="002844CB" w:rsidP="00A813CB">
      <w:pPr>
        <w:pStyle w:val="ListParagraph"/>
        <w:numPr>
          <w:ilvl w:val="0"/>
          <w:numId w:val="13"/>
        </w:numPr>
        <w:spacing w:line="276" w:lineRule="auto"/>
        <w:ind w:hanging="720"/>
        <w:rPr>
          <w:rFonts w:ascii="Verdana" w:hAnsi="Verdana" w:cs="Arial"/>
          <w:sz w:val="20"/>
        </w:rPr>
      </w:pPr>
      <w:r w:rsidRPr="00AC459C">
        <w:rPr>
          <w:rFonts w:ascii="Verdana" w:hAnsi="Verdana"/>
          <w:sz w:val="20"/>
        </w:rPr>
        <w:t>A quantidade de fertilizante transferida, expressa em quilogramas ou litros;</w:t>
      </w:r>
    </w:p>
    <w:p w14:paraId="0AF392A3" w14:textId="5FB8DB05" w:rsidR="002844CB" w:rsidRPr="00AC459C" w:rsidRDefault="002844CB" w:rsidP="00A813CB">
      <w:pPr>
        <w:pStyle w:val="ListParagraph"/>
        <w:numPr>
          <w:ilvl w:val="0"/>
          <w:numId w:val="13"/>
        </w:numPr>
        <w:spacing w:line="276" w:lineRule="auto"/>
        <w:ind w:hanging="720"/>
        <w:rPr>
          <w:rFonts w:ascii="Verdana" w:hAnsi="Verdana" w:cs="Arial"/>
          <w:sz w:val="20"/>
        </w:rPr>
      </w:pPr>
      <w:r w:rsidRPr="00AC459C">
        <w:rPr>
          <w:rFonts w:ascii="Verdana" w:hAnsi="Verdana"/>
          <w:sz w:val="20"/>
        </w:rPr>
        <w:t>A data em que o fertilizante saiu da exploração do agricultor;</w:t>
      </w:r>
    </w:p>
    <w:p w14:paraId="3D4D2333" w14:textId="51B73757" w:rsidR="002844CB" w:rsidRPr="00AC459C" w:rsidRDefault="002844CB" w:rsidP="00A813CB">
      <w:pPr>
        <w:pStyle w:val="ListParagraph"/>
        <w:numPr>
          <w:ilvl w:val="0"/>
          <w:numId w:val="13"/>
        </w:numPr>
        <w:spacing w:line="276" w:lineRule="auto"/>
        <w:ind w:hanging="720"/>
        <w:rPr>
          <w:rFonts w:ascii="Verdana" w:hAnsi="Verdana" w:cs="Arial"/>
          <w:sz w:val="20"/>
        </w:rPr>
      </w:pPr>
      <w:r w:rsidRPr="00AC459C">
        <w:rPr>
          <w:rFonts w:ascii="Verdana" w:hAnsi="Verdana"/>
          <w:sz w:val="20"/>
        </w:rPr>
        <w:t>A identificação da exploração ou empresa agrícola para a qual o fertilizante foi transferido.</w:t>
      </w:r>
    </w:p>
    <w:p w14:paraId="534C26E8" w14:textId="77777777" w:rsidR="002844CB" w:rsidRPr="00AC459C" w:rsidRDefault="002844CB" w:rsidP="007C6B1F">
      <w:pPr>
        <w:spacing w:line="276" w:lineRule="auto"/>
        <w:rPr>
          <w:rFonts w:ascii="Verdana" w:hAnsi="Verdana" w:cs="Arial"/>
          <w:sz w:val="20"/>
        </w:rPr>
      </w:pPr>
    </w:p>
    <w:bookmarkEnd w:id="16"/>
    <w:p w14:paraId="2937932A" w14:textId="45D85110" w:rsidR="0075662F" w:rsidRPr="00AC459C" w:rsidRDefault="005B2F7B" w:rsidP="0075662F">
      <w:pPr>
        <w:spacing w:line="276" w:lineRule="auto"/>
        <w:ind w:firstLine="708"/>
        <w:rPr>
          <w:rFonts w:ascii="Verdana" w:hAnsi="Verdana" w:cs="Arial"/>
          <w:sz w:val="20"/>
        </w:rPr>
      </w:pPr>
      <w:r w:rsidRPr="00AC459C">
        <w:rPr>
          <w:rFonts w:ascii="Verdana" w:hAnsi="Verdana"/>
          <w:sz w:val="20"/>
        </w:rPr>
        <w:t>O agricultor que aplique ou tenha aplicado fertilizante numa parcela agrícola não pertencente à sua exploração deve registar as informações mencionadas no n.º 2, segundo parágrafo, no registo de utilização da parcela em questão. Assim que as informações contidas no pedido único do ano em questão identifiquem o agricultor a cuja exploração pertence a parcela em questão, as informações registadas serão transmitidas pelo Banco de Estrume ao agricultor em questão e serão visíveis para o agricultor no registo de utilização da parcela em questão.</w:t>
      </w:r>
    </w:p>
    <w:p w14:paraId="3AD2657F" w14:textId="77777777" w:rsidR="00A17C02" w:rsidRPr="00AC459C" w:rsidRDefault="00A17C02" w:rsidP="007C6B1F">
      <w:pPr>
        <w:spacing w:line="276" w:lineRule="auto"/>
        <w:rPr>
          <w:rFonts w:ascii="Verdana" w:hAnsi="Verdana" w:cs="Arial"/>
          <w:sz w:val="20"/>
        </w:rPr>
      </w:pPr>
    </w:p>
    <w:p w14:paraId="253AA1A7" w14:textId="63A7F35A" w:rsidR="002844CB" w:rsidRPr="00AC459C" w:rsidRDefault="002844CB" w:rsidP="00A813CB">
      <w:pPr>
        <w:spacing w:line="276" w:lineRule="auto"/>
        <w:ind w:firstLine="708"/>
        <w:rPr>
          <w:rFonts w:ascii="Verdana" w:hAnsi="Verdana" w:cs="Arial"/>
          <w:sz w:val="20"/>
        </w:rPr>
      </w:pPr>
      <w:r w:rsidRPr="00AC459C">
        <w:rPr>
          <w:rFonts w:ascii="Verdana" w:hAnsi="Verdana"/>
          <w:sz w:val="20"/>
        </w:rPr>
        <w:t xml:space="preserve">Para efeitos do presente número, uma transferência de fertilizante entre diferentes operadores pertencentes ao mesmo agricultor não é considerada uma transferência de fertilizante para terceiros. </w:t>
      </w:r>
    </w:p>
    <w:p w14:paraId="55585B55" w14:textId="77777777" w:rsidR="002844CB" w:rsidRPr="00AC459C" w:rsidRDefault="002844CB" w:rsidP="007C6B1F">
      <w:pPr>
        <w:spacing w:line="276" w:lineRule="auto"/>
        <w:rPr>
          <w:rFonts w:ascii="Verdana" w:hAnsi="Verdana" w:cs="Arial"/>
          <w:sz w:val="20"/>
        </w:rPr>
      </w:pPr>
    </w:p>
    <w:p w14:paraId="76DCB543" w14:textId="78BB514A" w:rsidR="002844CB" w:rsidRPr="00AC459C" w:rsidRDefault="002844CB" w:rsidP="007C6B1F">
      <w:pPr>
        <w:spacing w:line="276" w:lineRule="auto"/>
        <w:rPr>
          <w:rFonts w:ascii="Verdana" w:hAnsi="Verdana" w:cs="Arial"/>
          <w:sz w:val="20"/>
        </w:rPr>
      </w:pPr>
      <w:r w:rsidRPr="00AC459C">
        <w:rPr>
          <w:rFonts w:ascii="Verdana" w:hAnsi="Verdana"/>
          <w:sz w:val="20"/>
        </w:rPr>
        <w:tab/>
        <w:t>O nome e endereço do agricultor ou operador em causa e o número do agricultor ou operador serão indicados para efeitos de identificação da exploração ou empresa agrícola de onde o fertilizante foi transferido, tal como referido no terceiro parágrafo, ponto 4, e para a identificação da exploração ou empresa agrícola para a qual o fertilizante foi transferido, tal como referido no quarto parágrafo, ponto 4. Se o agricultor ou operador em questão não tiver um número de agricultor ou operador, o número de empresa do agricultor ou operador em questão deve ser inscrito no registo.»</w:t>
      </w:r>
    </w:p>
    <w:p w14:paraId="31241109" w14:textId="1254E307" w:rsidR="007D16E6" w:rsidRPr="00AC459C" w:rsidRDefault="007D16E6" w:rsidP="007C6B1F">
      <w:pPr>
        <w:spacing w:line="276" w:lineRule="auto"/>
        <w:rPr>
          <w:rFonts w:ascii="Verdana" w:hAnsi="Verdana" w:cs="Arial"/>
          <w:sz w:val="20"/>
        </w:rPr>
      </w:pPr>
    </w:p>
    <w:p w14:paraId="4D15D777" w14:textId="452A7446" w:rsidR="002844CB" w:rsidRPr="00AC459C" w:rsidRDefault="002844CB" w:rsidP="007C6B1F">
      <w:pPr>
        <w:spacing w:line="276" w:lineRule="auto"/>
        <w:rPr>
          <w:rFonts w:ascii="Verdana" w:hAnsi="Verdana" w:cs="Arial"/>
          <w:sz w:val="20"/>
        </w:rPr>
      </w:pPr>
      <w:r w:rsidRPr="00AC459C">
        <w:rPr>
          <w:rFonts w:ascii="Verdana" w:hAnsi="Verdana"/>
          <w:b/>
          <w:sz w:val="20"/>
        </w:rPr>
        <w:lastRenderedPageBreak/>
        <w:t>Artigo 4.º</w:t>
      </w:r>
      <w:r w:rsidRPr="00AC459C">
        <w:rPr>
          <w:rFonts w:ascii="Verdana" w:hAnsi="Verdana"/>
          <w:sz w:val="20"/>
        </w:rPr>
        <w:t xml:space="preserve"> No capítulo 4 da mesma decisão, com a última redação que lhe foi dada pela Decisão do Governo da Flandres de 22 de dezembro de 2017, é inserida uma parte 5, constituída pelo artigo 4.5.1, com a seguinte redação: </w:t>
      </w:r>
    </w:p>
    <w:p w14:paraId="59F7C666" w14:textId="77777777" w:rsidR="002844CB" w:rsidRPr="00AC459C" w:rsidRDefault="002844CB" w:rsidP="007C6B1F">
      <w:pPr>
        <w:spacing w:line="276" w:lineRule="auto"/>
        <w:rPr>
          <w:rFonts w:ascii="Verdana" w:hAnsi="Verdana" w:cs="Arial"/>
          <w:sz w:val="20"/>
        </w:rPr>
      </w:pPr>
    </w:p>
    <w:p w14:paraId="711CE403" w14:textId="3E1D938D" w:rsidR="002844CB" w:rsidRPr="00AC459C" w:rsidRDefault="002844CB" w:rsidP="008725FF">
      <w:pPr>
        <w:spacing w:line="276" w:lineRule="auto"/>
        <w:rPr>
          <w:rFonts w:ascii="Verdana" w:hAnsi="Verdana" w:cs="Arial"/>
          <w:sz w:val="20"/>
        </w:rPr>
      </w:pPr>
      <w:r w:rsidRPr="00AC459C">
        <w:rPr>
          <w:rFonts w:ascii="Verdana" w:hAnsi="Verdana"/>
          <w:sz w:val="20"/>
        </w:rPr>
        <w:t xml:space="preserve">«Parte 5. Normas relativas à fertilização </w:t>
      </w:r>
    </w:p>
    <w:p w14:paraId="5A42363B" w14:textId="39276826" w:rsidR="006754CD" w:rsidRPr="00AC459C" w:rsidRDefault="006754CD" w:rsidP="007C6B1F">
      <w:pPr>
        <w:spacing w:line="276" w:lineRule="auto"/>
        <w:rPr>
          <w:rFonts w:ascii="Verdana" w:hAnsi="Verdana" w:cs="Arial"/>
          <w:sz w:val="20"/>
        </w:rPr>
      </w:pPr>
    </w:p>
    <w:p w14:paraId="560905D4" w14:textId="3D06D86D" w:rsidR="006754CD" w:rsidRPr="00AC459C" w:rsidRDefault="006754CD" w:rsidP="007C6B1F">
      <w:pPr>
        <w:spacing w:line="276" w:lineRule="auto"/>
        <w:rPr>
          <w:rFonts w:ascii="Verdana" w:hAnsi="Verdana" w:cs="Arial"/>
          <w:sz w:val="20"/>
        </w:rPr>
      </w:pPr>
      <w:r w:rsidRPr="00AC459C">
        <w:rPr>
          <w:rFonts w:ascii="Verdana" w:hAnsi="Verdana"/>
          <w:sz w:val="20"/>
        </w:rPr>
        <w:t>Artigo 4.5.1. Para efeitos da aplicação do Decreto relativo ao estrume, de 22 de dezembro de 2006, e das respetivas decisões de execução, o agricultor a cuja exploração a parcela em questão pertence é responsável pela fertilização dessa parcela.</w:t>
      </w:r>
      <w:r w:rsidRPr="00AC459C">
        <w:rPr>
          <w:rFonts w:ascii="Verdana" w:hAnsi="Verdana"/>
          <w:sz w:val="20"/>
        </w:rPr>
        <w:br/>
      </w:r>
    </w:p>
    <w:p w14:paraId="687F92A7" w14:textId="3AB6C0A0" w:rsidR="003D711A" w:rsidRPr="00AC459C" w:rsidRDefault="006754CD" w:rsidP="00E92F7C">
      <w:pPr>
        <w:spacing w:line="276" w:lineRule="auto"/>
        <w:ind w:firstLine="708"/>
        <w:rPr>
          <w:rFonts w:ascii="Verdana" w:eastAsiaTheme="minorHAnsi" w:hAnsi="Verdana"/>
          <w:sz w:val="20"/>
        </w:rPr>
      </w:pPr>
      <w:r w:rsidRPr="00AC459C">
        <w:rPr>
          <w:rFonts w:ascii="Verdana" w:hAnsi="Verdana"/>
          <w:sz w:val="20"/>
        </w:rPr>
        <w:t xml:space="preserve">Um agricultor que, durante um ano, utilize uma parcela agrícola que não pertença à sua exploração não pode aplicar fertilizante nessa parcela agrícola, a menos que esteja autorizado a aplicar ou mandar aplicar o fertilizante, </w:t>
      </w:r>
      <w:bookmarkStart w:id="18" w:name="_Hlk34086970"/>
      <w:r w:rsidRPr="00AC459C">
        <w:rPr>
          <w:rFonts w:ascii="Verdana" w:hAnsi="Verdana"/>
          <w:sz w:val="20"/>
        </w:rPr>
        <w:t xml:space="preserve">pelo agricultor a cuja exploração a parcela em questão </w:t>
      </w:r>
      <w:bookmarkEnd w:id="18"/>
      <w:r w:rsidRPr="00AC459C">
        <w:rPr>
          <w:rFonts w:ascii="Verdana" w:hAnsi="Verdana"/>
          <w:sz w:val="20"/>
        </w:rPr>
        <w:t>pertence. Os fertilizantes aplicados com o consentimento do agricultor a cuja exploração a parcela agrícola pertence</w:t>
      </w:r>
      <w:bookmarkStart w:id="19" w:name="_Hlk34087164"/>
      <w:r w:rsidRPr="00AC459C">
        <w:rPr>
          <w:rFonts w:ascii="Verdana" w:hAnsi="Verdana"/>
          <w:sz w:val="20"/>
        </w:rPr>
        <w:t>,</w:t>
      </w:r>
      <w:bookmarkEnd w:id="19"/>
      <w:r w:rsidRPr="00AC459C">
        <w:rPr>
          <w:rFonts w:ascii="Verdana" w:hAnsi="Verdana"/>
          <w:sz w:val="20"/>
        </w:rPr>
        <w:t xml:space="preserve"> são considerados fertilizantes fornecidos ao agricultor a cuja exploração a parcela em questão pertence. Os fertilizantes relativamente aos quais não seja possível comprovar terem sido aplicados com o consentimento do agricultor a cuja exploração a parcela agrícola pertence não são considerados fertilizantes fornecidos ao agricultor a cuja exploração a parcela em questão pertence. Tais fertilizantes são considerados como tendo sido aplicados em violação das disposições do Decreto relativo ao estrume pelo agricultor que aplica fertilizante numa parcela de terra que não pertence à sua exploração. </w:t>
      </w:r>
    </w:p>
    <w:p w14:paraId="0F8A7B4A" w14:textId="77777777" w:rsidR="006754CD" w:rsidRPr="00AC459C" w:rsidRDefault="006754CD" w:rsidP="007C6B1F">
      <w:pPr>
        <w:spacing w:line="276" w:lineRule="auto"/>
        <w:rPr>
          <w:rFonts w:ascii="Verdana" w:hAnsi="Verdana" w:cs="Arial"/>
          <w:sz w:val="20"/>
        </w:rPr>
      </w:pPr>
    </w:p>
    <w:p w14:paraId="3A3DA314" w14:textId="099CE987" w:rsidR="004E5F3F" w:rsidRPr="00AC459C" w:rsidRDefault="006754CD" w:rsidP="00A813CB">
      <w:pPr>
        <w:spacing w:line="276" w:lineRule="auto"/>
        <w:ind w:firstLine="708"/>
        <w:rPr>
          <w:rFonts w:ascii="Verdana" w:hAnsi="Verdana" w:cs="Arial"/>
          <w:sz w:val="20"/>
        </w:rPr>
      </w:pPr>
      <w:r w:rsidRPr="00AC459C">
        <w:rPr>
          <w:rFonts w:ascii="Verdana" w:hAnsi="Verdana"/>
          <w:sz w:val="20"/>
        </w:rPr>
        <w:t xml:space="preserve">O ministro pode estabelecer regras mais pormenorizadas relativamente ao consentimento referido no segundo parágrafo.» </w:t>
      </w:r>
    </w:p>
    <w:p w14:paraId="63B79431" w14:textId="14BD05D4" w:rsidR="00B95DB8" w:rsidRPr="00AC459C" w:rsidRDefault="00B95DB8" w:rsidP="00B95DB8">
      <w:pPr>
        <w:spacing w:line="276" w:lineRule="auto"/>
        <w:rPr>
          <w:rFonts w:ascii="Verdana" w:hAnsi="Verdana" w:cs="Arial"/>
          <w:sz w:val="20"/>
        </w:rPr>
      </w:pPr>
    </w:p>
    <w:p w14:paraId="13A38D4B" w14:textId="08BB8CF5" w:rsidR="00B95DB8" w:rsidRPr="00AC459C" w:rsidRDefault="00B95DB8" w:rsidP="00B95DB8">
      <w:pPr>
        <w:spacing w:line="276" w:lineRule="auto"/>
        <w:rPr>
          <w:rFonts w:ascii="Verdana" w:hAnsi="Verdana" w:cs="Arial"/>
          <w:sz w:val="20"/>
        </w:rPr>
      </w:pPr>
      <w:r w:rsidRPr="00AC459C">
        <w:rPr>
          <w:rFonts w:ascii="Verdana" w:hAnsi="Verdana"/>
          <w:b/>
          <w:sz w:val="20"/>
        </w:rPr>
        <w:t>Artigo 5.º</w:t>
      </w:r>
      <w:r w:rsidRPr="00AC459C">
        <w:rPr>
          <w:rFonts w:ascii="Verdana" w:hAnsi="Verdana"/>
          <w:sz w:val="20"/>
        </w:rPr>
        <w:t xml:space="preserve"> No VLAREME de 28 de outubro de 2016, com a redação que lhe foi dada pela Decisão do Governo da Flandres de 29 de maio de 2020, é inserido um novo artigo 13.1.7 com a seguinte redação:</w:t>
      </w:r>
    </w:p>
    <w:p w14:paraId="32954A51" w14:textId="5DE3FB72" w:rsidR="00B95DB8" w:rsidRPr="00AC459C" w:rsidRDefault="00B95DB8" w:rsidP="00B95DB8">
      <w:pPr>
        <w:spacing w:line="276" w:lineRule="auto"/>
        <w:rPr>
          <w:rFonts w:ascii="Verdana" w:hAnsi="Verdana" w:cs="Arial"/>
          <w:sz w:val="20"/>
        </w:rPr>
      </w:pPr>
    </w:p>
    <w:p w14:paraId="4676339C" w14:textId="211F666A" w:rsidR="005B2048" w:rsidRPr="00AC459C" w:rsidRDefault="0056707D" w:rsidP="00005160">
      <w:pPr>
        <w:spacing w:line="276" w:lineRule="auto"/>
        <w:rPr>
          <w:rFonts w:ascii="Verdana" w:hAnsi="Verdana" w:cs="Arial"/>
          <w:sz w:val="20"/>
        </w:rPr>
      </w:pPr>
      <w:r w:rsidRPr="00AC459C">
        <w:rPr>
          <w:rFonts w:ascii="Verdana" w:hAnsi="Verdana"/>
          <w:sz w:val="20"/>
        </w:rPr>
        <w:t xml:space="preserve">«Artigo 13.1.7. </w:t>
      </w:r>
      <w:bookmarkStart w:id="20" w:name="_Hlk50979976"/>
      <w:r w:rsidRPr="00AC459C">
        <w:rPr>
          <w:rFonts w:ascii="Verdana" w:hAnsi="Verdana"/>
          <w:sz w:val="20"/>
        </w:rPr>
        <w:t xml:space="preserve">1. Em derrogação do artigo 2.2.1.4, terceiro parágrafo, da presente decisão, no ano de 2021, </w:t>
      </w:r>
      <w:bookmarkStart w:id="21" w:name="_Hlk50987520"/>
      <w:r w:rsidRPr="00AC459C">
        <w:rPr>
          <w:rFonts w:ascii="Verdana" w:hAnsi="Verdana"/>
          <w:sz w:val="20"/>
        </w:rPr>
        <w:t xml:space="preserve">o registo referido no artigo 2.2.3.1 </w:t>
      </w:r>
      <w:bookmarkEnd w:id="20"/>
      <w:bookmarkEnd w:id="21"/>
      <w:r w:rsidRPr="00AC459C">
        <w:rPr>
          <w:rFonts w:ascii="Verdana" w:hAnsi="Verdana"/>
          <w:sz w:val="20"/>
        </w:rPr>
        <w:t xml:space="preserve"> pode ser preenchido através do balcão da Internet, o mais tardar no trigésimo dia após o dia da ocorrência dos factos a inscrever no registo, desde que o interessado conserve as informações a inscrever no registo em papel ou em formato digital o mais tardar no sétimo dia após o dia da ocorrência dos factos a inscrever no registo até ao dia em que esses factos sejam inscritos no registo disponibilizado através do balcão da Internet. </w:t>
      </w:r>
    </w:p>
    <w:p w14:paraId="39A42721" w14:textId="697DE824" w:rsidR="005B2048" w:rsidRPr="00AC459C" w:rsidRDefault="005B2048" w:rsidP="000E2D80">
      <w:pPr>
        <w:spacing w:line="276" w:lineRule="auto"/>
        <w:rPr>
          <w:rFonts w:ascii="Verdana" w:hAnsi="Verdana" w:cs="Arial"/>
          <w:sz w:val="20"/>
        </w:rPr>
      </w:pPr>
    </w:p>
    <w:p w14:paraId="6B557AD8" w14:textId="5A66F405" w:rsidR="00F3730F" w:rsidRPr="00AC459C" w:rsidRDefault="00F3730F" w:rsidP="00F3730F">
      <w:pPr>
        <w:spacing w:line="276" w:lineRule="auto"/>
        <w:ind w:firstLine="708"/>
        <w:rPr>
          <w:rFonts w:ascii="Verdana" w:hAnsi="Verdana" w:cs="Arial"/>
          <w:sz w:val="20"/>
        </w:rPr>
      </w:pPr>
      <w:r w:rsidRPr="00AC459C">
        <w:rPr>
          <w:rFonts w:ascii="Verdana" w:hAnsi="Verdana"/>
          <w:sz w:val="20"/>
        </w:rPr>
        <w:t>Em 2021, em derrogação do artigo 2.2.1.4, terceiro parágrafo, da presente decisão, são aplicáveis os seguintes prazos para o preenchimento do registo referido no artigo 2.2.4.1:</w:t>
      </w:r>
    </w:p>
    <w:p w14:paraId="045D335F" w14:textId="570CB046" w:rsidR="00E75755" w:rsidRPr="00F37754" w:rsidRDefault="006115B8" w:rsidP="00F37754">
      <w:pPr>
        <w:pStyle w:val="ListParagraph"/>
        <w:numPr>
          <w:ilvl w:val="0"/>
          <w:numId w:val="33"/>
        </w:numPr>
        <w:spacing w:line="276" w:lineRule="auto"/>
        <w:ind w:left="709" w:hanging="709"/>
        <w:rPr>
          <w:rFonts w:ascii="Verdana" w:hAnsi="Verdana" w:cs="Arial"/>
          <w:sz w:val="20"/>
        </w:rPr>
      </w:pPr>
      <w:bookmarkStart w:id="22" w:name="_Hlk67040883"/>
      <w:r w:rsidRPr="00F37754">
        <w:rPr>
          <w:rFonts w:ascii="Verdana" w:hAnsi="Verdana"/>
          <w:sz w:val="20"/>
        </w:rPr>
        <w:t>O agricultor obrigado a manter um registo de fertilizantes em conformidade com as disposições do artigo 2.2.4.1 pode preencher o registo referido no artigo 2.2.4.1, terceiro parágrafo, o mais tardar no trigésimo dia após o dia da ocorrência dos factos a inscrever no registo;</w:t>
      </w:r>
      <w:bookmarkEnd w:id="22"/>
    </w:p>
    <w:p w14:paraId="1A748E4F" w14:textId="6DBDEFF5" w:rsidR="00F3730F" w:rsidRPr="00F37754" w:rsidRDefault="00E75755" w:rsidP="00F37754">
      <w:pPr>
        <w:pStyle w:val="ListParagraph"/>
        <w:numPr>
          <w:ilvl w:val="0"/>
          <w:numId w:val="33"/>
        </w:numPr>
        <w:spacing w:line="276" w:lineRule="auto"/>
        <w:ind w:left="709" w:hanging="709"/>
        <w:rPr>
          <w:rFonts w:ascii="Verdana" w:hAnsi="Verdana" w:cs="Arial"/>
          <w:sz w:val="20"/>
        </w:rPr>
      </w:pPr>
      <w:r w:rsidRPr="00F37754">
        <w:rPr>
          <w:rFonts w:ascii="Verdana" w:hAnsi="Verdana"/>
          <w:sz w:val="20"/>
        </w:rPr>
        <w:t xml:space="preserve">O agricultor obrigado a manter um registo de fertilizantes em conformidade com as disposições do artigo 2.2.4.1 pode preencher o registo, descrito no artigo 2.2.4.1, segundo parágrafo, o mais tardar no </w:t>
      </w:r>
      <w:r w:rsidRPr="00F37754">
        <w:rPr>
          <w:rFonts w:ascii="Verdana" w:hAnsi="Verdana"/>
          <w:sz w:val="20"/>
        </w:rPr>
        <w:lastRenderedPageBreak/>
        <w:t>trigésimo dia após o dia da ocorrência dos factos a inscrever no registo, desde que o agricultor satisfaça todas as condições seguintes:</w:t>
      </w:r>
    </w:p>
    <w:p w14:paraId="5FB8A324" w14:textId="69E40371" w:rsidR="00F3730F" w:rsidRPr="00AC459C" w:rsidRDefault="00F3730F" w:rsidP="00F3730F">
      <w:pPr>
        <w:pStyle w:val="ListParagraph"/>
        <w:numPr>
          <w:ilvl w:val="0"/>
          <w:numId w:val="19"/>
        </w:numPr>
        <w:spacing w:line="276" w:lineRule="auto"/>
        <w:ind w:left="1134" w:hanging="425"/>
        <w:rPr>
          <w:rFonts w:ascii="Verdana" w:hAnsi="Verdana" w:cs="Arial"/>
          <w:sz w:val="20"/>
        </w:rPr>
      </w:pPr>
      <w:r w:rsidRPr="00AC459C">
        <w:rPr>
          <w:rFonts w:ascii="Verdana" w:hAnsi="Verdana"/>
          <w:sz w:val="20"/>
        </w:rPr>
        <w:t>Não são cultivadas na superfície agrícola da exploração do agricultor em causa quaisquer culturas ornamentais, variedades de árvores, legumes do Grupo I, legumes do Grupo II e morangos, exceto no meio de cultura</w:t>
      </w:r>
      <w:r w:rsidR="00F37754">
        <w:rPr>
          <w:rFonts w:ascii="Verdana" w:hAnsi="Verdana"/>
          <w:sz w:val="20"/>
        </w:rPr>
        <w:t>;</w:t>
      </w:r>
    </w:p>
    <w:p w14:paraId="49579144" w14:textId="77777777" w:rsidR="00F3730F" w:rsidRPr="00AC459C" w:rsidRDefault="00F3730F" w:rsidP="00F3730F">
      <w:pPr>
        <w:pStyle w:val="ListParagraph"/>
        <w:numPr>
          <w:ilvl w:val="0"/>
          <w:numId w:val="19"/>
        </w:numPr>
        <w:spacing w:line="276" w:lineRule="auto"/>
        <w:ind w:left="1134" w:hanging="425"/>
        <w:rPr>
          <w:rFonts w:ascii="Verdana" w:hAnsi="Verdana" w:cs="Arial"/>
          <w:sz w:val="20"/>
        </w:rPr>
      </w:pPr>
      <w:r w:rsidRPr="00AC459C">
        <w:rPr>
          <w:rFonts w:ascii="Verdana" w:hAnsi="Verdana"/>
          <w:sz w:val="20"/>
        </w:rPr>
        <w:t xml:space="preserve">O agricultor deve assegurar que, a partir do sétimo dia após o dia da ocorrência dos factos a inscrever no registo, até ao dia em que esses factos sejam inscritos no registo disponibilizado através do balcão da Internet, mantém um registo em papel ou digital dos dados a inscrever no registo. </w:t>
      </w:r>
    </w:p>
    <w:p w14:paraId="3F6CBAD7" w14:textId="77777777" w:rsidR="00F3730F" w:rsidRPr="00AC459C" w:rsidRDefault="00F3730F" w:rsidP="00F3730F">
      <w:pPr>
        <w:spacing w:line="276" w:lineRule="auto"/>
        <w:rPr>
          <w:rFonts w:ascii="Verdana" w:hAnsi="Verdana" w:cs="Arial"/>
          <w:sz w:val="20"/>
        </w:rPr>
      </w:pPr>
    </w:p>
    <w:p w14:paraId="4C7D9155" w14:textId="74A3B54C" w:rsidR="000E2D80" w:rsidRPr="00AC459C" w:rsidRDefault="00715431" w:rsidP="00F52412">
      <w:pPr>
        <w:spacing w:line="276" w:lineRule="auto"/>
        <w:ind w:firstLine="708"/>
        <w:rPr>
          <w:rFonts w:ascii="Verdana" w:hAnsi="Verdana" w:cs="Arial"/>
          <w:sz w:val="20"/>
        </w:rPr>
      </w:pPr>
      <w:r w:rsidRPr="00AC459C">
        <w:rPr>
          <w:rFonts w:ascii="Verdana" w:hAnsi="Verdana"/>
          <w:sz w:val="20"/>
        </w:rPr>
        <w:t>Em 2022, em derrogação do artigo 2.2.1.4, terceiro parágrafo, da presente decisão, são aplicáveis os seguintes prazos para o preenchimento do registo referido no artigo 2.2.4.1:</w:t>
      </w:r>
    </w:p>
    <w:p w14:paraId="5EB8AB9F" w14:textId="05FDB4EB" w:rsidR="006115B8" w:rsidRPr="00F37754" w:rsidRDefault="00BB70EC" w:rsidP="00F37754">
      <w:pPr>
        <w:pStyle w:val="ListParagraph"/>
        <w:numPr>
          <w:ilvl w:val="1"/>
          <w:numId w:val="12"/>
        </w:numPr>
        <w:spacing w:line="276" w:lineRule="auto"/>
        <w:rPr>
          <w:rFonts w:ascii="Verdana" w:hAnsi="Verdana" w:cs="Arial"/>
          <w:sz w:val="20"/>
        </w:rPr>
      </w:pPr>
      <w:r w:rsidRPr="00F37754">
        <w:rPr>
          <w:rFonts w:ascii="Verdana" w:hAnsi="Verdana"/>
          <w:sz w:val="20"/>
        </w:rPr>
        <w:t xml:space="preserve">O agricultor obrigado a manter um registo de fertilizantes em conformidade com o disposto no artigo 2.2.4.1 pode completar o registo comercial referido no artigo 2.2.4.1, n.º 3, o mais tardar no décimo quinto dia seguinte ao dia em que ocorreram os factos a registar no registo; </w:t>
      </w:r>
      <w:bookmarkStart w:id="23" w:name="_Hlk67041705"/>
    </w:p>
    <w:bookmarkEnd w:id="23"/>
    <w:p w14:paraId="507BF74B" w14:textId="2AC5E596" w:rsidR="00381A8A" w:rsidRPr="00F37754" w:rsidRDefault="00BB70EC" w:rsidP="00F37754">
      <w:pPr>
        <w:pStyle w:val="ListParagraph"/>
        <w:numPr>
          <w:ilvl w:val="1"/>
          <w:numId w:val="12"/>
        </w:numPr>
        <w:spacing w:line="276" w:lineRule="auto"/>
        <w:rPr>
          <w:rFonts w:ascii="Verdana" w:hAnsi="Verdana" w:cs="Arial"/>
          <w:sz w:val="20"/>
        </w:rPr>
      </w:pPr>
      <w:r w:rsidRPr="00F37754">
        <w:rPr>
          <w:rFonts w:ascii="Verdana" w:hAnsi="Verdana"/>
          <w:sz w:val="20"/>
        </w:rPr>
        <w:t xml:space="preserve">O agricultor obrigado a manter um registo de fertilizantes em conformidade com as disposições do artigo 2.2.4.1 pode </w:t>
      </w:r>
      <w:bookmarkStart w:id="24" w:name="_Hlk50985432"/>
      <w:r w:rsidRPr="00F37754">
        <w:rPr>
          <w:rFonts w:ascii="Verdana" w:hAnsi="Verdana"/>
          <w:sz w:val="20"/>
        </w:rPr>
        <w:t xml:space="preserve">preencher o registo, descrito no artigo 2.2.4.1, segundo parágrafo, o mais tardar no trigésimo dia após o dia da ocorrência dos factos a inscrever no registo, desde que o agricultor </w:t>
      </w:r>
      <w:bookmarkEnd w:id="24"/>
      <w:r w:rsidRPr="00F37754">
        <w:rPr>
          <w:rFonts w:ascii="Verdana" w:hAnsi="Verdana"/>
          <w:sz w:val="20"/>
        </w:rPr>
        <w:t>satisfaça todas as condições seguintes:</w:t>
      </w:r>
    </w:p>
    <w:p w14:paraId="7E660D13" w14:textId="41D3D19D" w:rsidR="00DB34EE" w:rsidRPr="00AC459C" w:rsidRDefault="00381A8A" w:rsidP="00DB34EE">
      <w:pPr>
        <w:pStyle w:val="ListParagraph"/>
        <w:numPr>
          <w:ilvl w:val="0"/>
          <w:numId w:val="24"/>
        </w:numPr>
        <w:spacing w:line="276" w:lineRule="auto"/>
        <w:ind w:left="1134" w:hanging="425"/>
        <w:rPr>
          <w:rFonts w:ascii="Verdana" w:hAnsi="Verdana" w:cs="Arial"/>
          <w:sz w:val="20"/>
        </w:rPr>
      </w:pPr>
      <w:r w:rsidRPr="00AC459C">
        <w:rPr>
          <w:rFonts w:ascii="Verdana" w:hAnsi="Verdana"/>
          <w:sz w:val="20"/>
        </w:rPr>
        <w:t>Não são cultivadas na superfície agrícola da exploração do agricultor em causa quaisquer culturas ornamentais, variedades de árvores, legumes do Grupo I, legumes do Grupo II e morangos, exceto no meio de cultura</w:t>
      </w:r>
      <w:bookmarkStart w:id="25" w:name="_Hlk50986182"/>
      <w:r w:rsidR="00F37754">
        <w:rPr>
          <w:rFonts w:ascii="Verdana" w:hAnsi="Verdana"/>
          <w:sz w:val="20"/>
        </w:rPr>
        <w:t>;</w:t>
      </w:r>
    </w:p>
    <w:p w14:paraId="7B753CCC" w14:textId="5F2A060F" w:rsidR="005243C0" w:rsidRPr="00AC459C" w:rsidRDefault="00DB34EE" w:rsidP="00F52412">
      <w:pPr>
        <w:pStyle w:val="ListParagraph"/>
        <w:numPr>
          <w:ilvl w:val="0"/>
          <w:numId w:val="24"/>
        </w:numPr>
        <w:spacing w:line="276" w:lineRule="auto"/>
        <w:ind w:left="1134" w:hanging="425"/>
        <w:rPr>
          <w:rFonts w:ascii="Verdana" w:hAnsi="Verdana" w:cs="Arial"/>
          <w:sz w:val="20"/>
        </w:rPr>
      </w:pPr>
      <w:r w:rsidRPr="00AC459C">
        <w:rPr>
          <w:rFonts w:ascii="Verdana" w:hAnsi="Verdana"/>
          <w:sz w:val="20"/>
        </w:rPr>
        <w:t>As diversas operações que fazem parte da exploração do agricultor em questão não utilizam, em momento algum do ano civil em questão, uma superfície agrícola ou um meio de cultura superior a 5 hectares em conjunto</w:t>
      </w:r>
      <w:r w:rsidR="00F37754">
        <w:rPr>
          <w:rFonts w:ascii="Verdana" w:hAnsi="Verdana"/>
          <w:sz w:val="20"/>
        </w:rPr>
        <w:t>;</w:t>
      </w:r>
    </w:p>
    <w:p w14:paraId="7546C152" w14:textId="4CA8B704" w:rsidR="001C53F1" w:rsidRPr="00AC459C" w:rsidRDefault="00381A8A" w:rsidP="00F52412">
      <w:pPr>
        <w:pStyle w:val="ListParagraph"/>
        <w:numPr>
          <w:ilvl w:val="0"/>
          <w:numId w:val="24"/>
        </w:numPr>
        <w:spacing w:line="276" w:lineRule="auto"/>
        <w:ind w:left="1134" w:hanging="425"/>
        <w:rPr>
          <w:rFonts w:ascii="Verdana" w:hAnsi="Verdana" w:cs="Arial"/>
          <w:sz w:val="20"/>
        </w:rPr>
      </w:pPr>
      <w:r w:rsidRPr="00AC459C">
        <w:rPr>
          <w:rFonts w:ascii="Verdana" w:hAnsi="Verdana"/>
          <w:sz w:val="20"/>
        </w:rPr>
        <w:t>O agricultor deve assegurar que, a partir do sétimo dia após o dia da ocorrência dos factos a inscrever no registo, até ao dia em que esses factos sejam inscritos no registo disponibilizado através do balcão da Internet, mantém um registo em papel ou digital dos dados a inscrever no registo.</w:t>
      </w:r>
      <w:bookmarkEnd w:id="25"/>
      <w:r w:rsidRPr="00AC459C">
        <w:rPr>
          <w:rFonts w:ascii="Verdana" w:hAnsi="Verdana"/>
          <w:sz w:val="20"/>
        </w:rPr>
        <w:t xml:space="preserve"> </w:t>
      </w:r>
    </w:p>
    <w:p w14:paraId="7F81EB5E" w14:textId="088ECEEB" w:rsidR="003E3087" w:rsidRPr="00AC459C" w:rsidRDefault="003E3087" w:rsidP="003E3087">
      <w:pPr>
        <w:spacing w:line="276" w:lineRule="auto"/>
        <w:rPr>
          <w:rFonts w:ascii="Verdana" w:hAnsi="Verdana" w:cs="Arial"/>
          <w:sz w:val="20"/>
        </w:rPr>
      </w:pPr>
    </w:p>
    <w:p w14:paraId="4A452C03" w14:textId="65959362" w:rsidR="003E3087" w:rsidRPr="00AC459C" w:rsidRDefault="003E3087" w:rsidP="003E3087">
      <w:pPr>
        <w:spacing w:line="276" w:lineRule="auto"/>
        <w:rPr>
          <w:rFonts w:ascii="Verdana" w:hAnsi="Verdana" w:cs="Arial"/>
          <w:sz w:val="20"/>
        </w:rPr>
      </w:pPr>
      <w:r w:rsidRPr="00AC459C">
        <w:rPr>
          <w:rFonts w:ascii="Verdana" w:hAnsi="Verdana"/>
          <w:sz w:val="20"/>
        </w:rPr>
        <w:t>2. Contrariamente ao disposto no n.</w:t>
      </w:r>
      <w:bookmarkStart w:id="26" w:name="_Hlk90970474"/>
      <w:r w:rsidRPr="00AC459C">
        <w:rPr>
          <w:rFonts w:ascii="Verdana" w:hAnsi="Verdana"/>
          <w:sz w:val="20"/>
        </w:rPr>
        <w:t>º</w:t>
      </w:r>
      <w:bookmarkEnd w:id="26"/>
      <w:r w:rsidRPr="00AC459C">
        <w:rPr>
          <w:rFonts w:ascii="Verdana" w:hAnsi="Verdana"/>
          <w:sz w:val="20"/>
        </w:rPr>
        <w:t xml:space="preserve"> 1 e no artigo 2.2.1.4, terceiro e oitavo parágrafos, da presente decisão, o registo referido no artigo 2.2.3.1 deve ser preenchido em 2021, o mais tardar até 15 de maio de 2021, no que diz respeito aos factos a inscrever no registo que tiveram lugar entre 1 de janeiro de 2021 e 15 de abril de 2021.»  </w:t>
      </w:r>
    </w:p>
    <w:p w14:paraId="1C6697AA" w14:textId="77777777" w:rsidR="003E3087" w:rsidRPr="00AC459C" w:rsidRDefault="003E3087" w:rsidP="003E3087">
      <w:pPr>
        <w:spacing w:line="276" w:lineRule="auto"/>
        <w:rPr>
          <w:rFonts w:ascii="Verdana" w:hAnsi="Verdana" w:cs="Arial"/>
          <w:sz w:val="20"/>
        </w:rPr>
      </w:pPr>
    </w:p>
    <w:p w14:paraId="4468F587" w14:textId="688B63CA" w:rsidR="002E6C50" w:rsidRPr="00AC459C" w:rsidRDefault="00BD47A4">
      <w:pPr>
        <w:spacing w:after="160" w:line="259" w:lineRule="auto"/>
        <w:rPr>
          <w:rFonts w:ascii="Verdana" w:hAnsi="Verdana" w:cs="Arial"/>
          <w:b/>
          <w:sz w:val="20"/>
        </w:rPr>
      </w:pPr>
      <w:r w:rsidRPr="00AC459C">
        <w:rPr>
          <w:rFonts w:ascii="Verdana" w:hAnsi="Verdana"/>
          <w:b/>
          <w:sz w:val="20"/>
        </w:rPr>
        <w:t>Artigo 6.º</w:t>
      </w:r>
      <w:r w:rsidRPr="00AC459C">
        <w:rPr>
          <w:rFonts w:ascii="Verdana" w:hAnsi="Verdana"/>
          <w:sz w:val="20"/>
        </w:rPr>
        <w:t xml:space="preserve"> A presente decisão entra em vigor em 15 de abril de 2021.</w:t>
      </w:r>
      <w:bookmarkStart w:id="27" w:name="_Hlk34145382"/>
    </w:p>
    <w:p w14:paraId="77A7E3DD" w14:textId="0095D648" w:rsidR="00B50B1E" w:rsidRPr="00AC459C" w:rsidRDefault="00B50B1E" w:rsidP="002E6C50">
      <w:pPr>
        <w:spacing w:after="160" w:line="259" w:lineRule="auto"/>
        <w:rPr>
          <w:rFonts w:ascii="Verdana" w:hAnsi="Verdana" w:cs="Arial"/>
          <w:sz w:val="20"/>
        </w:rPr>
      </w:pPr>
      <w:r w:rsidRPr="00AC459C">
        <w:rPr>
          <w:rFonts w:ascii="Verdana" w:hAnsi="Verdana"/>
          <w:b/>
          <w:sz w:val="20"/>
        </w:rPr>
        <w:t>Artigo 7.º</w:t>
      </w:r>
      <w:r w:rsidRPr="00AC459C">
        <w:rPr>
          <w:rFonts w:ascii="Verdana" w:hAnsi="Verdana"/>
          <w:sz w:val="20"/>
        </w:rPr>
        <w:t xml:space="preserve"> A ministra da Flandres, autoridade competente para </w:t>
      </w:r>
      <w:bookmarkStart w:id="28" w:name="_Hlk24106771"/>
      <w:r w:rsidRPr="00AC459C">
        <w:rPr>
          <w:rFonts w:ascii="Verdana" w:hAnsi="Verdana"/>
          <w:sz w:val="20"/>
        </w:rPr>
        <w:t xml:space="preserve">o ambiente e a natureza, é responsável pela execução da presente decisão. </w:t>
      </w:r>
      <w:bookmarkEnd w:id="28"/>
    </w:p>
    <w:bookmarkEnd w:id="27"/>
    <w:p w14:paraId="7EDD8DEB" w14:textId="77777777" w:rsidR="00B50B1E" w:rsidRPr="00AC459C" w:rsidRDefault="00B50B1E" w:rsidP="007C6B1F">
      <w:pPr>
        <w:spacing w:line="276" w:lineRule="auto"/>
        <w:rPr>
          <w:rFonts w:ascii="Verdana" w:hAnsi="Verdana" w:cs="Arial"/>
          <w:sz w:val="20"/>
        </w:rPr>
      </w:pPr>
    </w:p>
    <w:p w14:paraId="149A5B4C" w14:textId="77777777" w:rsidR="00B50B1E" w:rsidRPr="00AC459C" w:rsidRDefault="00B50B1E" w:rsidP="007C6B1F">
      <w:pPr>
        <w:spacing w:line="276" w:lineRule="auto"/>
        <w:rPr>
          <w:rFonts w:ascii="Verdana" w:hAnsi="Verdana" w:cs="Arial"/>
          <w:sz w:val="20"/>
        </w:rPr>
      </w:pPr>
    </w:p>
    <w:p w14:paraId="00AD2DE2" w14:textId="77777777" w:rsidR="00B50B1E" w:rsidRPr="00AC459C" w:rsidRDefault="00B50B1E" w:rsidP="007C6B1F">
      <w:pPr>
        <w:spacing w:line="276" w:lineRule="auto"/>
        <w:rPr>
          <w:rFonts w:ascii="Verdana" w:hAnsi="Verdana" w:cs="Arial"/>
          <w:sz w:val="20"/>
        </w:rPr>
      </w:pPr>
      <w:r w:rsidRPr="00AC459C">
        <w:rPr>
          <w:rFonts w:ascii="Verdana" w:hAnsi="Verdana"/>
          <w:sz w:val="20"/>
        </w:rPr>
        <w:t>Bruxelas, ... (data).</w:t>
      </w:r>
    </w:p>
    <w:p w14:paraId="0EC5DE38" w14:textId="77777777" w:rsidR="00B50B1E" w:rsidRPr="00AC459C" w:rsidRDefault="00B50B1E" w:rsidP="007C6B1F">
      <w:pPr>
        <w:spacing w:line="276" w:lineRule="auto"/>
        <w:rPr>
          <w:rFonts w:ascii="Verdana" w:hAnsi="Verdana" w:cs="Arial"/>
          <w:sz w:val="20"/>
        </w:rPr>
      </w:pPr>
    </w:p>
    <w:p w14:paraId="57EAB6C7" w14:textId="77777777" w:rsidR="00B50B1E" w:rsidRPr="00AC459C" w:rsidRDefault="00B50B1E" w:rsidP="007C6B1F">
      <w:pPr>
        <w:spacing w:line="276" w:lineRule="auto"/>
        <w:rPr>
          <w:rFonts w:ascii="Verdana" w:hAnsi="Verdana" w:cs="Arial"/>
          <w:sz w:val="20"/>
        </w:rPr>
      </w:pPr>
    </w:p>
    <w:p w14:paraId="6272CA9E" w14:textId="77777777" w:rsidR="00B50B1E" w:rsidRPr="00AC459C" w:rsidRDefault="00B50B1E" w:rsidP="007C6B1F">
      <w:pPr>
        <w:spacing w:line="276" w:lineRule="auto"/>
        <w:jc w:val="center"/>
        <w:rPr>
          <w:rFonts w:ascii="Verdana" w:hAnsi="Verdana" w:cs="Arial"/>
          <w:sz w:val="20"/>
        </w:rPr>
      </w:pPr>
      <w:r w:rsidRPr="00AC459C">
        <w:rPr>
          <w:rFonts w:ascii="Verdana" w:hAnsi="Verdana"/>
          <w:sz w:val="20"/>
        </w:rPr>
        <w:t>O primeiro-ministro do Governo da Flandres,</w:t>
      </w:r>
    </w:p>
    <w:p w14:paraId="68D3FB25" w14:textId="77777777" w:rsidR="00B50B1E" w:rsidRPr="00AC459C" w:rsidRDefault="00B50B1E" w:rsidP="007C6B1F">
      <w:pPr>
        <w:spacing w:line="276" w:lineRule="auto"/>
        <w:jc w:val="center"/>
        <w:rPr>
          <w:rFonts w:ascii="Verdana" w:hAnsi="Verdana" w:cs="Arial"/>
          <w:sz w:val="20"/>
        </w:rPr>
      </w:pPr>
    </w:p>
    <w:p w14:paraId="27569BED" w14:textId="77777777" w:rsidR="00B50B1E" w:rsidRPr="00AC459C" w:rsidRDefault="00B50B1E" w:rsidP="007C6B1F">
      <w:pPr>
        <w:spacing w:line="276" w:lineRule="auto"/>
        <w:jc w:val="center"/>
        <w:rPr>
          <w:rFonts w:ascii="Verdana" w:hAnsi="Verdana" w:cs="Arial"/>
          <w:sz w:val="20"/>
        </w:rPr>
      </w:pPr>
    </w:p>
    <w:p w14:paraId="40A892A3" w14:textId="77777777" w:rsidR="00B50B1E" w:rsidRPr="00AC459C" w:rsidRDefault="00B50B1E" w:rsidP="007C6B1F">
      <w:pPr>
        <w:spacing w:line="276" w:lineRule="auto"/>
        <w:jc w:val="center"/>
        <w:rPr>
          <w:rFonts w:ascii="Verdana" w:hAnsi="Verdana" w:cs="Arial"/>
          <w:sz w:val="20"/>
        </w:rPr>
      </w:pPr>
    </w:p>
    <w:p w14:paraId="267655B1" w14:textId="77777777" w:rsidR="00B50B1E" w:rsidRPr="00AC459C" w:rsidRDefault="00B50B1E" w:rsidP="00EF5217">
      <w:pPr>
        <w:spacing w:line="276" w:lineRule="auto"/>
        <w:rPr>
          <w:rFonts w:ascii="Verdana" w:hAnsi="Verdana" w:cs="Arial"/>
          <w:sz w:val="20"/>
        </w:rPr>
      </w:pPr>
    </w:p>
    <w:p w14:paraId="24C2251E" w14:textId="77777777" w:rsidR="00B50B1E" w:rsidRPr="00AC459C" w:rsidRDefault="00B50B1E" w:rsidP="007C6B1F">
      <w:pPr>
        <w:spacing w:line="276" w:lineRule="auto"/>
        <w:jc w:val="center"/>
        <w:rPr>
          <w:rFonts w:ascii="Verdana" w:hAnsi="Verdana" w:cs="Arial"/>
          <w:sz w:val="20"/>
        </w:rPr>
      </w:pPr>
    </w:p>
    <w:p w14:paraId="4716C41E" w14:textId="7D3B562B" w:rsidR="00B50B1E" w:rsidRPr="00AC459C" w:rsidRDefault="00542F4F" w:rsidP="007C6B1F">
      <w:pPr>
        <w:spacing w:line="276" w:lineRule="auto"/>
        <w:jc w:val="center"/>
        <w:rPr>
          <w:rFonts w:ascii="Verdana" w:hAnsi="Verdana" w:cs="Arial"/>
          <w:sz w:val="20"/>
        </w:rPr>
      </w:pPr>
      <w:r w:rsidRPr="00AC459C">
        <w:rPr>
          <w:rFonts w:ascii="Verdana" w:hAnsi="Verdana"/>
          <w:sz w:val="20"/>
        </w:rPr>
        <w:t>Jan JAMBON</w:t>
      </w:r>
    </w:p>
    <w:p w14:paraId="71E51D49" w14:textId="77777777" w:rsidR="00542F4F" w:rsidRPr="00AC459C" w:rsidRDefault="00542F4F" w:rsidP="007C6B1F">
      <w:pPr>
        <w:spacing w:line="276" w:lineRule="auto"/>
        <w:jc w:val="center"/>
        <w:rPr>
          <w:rFonts w:ascii="Verdana" w:hAnsi="Verdana" w:cs="Arial"/>
          <w:sz w:val="20"/>
        </w:rPr>
      </w:pPr>
    </w:p>
    <w:p w14:paraId="4F6E9308" w14:textId="77777777" w:rsidR="00B50B1E" w:rsidRPr="00AC459C" w:rsidRDefault="00B50B1E" w:rsidP="007C6B1F">
      <w:pPr>
        <w:spacing w:line="276" w:lineRule="auto"/>
        <w:jc w:val="center"/>
        <w:rPr>
          <w:rFonts w:ascii="Verdana" w:hAnsi="Verdana" w:cs="Arial"/>
          <w:sz w:val="20"/>
        </w:rPr>
      </w:pPr>
    </w:p>
    <w:p w14:paraId="6DBAA7BE" w14:textId="578DE90E" w:rsidR="00542F4F" w:rsidRPr="00AC459C" w:rsidRDefault="00B50B1E" w:rsidP="007C6B1F">
      <w:pPr>
        <w:spacing w:line="276" w:lineRule="auto"/>
        <w:jc w:val="center"/>
        <w:rPr>
          <w:rFonts w:ascii="Verdana" w:hAnsi="Verdana" w:cs="Arial"/>
          <w:sz w:val="20"/>
        </w:rPr>
      </w:pPr>
      <w:r w:rsidRPr="00AC459C">
        <w:rPr>
          <w:rFonts w:ascii="Verdana" w:hAnsi="Verdana"/>
          <w:sz w:val="20"/>
        </w:rPr>
        <w:t>A ministra da Justiça e da Execução, do Ambiente, da Energia e do Turismo da Flandres,</w:t>
      </w:r>
    </w:p>
    <w:p w14:paraId="321AF453" w14:textId="473595A5" w:rsidR="00B50B1E" w:rsidRPr="00AC459C" w:rsidRDefault="00B50B1E" w:rsidP="007C6B1F">
      <w:pPr>
        <w:spacing w:line="276" w:lineRule="auto"/>
        <w:jc w:val="center"/>
        <w:rPr>
          <w:rFonts w:ascii="Verdana" w:hAnsi="Verdana" w:cs="Arial"/>
          <w:sz w:val="20"/>
        </w:rPr>
      </w:pPr>
    </w:p>
    <w:p w14:paraId="4F1BEAFE" w14:textId="77777777" w:rsidR="00B50B1E" w:rsidRPr="00AC459C" w:rsidRDefault="00B50B1E" w:rsidP="007C6B1F">
      <w:pPr>
        <w:spacing w:line="276" w:lineRule="auto"/>
        <w:jc w:val="center"/>
        <w:rPr>
          <w:rFonts w:ascii="Verdana" w:hAnsi="Verdana" w:cs="Arial"/>
          <w:sz w:val="20"/>
        </w:rPr>
      </w:pPr>
    </w:p>
    <w:p w14:paraId="7D13001D" w14:textId="77777777" w:rsidR="00B50B1E" w:rsidRPr="00AC459C" w:rsidRDefault="00B50B1E" w:rsidP="007C6B1F">
      <w:pPr>
        <w:spacing w:line="276" w:lineRule="auto"/>
        <w:jc w:val="center"/>
        <w:rPr>
          <w:rFonts w:ascii="Verdana" w:hAnsi="Verdana" w:cs="Arial"/>
          <w:sz w:val="20"/>
        </w:rPr>
      </w:pPr>
    </w:p>
    <w:p w14:paraId="5CF863AD" w14:textId="77777777" w:rsidR="00B50B1E" w:rsidRPr="00AC459C" w:rsidRDefault="00B50B1E" w:rsidP="007C6B1F">
      <w:pPr>
        <w:spacing w:line="276" w:lineRule="auto"/>
        <w:jc w:val="center"/>
        <w:rPr>
          <w:rFonts w:ascii="Verdana" w:hAnsi="Verdana" w:cs="Arial"/>
          <w:sz w:val="20"/>
        </w:rPr>
      </w:pPr>
    </w:p>
    <w:p w14:paraId="4014C987" w14:textId="77777777" w:rsidR="00B50B1E" w:rsidRPr="00AC459C" w:rsidRDefault="00B50B1E" w:rsidP="007C6B1F">
      <w:pPr>
        <w:spacing w:line="276" w:lineRule="auto"/>
        <w:jc w:val="center"/>
        <w:rPr>
          <w:rFonts w:ascii="Verdana" w:hAnsi="Verdana" w:cs="Arial"/>
          <w:sz w:val="20"/>
        </w:rPr>
      </w:pPr>
    </w:p>
    <w:p w14:paraId="7884062C" w14:textId="77777777" w:rsidR="00B50B1E" w:rsidRPr="00AC459C" w:rsidRDefault="00B50B1E" w:rsidP="007C6B1F">
      <w:pPr>
        <w:spacing w:line="276" w:lineRule="auto"/>
        <w:jc w:val="center"/>
        <w:rPr>
          <w:rFonts w:ascii="Verdana" w:hAnsi="Verdana" w:cs="Arial"/>
          <w:sz w:val="20"/>
        </w:rPr>
      </w:pPr>
    </w:p>
    <w:p w14:paraId="7BEDC6C8" w14:textId="6DE71EAA" w:rsidR="00B50B1E" w:rsidRPr="00AC459C" w:rsidRDefault="00542F4F" w:rsidP="007C6B1F">
      <w:pPr>
        <w:spacing w:line="276" w:lineRule="auto"/>
        <w:jc w:val="center"/>
        <w:rPr>
          <w:rFonts w:ascii="Verdana" w:hAnsi="Verdana" w:cs="Arial"/>
          <w:sz w:val="20"/>
        </w:rPr>
      </w:pPr>
      <w:r w:rsidRPr="00AC459C">
        <w:rPr>
          <w:rFonts w:ascii="Verdana" w:hAnsi="Verdana"/>
          <w:sz w:val="20"/>
        </w:rPr>
        <w:t>Zuhal DEMIR</w:t>
      </w:r>
    </w:p>
    <w:sectPr w:rsidR="00B50B1E" w:rsidRPr="00AC459C" w:rsidSect="007D1712">
      <w:headerReference w:type="even" r:id="rId12"/>
      <w:headerReference w:type="default" r:id="rId13"/>
      <w:footerReference w:type="even" r:id="rId14"/>
      <w:footerReference w:type="default" r:id="rId15"/>
      <w:headerReference w:type="first" r:id="rId16"/>
      <w:footerReference w:type="first" r:id="rId17"/>
      <w:pgSz w:w="11906" w:h="16838"/>
      <w:pgMar w:top="1247" w:right="1814" w:bottom="1247" w:left="181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7962E" w14:textId="77777777" w:rsidR="003F3F1D" w:rsidRDefault="003F3F1D" w:rsidP="00B50B1E">
      <w:pPr>
        <w:spacing w:line="240" w:lineRule="auto"/>
      </w:pPr>
      <w:r>
        <w:separator/>
      </w:r>
    </w:p>
  </w:endnote>
  <w:endnote w:type="continuationSeparator" w:id="0">
    <w:p w14:paraId="554A9557" w14:textId="77777777" w:rsidR="003F3F1D" w:rsidRDefault="003F3F1D" w:rsidP="00B50B1E">
      <w:pPr>
        <w:spacing w:line="240" w:lineRule="auto"/>
      </w:pPr>
      <w:r>
        <w:continuationSeparator/>
      </w:r>
    </w:p>
  </w:endnote>
  <w:endnote w:type="continuationNotice" w:id="1">
    <w:p w14:paraId="7F00ACFC" w14:textId="77777777" w:rsidR="003F3F1D" w:rsidRDefault="003F3F1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FlandersArtSans-Regular">
    <w:altName w:val="Calibri"/>
    <w:charset w:val="00"/>
    <w:family w:val="auto"/>
    <w:pitch w:val="variable"/>
    <w:sig w:usb0="00000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FlandersArtSans-Bold">
    <w:altName w:val="Calibri"/>
    <w:charset w:val="00"/>
    <w:family w:val="auto"/>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FlandersArtSerif-Bold">
    <w:altName w:val="Calibri"/>
    <w:charset w:val="00"/>
    <w:family w:val="auto"/>
    <w:pitch w:val="variable"/>
    <w:sig w:usb0="00000007" w:usb1="00000000" w:usb2="00000000" w:usb3="00000000" w:csb0="00000093" w:csb1="00000000"/>
  </w:font>
  <w:font w:name="FlandersArtSerif-Regular">
    <w:charset w:val="00"/>
    <w:family w:val="auto"/>
    <w:pitch w:val="variable"/>
    <w:sig w:usb0="00000007" w:usb1="00000000" w:usb2="00000000" w:usb3="00000000" w:csb0="00000093" w:csb1="00000000"/>
  </w:font>
  <w:font w:name="FlandersArtSerif-Medium">
    <w:charset w:val="00"/>
    <w:family w:val="auto"/>
    <w:pitch w:val="variable"/>
    <w:sig w:usb0="00000007" w:usb1="00000000" w:usb2="00000000" w:usb3="00000000" w:csb0="00000093"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7BA10" w14:textId="77777777" w:rsidR="00D83C2D" w:rsidRDefault="00D83C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2976565"/>
      <w:docPartObj>
        <w:docPartGallery w:val="Page Numbers (Bottom of Page)"/>
        <w:docPartUnique/>
      </w:docPartObj>
    </w:sdtPr>
    <w:sdtEndPr>
      <w:rPr>
        <w:rFonts w:ascii="Verdana" w:hAnsi="Verdana"/>
        <w:sz w:val="18"/>
        <w:szCs w:val="18"/>
      </w:rPr>
    </w:sdtEndPr>
    <w:sdtContent>
      <w:sdt>
        <w:sdtPr>
          <w:rPr>
            <w:rFonts w:ascii="Verdana" w:hAnsi="Verdana"/>
            <w:sz w:val="18"/>
            <w:szCs w:val="18"/>
          </w:rPr>
          <w:id w:val="-1769616900"/>
          <w:docPartObj>
            <w:docPartGallery w:val="Page Numbers (Top of Page)"/>
            <w:docPartUnique/>
          </w:docPartObj>
        </w:sdtPr>
        <w:sdtEndPr/>
        <w:sdtContent>
          <w:p w14:paraId="416AAB96" w14:textId="0F067766" w:rsidR="00C132FF" w:rsidRDefault="00C132FF" w:rsidP="00423DC6">
            <w:pPr>
              <w:pStyle w:val="Footer"/>
              <w:jc w:val="right"/>
            </w:pPr>
            <w:r>
              <w:rPr>
                <w:rFonts w:ascii="Verdana" w:hAnsi="Verdana"/>
                <w:sz w:val="18"/>
              </w:rPr>
              <w:t>Página</w:t>
            </w:r>
            <w:r w:rsidRPr="00B50B1E">
              <w:rPr>
                <w:rFonts w:ascii="Verdana" w:hAnsi="Verdana"/>
                <w:sz w:val="18"/>
              </w:rPr>
              <w:fldChar w:fldCharType="begin"/>
            </w:r>
            <w:r w:rsidRPr="00B50B1E">
              <w:rPr>
                <w:rFonts w:ascii="Verdana" w:hAnsi="Verdana"/>
                <w:sz w:val="18"/>
              </w:rPr>
              <w:instrText>PAGE</w:instrText>
            </w:r>
            <w:r w:rsidRPr="00B50B1E">
              <w:rPr>
                <w:rFonts w:ascii="Verdana" w:hAnsi="Verdana"/>
                <w:sz w:val="18"/>
              </w:rPr>
              <w:fldChar w:fldCharType="separate"/>
            </w:r>
            <w:r w:rsidRPr="00B50B1E">
              <w:rPr>
                <w:rFonts w:ascii="Verdana" w:hAnsi="Verdana"/>
                <w:sz w:val="18"/>
              </w:rPr>
              <w:t>2</w:t>
            </w:r>
            <w:r w:rsidRPr="00B50B1E">
              <w:rPr>
                <w:rFonts w:ascii="Verdana" w:hAnsi="Verdana"/>
                <w:sz w:val="18"/>
              </w:rPr>
              <w:fldChar w:fldCharType="end"/>
            </w:r>
            <w:r>
              <w:rPr>
                <w:rFonts w:ascii="Verdana" w:hAnsi="Verdana"/>
                <w:sz w:val="18"/>
              </w:rPr>
              <w:t xml:space="preserve"> de </w:t>
            </w:r>
            <w:r w:rsidRPr="00B50B1E">
              <w:rPr>
                <w:rFonts w:ascii="Verdana" w:hAnsi="Verdana"/>
                <w:sz w:val="18"/>
              </w:rPr>
              <w:fldChar w:fldCharType="begin"/>
            </w:r>
            <w:r w:rsidRPr="00B50B1E">
              <w:rPr>
                <w:rFonts w:ascii="Verdana" w:hAnsi="Verdana"/>
                <w:sz w:val="18"/>
              </w:rPr>
              <w:instrText>NUMPAGES</w:instrText>
            </w:r>
            <w:r w:rsidRPr="00B50B1E">
              <w:rPr>
                <w:rFonts w:ascii="Verdana" w:hAnsi="Verdana"/>
                <w:sz w:val="18"/>
              </w:rPr>
              <w:fldChar w:fldCharType="separate"/>
            </w:r>
            <w:r w:rsidRPr="00B50B1E">
              <w:rPr>
                <w:rFonts w:ascii="Verdana" w:hAnsi="Verdana"/>
                <w:sz w:val="18"/>
              </w:rPr>
              <w:t>2</w:t>
            </w:r>
            <w:r w:rsidRPr="00B50B1E">
              <w:rPr>
                <w:rFonts w:ascii="Verdana" w:hAnsi="Verdana"/>
                <w:sz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81576" w14:textId="77777777" w:rsidR="00D83C2D" w:rsidRDefault="00D83C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FB378" w14:textId="77777777" w:rsidR="003F3F1D" w:rsidRDefault="003F3F1D" w:rsidP="00B50B1E">
      <w:pPr>
        <w:spacing w:line="240" w:lineRule="auto"/>
      </w:pPr>
      <w:r>
        <w:separator/>
      </w:r>
    </w:p>
  </w:footnote>
  <w:footnote w:type="continuationSeparator" w:id="0">
    <w:p w14:paraId="2738121F" w14:textId="77777777" w:rsidR="003F3F1D" w:rsidRDefault="003F3F1D" w:rsidP="00B50B1E">
      <w:pPr>
        <w:spacing w:line="240" w:lineRule="auto"/>
      </w:pPr>
      <w:r>
        <w:continuationSeparator/>
      </w:r>
    </w:p>
  </w:footnote>
  <w:footnote w:type="continuationNotice" w:id="1">
    <w:p w14:paraId="22FE5103" w14:textId="77777777" w:rsidR="003F3F1D" w:rsidRDefault="003F3F1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339D3" w14:textId="77777777" w:rsidR="00D83C2D" w:rsidRDefault="00D83C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886D1" w14:textId="77777777" w:rsidR="00D83C2D" w:rsidRDefault="00D83C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9885F" w14:textId="77777777" w:rsidR="00D83C2D" w:rsidRDefault="00D83C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76369"/>
    <w:multiLevelType w:val="hybridMultilevel"/>
    <w:tmpl w:val="F11A0EC0"/>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66203E1"/>
    <w:multiLevelType w:val="hybridMultilevel"/>
    <w:tmpl w:val="DAB25D0A"/>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7881134"/>
    <w:multiLevelType w:val="hybridMultilevel"/>
    <w:tmpl w:val="12AA79CE"/>
    <w:lvl w:ilvl="0" w:tplc="9F4A76C6">
      <w:start w:val="1"/>
      <w:numFmt w:val="decimal"/>
      <w:lvlText w:val="%1)"/>
      <w:lvlJc w:val="left"/>
      <w:pPr>
        <w:ind w:left="1070" w:hanging="710"/>
      </w:pPr>
      <w:rPr>
        <w:rFonts w:cs="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96F239C"/>
    <w:multiLevelType w:val="hybridMultilevel"/>
    <w:tmpl w:val="C17090CC"/>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0E3D7935"/>
    <w:multiLevelType w:val="hybridMultilevel"/>
    <w:tmpl w:val="880EDFF8"/>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67C5842"/>
    <w:multiLevelType w:val="hybridMultilevel"/>
    <w:tmpl w:val="2F228FF8"/>
    <w:lvl w:ilvl="0" w:tplc="083C5EE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FB10CBF"/>
    <w:multiLevelType w:val="hybridMultilevel"/>
    <w:tmpl w:val="3DD69E00"/>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212255E2"/>
    <w:multiLevelType w:val="hybridMultilevel"/>
    <w:tmpl w:val="1826E824"/>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2154502A"/>
    <w:multiLevelType w:val="hybridMultilevel"/>
    <w:tmpl w:val="668208F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24BE5287"/>
    <w:multiLevelType w:val="hybridMultilevel"/>
    <w:tmpl w:val="CBDAE3D2"/>
    <w:lvl w:ilvl="0" w:tplc="083C5EE4">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0" w15:restartNumberingAfterBreak="0">
    <w:nsid w:val="262B0906"/>
    <w:multiLevelType w:val="hybridMultilevel"/>
    <w:tmpl w:val="A62ED896"/>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2CBF6386"/>
    <w:multiLevelType w:val="hybridMultilevel"/>
    <w:tmpl w:val="B86808FC"/>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31A53720"/>
    <w:multiLevelType w:val="hybridMultilevel"/>
    <w:tmpl w:val="09264D64"/>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35EC5B72"/>
    <w:multiLevelType w:val="hybridMultilevel"/>
    <w:tmpl w:val="ED38FEA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381A7590"/>
    <w:multiLevelType w:val="hybridMultilevel"/>
    <w:tmpl w:val="EFD8DB92"/>
    <w:lvl w:ilvl="0" w:tplc="083C5EE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E132DB0"/>
    <w:multiLevelType w:val="hybridMultilevel"/>
    <w:tmpl w:val="B3C05126"/>
    <w:lvl w:ilvl="0" w:tplc="083C5EE4">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6" w15:restartNumberingAfterBreak="0">
    <w:nsid w:val="403C7ACC"/>
    <w:multiLevelType w:val="hybridMultilevel"/>
    <w:tmpl w:val="23FE39EC"/>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404677BA"/>
    <w:multiLevelType w:val="hybridMultilevel"/>
    <w:tmpl w:val="17183F26"/>
    <w:lvl w:ilvl="0" w:tplc="C8AAC1AE">
      <w:start w:val="1"/>
      <w:numFmt w:val="lowerLetter"/>
      <w:lvlText w:val="%1)"/>
      <w:lvlJc w:val="left"/>
      <w:pPr>
        <w:ind w:left="1035" w:hanging="360"/>
      </w:pPr>
      <w:rPr>
        <w:rFonts w:hint="default"/>
      </w:rPr>
    </w:lvl>
    <w:lvl w:ilvl="1" w:tplc="08130019" w:tentative="1">
      <w:start w:val="1"/>
      <w:numFmt w:val="lowerLetter"/>
      <w:lvlText w:val="%2."/>
      <w:lvlJc w:val="left"/>
      <w:pPr>
        <w:ind w:left="1755" w:hanging="360"/>
      </w:pPr>
    </w:lvl>
    <w:lvl w:ilvl="2" w:tplc="0813001B" w:tentative="1">
      <w:start w:val="1"/>
      <w:numFmt w:val="lowerRoman"/>
      <w:lvlText w:val="%3."/>
      <w:lvlJc w:val="right"/>
      <w:pPr>
        <w:ind w:left="2475" w:hanging="180"/>
      </w:pPr>
    </w:lvl>
    <w:lvl w:ilvl="3" w:tplc="0813000F" w:tentative="1">
      <w:start w:val="1"/>
      <w:numFmt w:val="decimal"/>
      <w:lvlText w:val="%4."/>
      <w:lvlJc w:val="left"/>
      <w:pPr>
        <w:ind w:left="3195" w:hanging="360"/>
      </w:pPr>
    </w:lvl>
    <w:lvl w:ilvl="4" w:tplc="08130019" w:tentative="1">
      <w:start w:val="1"/>
      <w:numFmt w:val="lowerLetter"/>
      <w:lvlText w:val="%5."/>
      <w:lvlJc w:val="left"/>
      <w:pPr>
        <w:ind w:left="3915" w:hanging="360"/>
      </w:pPr>
    </w:lvl>
    <w:lvl w:ilvl="5" w:tplc="0813001B" w:tentative="1">
      <w:start w:val="1"/>
      <w:numFmt w:val="lowerRoman"/>
      <w:lvlText w:val="%6."/>
      <w:lvlJc w:val="right"/>
      <w:pPr>
        <w:ind w:left="4635" w:hanging="180"/>
      </w:pPr>
    </w:lvl>
    <w:lvl w:ilvl="6" w:tplc="0813000F" w:tentative="1">
      <w:start w:val="1"/>
      <w:numFmt w:val="decimal"/>
      <w:lvlText w:val="%7."/>
      <w:lvlJc w:val="left"/>
      <w:pPr>
        <w:ind w:left="5355" w:hanging="360"/>
      </w:pPr>
    </w:lvl>
    <w:lvl w:ilvl="7" w:tplc="08130019" w:tentative="1">
      <w:start w:val="1"/>
      <w:numFmt w:val="lowerLetter"/>
      <w:lvlText w:val="%8."/>
      <w:lvlJc w:val="left"/>
      <w:pPr>
        <w:ind w:left="6075" w:hanging="360"/>
      </w:pPr>
    </w:lvl>
    <w:lvl w:ilvl="8" w:tplc="0813001B" w:tentative="1">
      <w:start w:val="1"/>
      <w:numFmt w:val="lowerRoman"/>
      <w:lvlText w:val="%9."/>
      <w:lvlJc w:val="right"/>
      <w:pPr>
        <w:ind w:left="6795" w:hanging="180"/>
      </w:pPr>
    </w:lvl>
  </w:abstractNum>
  <w:abstractNum w:abstractNumId="18" w15:restartNumberingAfterBreak="0">
    <w:nsid w:val="460A1E2A"/>
    <w:multiLevelType w:val="hybridMultilevel"/>
    <w:tmpl w:val="E2B86EC4"/>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48633133"/>
    <w:multiLevelType w:val="hybridMultilevel"/>
    <w:tmpl w:val="87D22858"/>
    <w:lvl w:ilvl="0" w:tplc="159A1BFE">
      <w:start w:val="1"/>
      <w:numFmt w:val="lowerLetter"/>
      <w:lvlText w:val="%1)"/>
      <w:lvlJc w:val="left"/>
      <w:pPr>
        <w:ind w:left="1035" w:hanging="360"/>
      </w:pPr>
      <w:rPr>
        <w:rFonts w:hint="default"/>
        <w:b w:val="0"/>
      </w:rPr>
    </w:lvl>
    <w:lvl w:ilvl="1" w:tplc="08130019" w:tentative="1">
      <w:start w:val="1"/>
      <w:numFmt w:val="lowerLetter"/>
      <w:lvlText w:val="%2."/>
      <w:lvlJc w:val="left"/>
      <w:pPr>
        <w:ind w:left="1755" w:hanging="360"/>
      </w:pPr>
    </w:lvl>
    <w:lvl w:ilvl="2" w:tplc="0813001B" w:tentative="1">
      <w:start w:val="1"/>
      <w:numFmt w:val="lowerRoman"/>
      <w:lvlText w:val="%3."/>
      <w:lvlJc w:val="right"/>
      <w:pPr>
        <w:ind w:left="2475" w:hanging="180"/>
      </w:pPr>
    </w:lvl>
    <w:lvl w:ilvl="3" w:tplc="0813000F" w:tentative="1">
      <w:start w:val="1"/>
      <w:numFmt w:val="decimal"/>
      <w:lvlText w:val="%4."/>
      <w:lvlJc w:val="left"/>
      <w:pPr>
        <w:ind w:left="3195" w:hanging="360"/>
      </w:pPr>
    </w:lvl>
    <w:lvl w:ilvl="4" w:tplc="08130019" w:tentative="1">
      <w:start w:val="1"/>
      <w:numFmt w:val="lowerLetter"/>
      <w:lvlText w:val="%5."/>
      <w:lvlJc w:val="left"/>
      <w:pPr>
        <w:ind w:left="3915" w:hanging="360"/>
      </w:pPr>
    </w:lvl>
    <w:lvl w:ilvl="5" w:tplc="0813001B" w:tentative="1">
      <w:start w:val="1"/>
      <w:numFmt w:val="lowerRoman"/>
      <w:lvlText w:val="%6."/>
      <w:lvlJc w:val="right"/>
      <w:pPr>
        <w:ind w:left="4635" w:hanging="180"/>
      </w:pPr>
    </w:lvl>
    <w:lvl w:ilvl="6" w:tplc="0813000F" w:tentative="1">
      <w:start w:val="1"/>
      <w:numFmt w:val="decimal"/>
      <w:lvlText w:val="%7."/>
      <w:lvlJc w:val="left"/>
      <w:pPr>
        <w:ind w:left="5355" w:hanging="360"/>
      </w:pPr>
    </w:lvl>
    <w:lvl w:ilvl="7" w:tplc="08130019" w:tentative="1">
      <w:start w:val="1"/>
      <w:numFmt w:val="lowerLetter"/>
      <w:lvlText w:val="%8."/>
      <w:lvlJc w:val="left"/>
      <w:pPr>
        <w:ind w:left="6075" w:hanging="360"/>
      </w:pPr>
    </w:lvl>
    <w:lvl w:ilvl="8" w:tplc="0813001B" w:tentative="1">
      <w:start w:val="1"/>
      <w:numFmt w:val="lowerRoman"/>
      <w:lvlText w:val="%9."/>
      <w:lvlJc w:val="right"/>
      <w:pPr>
        <w:ind w:left="6795" w:hanging="180"/>
      </w:pPr>
    </w:lvl>
  </w:abstractNum>
  <w:abstractNum w:abstractNumId="20" w15:restartNumberingAfterBreak="0">
    <w:nsid w:val="4B886802"/>
    <w:multiLevelType w:val="hybridMultilevel"/>
    <w:tmpl w:val="EF8A451C"/>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4BC642F8"/>
    <w:multiLevelType w:val="hybridMultilevel"/>
    <w:tmpl w:val="880EDFF8"/>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4D114644"/>
    <w:multiLevelType w:val="hybridMultilevel"/>
    <w:tmpl w:val="CE6A544A"/>
    <w:lvl w:ilvl="0" w:tplc="083C5EE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3570527"/>
    <w:multiLevelType w:val="hybridMultilevel"/>
    <w:tmpl w:val="9498089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15:restartNumberingAfterBreak="0">
    <w:nsid w:val="59611E85"/>
    <w:multiLevelType w:val="hybridMultilevel"/>
    <w:tmpl w:val="09264D64"/>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5B2611A7"/>
    <w:multiLevelType w:val="hybridMultilevel"/>
    <w:tmpl w:val="09264D64"/>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64A0277A"/>
    <w:multiLevelType w:val="hybridMultilevel"/>
    <w:tmpl w:val="5A26E354"/>
    <w:lvl w:ilvl="0" w:tplc="083C5EE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652A4738"/>
    <w:multiLevelType w:val="hybridMultilevel"/>
    <w:tmpl w:val="00E21BC6"/>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66C863B2"/>
    <w:multiLevelType w:val="hybridMultilevel"/>
    <w:tmpl w:val="C82E252E"/>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9" w15:restartNumberingAfterBreak="0">
    <w:nsid w:val="698C67D3"/>
    <w:multiLevelType w:val="multilevel"/>
    <w:tmpl w:val="25E07B8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Heading6"/>
      <w:lvlText w:val="%1.%2.%3.%4.%5.%6"/>
      <w:lvlJc w:val="left"/>
      <w:pPr>
        <w:ind w:left="1152" w:hanging="1152"/>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lvlText w:val="%1.%2.%3.%4.%5.%6.%7"/>
      <w:lvlJc w:val="left"/>
      <w:pPr>
        <w:ind w:left="1296" w:hanging="1296"/>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0" w15:restartNumberingAfterBreak="0">
    <w:nsid w:val="6CE2624B"/>
    <w:multiLevelType w:val="hybridMultilevel"/>
    <w:tmpl w:val="448ABC1A"/>
    <w:lvl w:ilvl="0" w:tplc="083C5EE4">
      <w:start w:val="1"/>
      <w:numFmt w:val="decimal"/>
      <w:lvlText w:val="%1°"/>
      <w:lvlJc w:val="left"/>
      <w:pPr>
        <w:ind w:left="720" w:hanging="360"/>
      </w:pPr>
      <w:rPr>
        <w:rFonts w:hint="default"/>
      </w:rPr>
    </w:lvl>
    <w:lvl w:ilvl="1" w:tplc="083C5EE4">
      <w:start w:val="1"/>
      <w:numFmt w:val="decimal"/>
      <w:lvlText w:val="%2°"/>
      <w:lvlJc w:val="left"/>
      <w:pPr>
        <w:ind w:left="710" w:hanging="710"/>
      </w:pPr>
      <w:rPr>
        <w:rFonts w:hint="default"/>
      </w:r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1" w15:restartNumberingAfterBreak="0">
    <w:nsid w:val="706C1E68"/>
    <w:multiLevelType w:val="hybridMultilevel"/>
    <w:tmpl w:val="466AA584"/>
    <w:lvl w:ilvl="0" w:tplc="083C5EE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15:restartNumberingAfterBreak="0">
    <w:nsid w:val="71122044"/>
    <w:multiLevelType w:val="hybridMultilevel"/>
    <w:tmpl w:val="6618365C"/>
    <w:lvl w:ilvl="0" w:tplc="083C5EE4">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3" w15:restartNumberingAfterBreak="0">
    <w:nsid w:val="7AD93394"/>
    <w:multiLevelType w:val="hybridMultilevel"/>
    <w:tmpl w:val="FCFC0A3A"/>
    <w:lvl w:ilvl="0" w:tplc="40A450A4">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9"/>
  </w:num>
  <w:num w:numId="2">
    <w:abstractNumId w:val="17"/>
  </w:num>
  <w:num w:numId="3">
    <w:abstractNumId w:val="19"/>
  </w:num>
  <w:num w:numId="4">
    <w:abstractNumId w:val="27"/>
  </w:num>
  <w:num w:numId="5">
    <w:abstractNumId w:val="13"/>
  </w:num>
  <w:num w:numId="6">
    <w:abstractNumId w:val="7"/>
  </w:num>
  <w:num w:numId="7">
    <w:abstractNumId w:val="31"/>
  </w:num>
  <w:num w:numId="8">
    <w:abstractNumId w:val="23"/>
  </w:num>
  <w:num w:numId="9">
    <w:abstractNumId w:val="20"/>
  </w:num>
  <w:num w:numId="10">
    <w:abstractNumId w:val="16"/>
  </w:num>
  <w:num w:numId="11">
    <w:abstractNumId w:val="0"/>
  </w:num>
  <w:num w:numId="12">
    <w:abstractNumId w:val="30"/>
  </w:num>
  <w:num w:numId="13">
    <w:abstractNumId w:val="11"/>
  </w:num>
  <w:num w:numId="14">
    <w:abstractNumId w:val="1"/>
  </w:num>
  <w:num w:numId="15">
    <w:abstractNumId w:val="10"/>
  </w:num>
  <w:num w:numId="16">
    <w:abstractNumId w:val="6"/>
  </w:num>
  <w:num w:numId="17">
    <w:abstractNumId w:val="3"/>
  </w:num>
  <w:num w:numId="18">
    <w:abstractNumId w:val="18"/>
  </w:num>
  <w:num w:numId="19">
    <w:abstractNumId w:val="24"/>
  </w:num>
  <w:num w:numId="20">
    <w:abstractNumId w:val="28"/>
  </w:num>
  <w:num w:numId="21">
    <w:abstractNumId w:val="8"/>
  </w:num>
  <w:num w:numId="22">
    <w:abstractNumId w:val="4"/>
  </w:num>
  <w:num w:numId="23">
    <w:abstractNumId w:val="21"/>
  </w:num>
  <w:num w:numId="24">
    <w:abstractNumId w:val="25"/>
  </w:num>
  <w:num w:numId="25">
    <w:abstractNumId w:val="12"/>
  </w:num>
  <w:num w:numId="26">
    <w:abstractNumId w:val="9"/>
  </w:num>
  <w:num w:numId="27">
    <w:abstractNumId w:val="2"/>
  </w:num>
  <w:num w:numId="28">
    <w:abstractNumId w:val="14"/>
  </w:num>
  <w:num w:numId="29">
    <w:abstractNumId w:val="15"/>
  </w:num>
  <w:num w:numId="30">
    <w:abstractNumId w:val="33"/>
  </w:num>
  <w:num w:numId="31">
    <w:abstractNumId w:val="5"/>
  </w:num>
  <w:num w:numId="32">
    <w:abstractNumId w:val="26"/>
  </w:num>
  <w:num w:numId="33">
    <w:abstractNumId w:val="32"/>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B1E"/>
    <w:rsid w:val="00000384"/>
    <w:rsid w:val="00000A56"/>
    <w:rsid w:val="0000236C"/>
    <w:rsid w:val="00004A1D"/>
    <w:rsid w:val="00005160"/>
    <w:rsid w:val="0000579A"/>
    <w:rsid w:val="00005DD5"/>
    <w:rsid w:val="000107A2"/>
    <w:rsid w:val="00010E98"/>
    <w:rsid w:val="00012189"/>
    <w:rsid w:val="00013391"/>
    <w:rsid w:val="00013F4D"/>
    <w:rsid w:val="00014088"/>
    <w:rsid w:val="00016B8E"/>
    <w:rsid w:val="000172B3"/>
    <w:rsid w:val="00017325"/>
    <w:rsid w:val="00020256"/>
    <w:rsid w:val="00020C7D"/>
    <w:rsid w:val="00020CE9"/>
    <w:rsid w:val="00023EB1"/>
    <w:rsid w:val="00027778"/>
    <w:rsid w:val="0003030E"/>
    <w:rsid w:val="00030BB3"/>
    <w:rsid w:val="0003257F"/>
    <w:rsid w:val="0003268A"/>
    <w:rsid w:val="00036B33"/>
    <w:rsid w:val="0004685C"/>
    <w:rsid w:val="0005129B"/>
    <w:rsid w:val="00053082"/>
    <w:rsid w:val="000544FE"/>
    <w:rsid w:val="00054E93"/>
    <w:rsid w:val="000622A5"/>
    <w:rsid w:val="0006527F"/>
    <w:rsid w:val="000702AA"/>
    <w:rsid w:val="00071087"/>
    <w:rsid w:val="0007144D"/>
    <w:rsid w:val="00071BCB"/>
    <w:rsid w:val="00074CB8"/>
    <w:rsid w:val="000776BA"/>
    <w:rsid w:val="00080EB4"/>
    <w:rsid w:val="000824B9"/>
    <w:rsid w:val="00082A07"/>
    <w:rsid w:val="00085BDB"/>
    <w:rsid w:val="0008743C"/>
    <w:rsid w:val="00091009"/>
    <w:rsid w:val="00096C99"/>
    <w:rsid w:val="00097755"/>
    <w:rsid w:val="000A083E"/>
    <w:rsid w:val="000A3F06"/>
    <w:rsid w:val="000A6729"/>
    <w:rsid w:val="000A714A"/>
    <w:rsid w:val="000B273C"/>
    <w:rsid w:val="000B40BA"/>
    <w:rsid w:val="000B5275"/>
    <w:rsid w:val="000B5604"/>
    <w:rsid w:val="000B6AB1"/>
    <w:rsid w:val="000C294A"/>
    <w:rsid w:val="000C4B04"/>
    <w:rsid w:val="000C7543"/>
    <w:rsid w:val="000D13CB"/>
    <w:rsid w:val="000D1CF9"/>
    <w:rsid w:val="000D201B"/>
    <w:rsid w:val="000D24AC"/>
    <w:rsid w:val="000E0628"/>
    <w:rsid w:val="000E1404"/>
    <w:rsid w:val="000E2D80"/>
    <w:rsid w:val="000E331B"/>
    <w:rsid w:val="000E48D4"/>
    <w:rsid w:val="000E6C8B"/>
    <w:rsid w:val="000F67D3"/>
    <w:rsid w:val="000F7181"/>
    <w:rsid w:val="000F7FA6"/>
    <w:rsid w:val="00102649"/>
    <w:rsid w:val="00102D0F"/>
    <w:rsid w:val="00105568"/>
    <w:rsid w:val="00111D79"/>
    <w:rsid w:val="00115A3C"/>
    <w:rsid w:val="00122BF6"/>
    <w:rsid w:val="001263A0"/>
    <w:rsid w:val="001273F7"/>
    <w:rsid w:val="00130859"/>
    <w:rsid w:val="001402A3"/>
    <w:rsid w:val="001409F2"/>
    <w:rsid w:val="0014108F"/>
    <w:rsid w:val="00143BF3"/>
    <w:rsid w:val="00144439"/>
    <w:rsid w:val="00146FC5"/>
    <w:rsid w:val="00147E69"/>
    <w:rsid w:val="00150529"/>
    <w:rsid w:val="00150B4F"/>
    <w:rsid w:val="0015191D"/>
    <w:rsid w:val="00154845"/>
    <w:rsid w:val="00155277"/>
    <w:rsid w:val="00161315"/>
    <w:rsid w:val="001615AE"/>
    <w:rsid w:val="00161616"/>
    <w:rsid w:val="00164685"/>
    <w:rsid w:val="0016546B"/>
    <w:rsid w:val="00166CFF"/>
    <w:rsid w:val="00167AB2"/>
    <w:rsid w:val="001701AB"/>
    <w:rsid w:val="00170FAA"/>
    <w:rsid w:val="001734B3"/>
    <w:rsid w:val="00174A9D"/>
    <w:rsid w:val="00174FF2"/>
    <w:rsid w:val="00175968"/>
    <w:rsid w:val="00181126"/>
    <w:rsid w:val="001821F0"/>
    <w:rsid w:val="00184420"/>
    <w:rsid w:val="0018507A"/>
    <w:rsid w:val="00187EB3"/>
    <w:rsid w:val="0019097C"/>
    <w:rsid w:val="0019261B"/>
    <w:rsid w:val="0019433F"/>
    <w:rsid w:val="001950E6"/>
    <w:rsid w:val="00197468"/>
    <w:rsid w:val="001A472E"/>
    <w:rsid w:val="001A4E58"/>
    <w:rsid w:val="001A5698"/>
    <w:rsid w:val="001B3659"/>
    <w:rsid w:val="001C2A54"/>
    <w:rsid w:val="001C5306"/>
    <w:rsid w:val="001C53F1"/>
    <w:rsid w:val="001C7323"/>
    <w:rsid w:val="001D7FF4"/>
    <w:rsid w:val="001E5EF3"/>
    <w:rsid w:val="001E6BB5"/>
    <w:rsid w:val="001E7E69"/>
    <w:rsid w:val="001F3F07"/>
    <w:rsid w:val="001F77E1"/>
    <w:rsid w:val="00200DD4"/>
    <w:rsid w:val="002013D5"/>
    <w:rsid w:val="00203214"/>
    <w:rsid w:val="002073E9"/>
    <w:rsid w:val="00212FEC"/>
    <w:rsid w:val="002152E2"/>
    <w:rsid w:val="00215468"/>
    <w:rsid w:val="002167B8"/>
    <w:rsid w:val="00220EA2"/>
    <w:rsid w:val="002217A2"/>
    <w:rsid w:val="002237BB"/>
    <w:rsid w:val="002246E0"/>
    <w:rsid w:val="0022568C"/>
    <w:rsid w:val="0022603F"/>
    <w:rsid w:val="002328D7"/>
    <w:rsid w:val="00233405"/>
    <w:rsid w:val="00236333"/>
    <w:rsid w:val="0023635C"/>
    <w:rsid w:val="002367EC"/>
    <w:rsid w:val="00240424"/>
    <w:rsid w:val="002430B0"/>
    <w:rsid w:val="00244232"/>
    <w:rsid w:val="00244719"/>
    <w:rsid w:val="002459FE"/>
    <w:rsid w:val="0025622F"/>
    <w:rsid w:val="00256626"/>
    <w:rsid w:val="002616DC"/>
    <w:rsid w:val="0026207F"/>
    <w:rsid w:val="002652BB"/>
    <w:rsid w:val="00265CA0"/>
    <w:rsid w:val="00265FD1"/>
    <w:rsid w:val="0026619D"/>
    <w:rsid w:val="002665FA"/>
    <w:rsid w:val="002673EC"/>
    <w:rsid w:val="0027212E"/>
    <w:rsid w:val="00272AE5"/>
    <w:rsid w:val="0027354D"/>
    <w:rsid w:val="002844CB"/>
    <w:rsid w:val="00287310"/>
    <w:rsid w:val="0029319E"/>
    <w:rsid w:val="00294348"/>
    <w:rsid w:val="00297B74"/>
    <w:rsid w:val="002A052A"/>
    <w:rsid w:val="002A37B2"/>
    <w:rsid w:val="002A43B4"/>
    <w:rsid w:val="002A6CA4"/>
    <w:rsid w:val="002B1354"/>
    <w:rsid w:val="002B3357"/>
    <w:rsid w:val="002B575D"/>
    <w:rsid w:val="002C0633"/>
    <w:rsid w:val="002C14FE"/>
    <w:rsid w:val="002C354F"/>
    <w:rsid w:val="002C3C84"/>
    <w:rsid w:val="002C7396"/>
    <w:rsid w:val="002D0770"/>
    <w:rsid w:val="002D0A28"/>
    <w:rsid w:val="002D63DE"/>
    <w:rsid w:val="002D67BE"/>
    <w:rsid w:val="002E4202"/>
    <w:rsid w:val="002E43BD"/>
    <w:rsid w:val="002E6C50"/>
    <w:rsid w:val="002E7572"/>
    <w:rsid w:val="002F1ED2"/>
    <w:rsid w:val="00300E74"/>
    <w:rsid w:val="00301200"/>
    <w:rsid w:val="00303FD5"/>
    <w:rsid w:val="0030793F"/>
    <w:rsid w:val="00307D6A"/>
    <w:rsid w:val="003154EE"/>
    <w:rsid w:val="0031588D"/>
    <w:rsid w:val="00315AE7"/>
    <w:rsid w:val="003170D5"/>
    <w:rsid w:val="00317C3E"/>
    <w:rsid w:val="00321E55"/>
    <w:rsid w:val="003307A7"/>
    <w:rsid w:val="00330A7A"/>
    <w:rsid w:val="00330C01"/>
    <w:rsid w:val="00331FCD"/>
    <w:rsid w:val="003328BA"/>
    <w:rsid w:val="00343261"/>
    <w:rsid w:val="00343FE5"/>
    <w:rsid w:val="00345704"/>
    <w:rsid w:val="0035236B"/>
    <w:rsid w:val="0035315E"/>
    <w:rsid w:val="00362A2A"/>
    <w:rsid w:val="00364FBF"/>
    <w:rsid w:val="003706D0"/>
    <w:rsid w:val="00371AB7"/>
    <w:rsid w:val="00371F62"/>
    <w:rsid w:val="003749BB"/>
    <w:rsid w:val="003801A8"/>
    <w:rsid w:val="00380946"/>
    <w:rsid w:val="00381A8A"/>
    <w:rsid w:val="00384E05"/>
    <w:rsid w:val="00385C15"/>
    <w:rsid w:val="0039127B"/>
    <w:rsid w:val="0039236B"/>
    <w:rsid w:val="00393FF7"/>
    <w:rsid w:val="003A580D"/>
    <w:rsid w:val="003A6D08"/>
    <w:rsid w:val="003A7A4B"/>
    <w:rsid w:val="003B1CDD"/>
    <w:rsid w:val="003C10C3"/>
    <w:rsid w:val="003C3572"/>
    <w:rsid w:val="003C4DC3"/>
    <w:rsid w:val="003C5578"/>
    <w:rsid w:val="003C68E9"/>
    <w:rsid w:val="003C7830"/>
    <w:rsid w:val="003D060B"/>
    <w:rsid w:val="003D0DE7"/>
    <w:rsid w:val="003D711A"/>
    <w:rsid w:val="003D7844"/>
    <w:rsid w:val="003E179B"/>
    <w:rsid w:val="003E3087"/>
    <w:rsid w:val="003E3599"/>
    <w:rsid w:val="003E3E33"/>
    <w:rsid w:val="003E4E3E"/>
    <w:rsid w:val="003E6DF9"/>
    <w:rsid w:val="003F1995"/>
    <w:rsid w:val="003F3866"/>
    <w:rsid w:val="003F3F1D"/>
    <w:rsid w:val="003F5EF5"/>
    <w:rsid w:val="003F6CCB"/>
    <w:rsid w:val="00414A03"/>
    <w:rsid w:val="00417220"/>
    <w:rsid w:val="00420DFA"/>
    <w:rsid w:val="00423DC6"/>
    <w:rsid w:val="00424F5B"/>
    <w:rsid w:val="004251AD"/>
    <w:rsid w:val="00425830"/>
    <w:rsid w:val="004271D8"/>
    <w:rsid w:val="004347AB"/>
    <w:rsid w:val="00435F95"/>
    <w:rsid w:val="00445AF6"/>
    <w:rsid w:val="0045218D"/>
    <w:rsid w:val="00453BFA"/>
    <w:rsid w:val="00454276"/>
    <w:rsid w:val="004564E3"/>
    <w:rsid w:val="00460837"/>
    <w:rsid w:val="00460F53"/>
    <w:rsid w:val="00461229"/>
    <w:rsid w:val="004622D2"/>
    <w:rsid w:val="00466035"/>
    <w:rsid w:val="00466954"/>
    <w:rsid w:val="00475ECD"/>
    <w:rsid w:val="00476ADF"/>
    <w:rsid w:val="0047712F"/>
    <w:rsid w:val="00491635"/>
    <w:rsid w:val="004918B8"/>
    <w:rsid w:val="00491FE5"/>
    <w:rsid w:val="00496190"/>
    <w:rsid w:val="004A1EAD"/>
    <w:rsid w:val="004A564D"/>
    <w:rsid w:val="004A750C"/>
    <w:rsid w:val="004B0DA0"/>
    <w:rsid w:val="004B2344"/>
    <w:rsid w:val="004B2AEC"/>
    <w:rsid w:val="004C6EF1"/>
    <w:rsid w:val="004D0DC3"/>
    <w:rsid w:val="004D0ECB"/>
    <w:rsid w:val="004D36A4"/>
    <w:rsid w:val="004D3E74"/>
    <w:rsid w:val="004D67C4"/>
    <w:rsid w:val="004D7E7E"/>
    <w:rsid w:val="004D7F8F"/>
    <w:rsid w:val="004E3D3D"/>
    <w:rsid w:val="004E5F3F"/>
    <w:rsid w:val="004E69E3"/>
    <w:rsid w:val="004F0355"/>
    <w:rsid w:val="004F15F6"/>
    <w:rsid w:val="004F2D8A"/>
    <w:rsid w:val="004F37B2"/>
    <w:rsid w:val="004F3DF3"/>
    <w:rsid w:val="004F46AF"/>
    <w:rsid w:val="004F6EC0"/>
    <w:rsid w:val="004F776B"/>
    <w:rsid w:val="005162CF"/>
    <w:rsid w:val="00516327"/>
    <w:rsid w:val="00520D14"/>
    <w:rsid w:val="005243C0"/>
    <w:rsid w:val="00525916"/>
    <w:rsid w:val="00531ABB"/>
    <w:rsid w:val="005412CB"/>
    <w:rsid w:val="005413F4"/>
    <w:rsid w:val="00541602"/>
    <w:rsid w:val="00541BD6"/>
    <w:rsid w:val="005425D7"/>
    <w:rsid w:val="00542F4F"/>
    <w:rsid w:val="00543086"/>
    <w:rsid w:val="00546FAE"/>
    <w:rsid w:val="00550F04"/>
    <w:rsid w:val="00551B64"/>
    <w:rsid w:val="00553799"/>
    <w:rsid w:val="00554636"/>
    <w:rsid w:val="005552DB"/>
    <w:rsid w:val="00556F85"/>
    <w:rsid w:val="00560177"/>
    <w:rsid w:val="0056707D"/>
    <w:rsid w:val="00567F2D"/>
    <w:rsid w:val="005719DC"/>
    <w:rsid w:val="00572022"/>
    <w:rsid w:val="0057232D"/>
    <w:rsid w:val="0058288F"/>
    <w:rsid w:val="005844EB"/>
    <w:rsid w:val="00584DE1"/>
    <w:rsid w:val="005913EA"/>
    <w:rsid w:val="0059398C"/>
    <w:rsid w:val="00594CFD"/>
    <w:rsid w:val="0059577D"/>
    <w:rsid w:val="00596FBE"/>
    <w:rsid w:val="005A3869"/>
    <w:rsid w:val="005A5162"/>
    <w:rsid w:val="005B2048"/>
    <w:rsid w:val="005B2F7B"/>
    <w:rsid w:val="005B408D"/>
    <w:rsid w:val="005B5079"/>
    <w:rsid w:val="005C28F0"/>
    <w:rsid w:val="005C34C8"/>
    <w:rsid w:val="005C49C3"/>
    <w:rsid w:val="005D6093"/>
    <w:rsid w:val="005E03EE"/>
    <w:rsid w:val="005E35E4"/>
    <w:rsid w:val="005E7A49"/>
    <w:rsid w:val="005E7F92"/>
    <w:rsid w:val="005F3073"/>
    <w:rsid w:val="005F7DEF"/>
    <w:rsid w:val="00601FB5"/>
    <w:rsid w:val="006055D3"/>
    <w:rsid w:val="00605BFA"/>
    <w:rsid w:val="006115B8"/>
    <w:rsid w:val="00611C1B"/>
    <w:rsid w:val="006136E4"/>
    <w:rsid w:val="00614649"/>
    <w:rsid w:val="0061586D"/>
    <w:rsid w:val="00615981"/>
    <w:rsid w:val="0061637A"/>
    <w:rsid w:val="006167EB"/>
    <w:rsid w:val="0061792F"/>
    <w:rsid w:val="0062432D"/>
    <w:rsid w:val="00624797"/>
    <w:rsid w:val="0063356C"/>
    <w:rsid w:val="00636A5D"/>
    <w:rsid w:val="00640DDC"/>
    <w:rsid w:val="0064559A"/>
    <w:rsid w:val="006459B5"/>
    <w:rsid w:val="0065351B"/>
    <w:rsid w:val="00657854"/>
    <w:rsid w:val="006668E1"/>
    <w:rsid w:val="00667641"/>
    <w:rsid w:val="006754CD"/>
    <w:rsid w:val="006757B5"/>
    <w:rsid w:val="006779C1"/>
    <w:rsid w:val="006851E5"/>
    <w:rsid w:val="00690361"/>
    <w:rsid w:val="00691814"/>
    <w:rsid w:val="0069524E"/>
    <w:rsid w:val="006A3EEC"/>
    <w:rsid w:val="006A4B99"/>
    <w:rsid w:val="006A610E"/>
    <w:rsid w:val="006B1A7D"/>
    <w:rsid w:val="006B23F2"/>
    <w:rsid w:val="006B30C4"/>
    <w:rsid w:val="006C74D9"/>
    <w:rsid w:val="006D25E2"/>
    <w:rsid w:val="006E0E76"/>
    <w:rsid w:val="006E2168"/>
    <w:rsid w:val="006E3266"/>
    <w:rsid w:val="006F7304"/>
    <w:rsid w:val="0070442E"/>
    <w:rsid w:val="00705804"/>
    <w:rsid w:val="0070731B"/>
    <w:rsid w:val="007104DC"/>
    <w:rsid w:val="00715431"/>
    <w:rsid w:val="00726E66"/>
    <w:rsid w:val="007274F5"/>
    <w:rsid w:val="007346BF"/>
    <w:rsid w:val="00740935"/>
    <w:rsid w:val="00741A0F"/>
    <w:rsid w:val="0074577E"/>
    <w:rsid w:val="00755EFB"/>
    <w:rsid w:val="007564D1"/>
    <w:rsid w:val="0075662F"/>
    <w:rsid w:val="00761C6C"/>
    <w:rsid w:val="00773BAC"/>
    <w:rsid w:val="00781477"/>
    <w:rsid w:val="0078245C"/>
    <w:rsid w:val="00782BFC"/>
    <w:rsid w:val="0078508C"/>
    <w:rsid w:val="00787C27"/>
    <w:rsid w:val="007938D5"/>
    <w:rsid w:val="007A0F98"/>
    <w:rsid w:val="007B25CE"/>
    <w:rsid w:val="007B29EF"/>
    <w:rsid w:val="007B5353"/>
    <w:rsid w:val="007B5878"/>
    <w:rsid w:val="007B6B17"/>
    <w:rsid w:val="007C1107"/>
    <w:rsid w:val="007C19A8"/>
    <w:rsid w:val="007C2A73"/>
    <w:rsid w:val="007C583B"/>
    <w:rsid w:val="007C5D1F"/>
    <w:rsid w:val="007C61F0"/>
    <w:rsid w:val="007C6B1F"/>
    <w:rsid w:val="007D0D9E"/>
    <w:rsid w:val="007D16E6"/>
    <w:rsid w:val="007D1712"/>
    <w:rsid w:val="007D4E61"/>
    <w:rsid w:val="007D52AF"/>
    <w:rsid w:val="007D6E08"/>
    <w:rsid w:val="007E35F9"/>
    <w:rsid w:val="007E4C21"/>
    <w:rsid w:val="007E4F00"/>
    <w:rsid w:val="007E55F0"/>
    <w:rsid w:val="007F38D2"/>
    <w:rsid w:val="00800F01"/>
    <w:rsid w:val="00807BD0"/>
    <w:rsid w:val="00812C08"/>
    <w:rsid w:val="008149EB"/>
    <w:rsid w:val="008156EF"/>
    <w:rsid w:val="00815963"/>
    <w:rsid w:val="00822B9D"/>
    <w:rsid w:val="00822BFE"/>
    <w:rsid w:val="008230F5"/>
    <w:rsid w:val="00824856"/>
    <w:rsid w:val="00826924"/>
    <w:rsid w:val="00830E75"/>
    <w:rsid w:val="00832556"/>
    <w:rsid w:val="00836972"/>
    <w:rsid w:val="008438EF"/>
    <w:rsid w:val="00845119"/>
    <w:rsid w:val="008538EC"/>
    <w:rsid w:val="008627FF"/>
    <w:rsid w:val="00862891"/>
    <w:rsid w:val="00863845"/>
    <w:rsid w:val="008645B9"/>
    <w:rsid w:val="0086527F"/>
    <w:rsid w:val="008725FF"/>
    <w:rsid w:val="00874339"/>
    <w:rsid w:val="00881AB1"/>
    <w:rsid w:val="008824CA"/>
    <w:rsid w:val="008831D7"/>
    <w:rsid w:val="0088392E"/>
    <w:rsid w:val="00883B24"/>
    <w:rsid w:val="00884A6C"/>
    <w:rsid w:val="00892FA5"/>
    <w:rsid w:val="008950D0"/>
    <w:rsid w:val="008974D7"/>
    <w:rsid w:val="008A1CF6"/>
    <w:rsid w:val="008A5797"/>
    <w:rsid w:val="008A6A66"/>
    <w:rsid w:val="008B095D"/>
    <w:rsid w:val="008B787E"/>
    <w:rsid w:val="008C4041"/>
    <w:rsid w:val="008C64EA"/>
    <w:rsid w:val="008C6824"/>
    <w:rsid w:val="008D28F4"/>
    <w:rsid w:val="008D2AAF"/>
    <w:rsid w:val="008D536F"/>
    <w:rsid w:val="008D7F1E"/>
    <w:rsid w:val="008E1A53"/>
    <w:rsid w:val="008E29CC"/>
    <w:rsid w:val="008E2BD0"/>
    <w:rsid w:val="008E420D"/>
    <w:rsid w:val="008E4DF8"/>
    <w:rsid w:val="008E5061"/>
    <w:rsid w:val="008E5BDA"/>
    <w:rsid w:val="008E64B8"/>
    <w:rsid w:val="008E7534"/>
    <w:rsid w:val="008F1000"/>
    <w:rsid w:val="008F760A"/>
    <w:rsid w:val="008F76C6"/>
    <w:rsid w:val="008F7FA7"/>
    <w:rsid w:val="009002A9"/>
    <w:rsid w:val="0090117D"/>
    <w:rsid w:val="00902794"/>
    <w:rsid w:val="00910919"/>
    <w:rsid w:val="009117CB"/>
    <w:rsid w:val="00912468"/>
    <w:rsid w:val="0092173D"/>
    <w:rsid w:val="009223FA"/>
    <w:rsid w:val="00922A5A"/>
    <w:rsid w:val="00922EF2"/>
    <w:rsid w:val="00927B7A"/>
    <w:rsid w:val="00933712"/>
    <w:rsid w:val="00937C48"/>
    <w:rsid w:val="00942148"/>
    <w:rsid w:val="009433C5"/>
    <w:rsid w:val="009439C5"/>
    <w:rsid w:val="00943C15"/>
    <w:rsid w:val="00952DF3"/>
    <w:rsid w:val="00957CDB"/>
    <w:rsid w:val="0096041C"/>
    <w:rsid w:val="00961CC0"/>
    <w:rsid w:val="00964402"/>
    <w:rsid w:val="00964B36"/>
    <w:rsid w:val="009657B5"/>
    <w:rsid w:val="00965D34"/>
    <w:rsid w:val="00966D2C"/>
    <w:rsid w:val="00967226"/>
    <w:rsid w:val="00970611"/>
    <w:rsid w:val="009738A6"/>
    <w:rsid w:val="00974BFC"/>
    <w:rsid w:val="00974DFD"/>
    <w:rsid w:val="0097554C"/>
    <w:rsid w:val="009764C6"/>
    <w:rsid w:val="009808A7"/>
    <w:rsid w:val="0098325C"/>
    <w:rsid w:val="00984210"/>
    <w:rsid w:val="009870A8"/>
    <w:rsid w:val="009910D3"/>
    <w:rsid w:val="00991B88"/>
    <w:rsid w:val="009A086C"/>
    <w:rsid w:val="009A1E1F"/>
    <w:rsid w:val="009B1330"/>
    <w:rsid w:val="009B7152"/>
    <w:rsid w:val="009B7A4B"/>
    <w:rsid w:val="009C2946"/>
    <w:rsid w:val="009C5138"/>
    <w:rsid w:val="009C77DC"/>
    <w:rsid w:val="009C7E4B"/>
    <w:rsid w:val="009D18B9"/>
    <w:rsid w:val="009D2074"/>
    <w:rsid w:val="009D24D8"/>
    <w:rsid w:val="009D3240"/>
    <w:rsid w:val="009E4DB8"/>
    <w:rsid w:val="009E509E"/>
    <w:rsid w:val="009E5951"/>
    <w:rsid w:val="009F279B"/>
    <w:rsid w:val="009F2F6E"/>
    <w:rsid w:val="009F4765"/>
    <w:rsid w:val="009F4C6C"/>
    <w:rsid w:val="009F68CB"/>
    <w:rsid w:val="009F761F"/>
    <w:rsid w:val="00A0123A"/>
    <w:rsid w:val="00A022F0"/>
    <w:rsid w:val="00A02B01"/>
    <w:rsid w:val="00A02CBF"/>
    <w:rsid w:val="00A03CE5"/>
    <w:rsid w:val="00A07BD7"/>
    <w:rsid w:val="00A07D2D"/>
    <w:rsid w:val="00A16231"/>
    <w:rsid w:val="00A16EFF"/>
    <w:rsid w:val="00A17C02"/>
    <w:rsid w:val="00A22744"/>
    <w:rsid w:val="00A23386"/>
    <w:rsid w:val="00A24448"/>
    <w:rsid w:val="00A3226D"/>
    <w:rsid w:val="00A433EC"/>
    <w:rsid w:val="00A438A6"/>
    <w:rsid w:val="00A454B8"/>
    <w:rsid w:val="00A47049"/>
    <w:rsid w:val="00A478D5"/>
    <w:rsid w:val="00A56214"/>
    <w:rsid w:val="00A57294"/>
    <w:rsid w:val="00A57B08"/>
    <w:rsid w:val="00A57DCE"/>
    <w:rsid w:val="00A62DFB"/>
    <w:rsid w:val="00A63BF6"/>
    <w:rsid w:val="00A7287E"/>
    <w:rsid w:val="00A813CB"/>
    <w:rsid w:val="00A82D23"/>
    <w:rsid w:val="00A82D25"/>
    <w:rsid w:val="00A9150E"/>
    <w:rsid w:val="00A92127"/>
    <w:rsid w:val="00A932E5"/>
    <w:rsid w:val="00A94383"/>
    <w:rsid w:val="00A948BD"/>
    <w:rsid w:val="00A94C5D"/>
    <w:rsid w:val="00A94E60"/>
    <w:rsid w:val="00AA19BF"/>
    <w:rsid w:val="00AA2140"/>
    <w:rsid w:val="00AA3586"/>
    <w:rsid w:val="00AA4EC3"/>
    <w:rsid w:val="00AA5B9B"/>
    <w:rsid w:val="00AA6C0D"/>
    <w:rsid w:val="00AB0975"/>
    <w:rsid w:val="00AB209D"/>
    <w:rsid w:val="00AB248E"/>
    <w:rsid w:val="00AB363B"/>
    <w:rsid w:val="00AC2136"/>
    <w:rsid w:val="00AC4267"/>
    <w:rsid w:val="00AC459C"/>
    <w:rsid w:val="00AC6510"/>
    <w:rsid w:val="00AC6A25"/>
    <w:rsid w:val="00AD34E1"/>
    <w:rsid w:val="00AD3AA0"/>
    <w:rsid w:val="00AD4913"/>
    <w:rsid w:val="00AD5E4E"/>
    <w:rsid w:val="00AD5F18"/>
    <w:rsid w:val="00AD6857"/>
    <w:rsid w:val="00AE6B7A"/>
    <w:rsid w:val="00AE7307"/>
    <w:rsid w:val="00AF01AA"/>
    <w:rsid w:val="00AF4F1E"/>
    <w:rsid w:val="00AF5D35"/>
    <w:rsid w:val="00AF7EC7"/>
    <w:rsid w:val="00B05ACC"/>
    <w:rsid w:val="00B1541B"/>
    <w:rsid w:val="00B16083"/>
    <w:rsid w:val="00B2390D"/>
    <w:rsid w:val="00B27668"/>
    <w:rsid w:val="00B30EE9"/>
    <w:rsid w:val="00B31230"/>
    <w:rsid w:val="00B32ACE"/>
    <w:rsid w:val="00B335CB"/>
    <w:rsid w:val="00B3727C"/>
    <w:rsid w:val="00B37342"/>
    <w:rsid w:val="00B42718"/>
    <w:rsid w:val="00B443E9"/>
    <w:rsid w:val="00B45C7F"/>
    <w:rsid w:val="00B4790C"/>
    <w:rsid w:val="00B47F97"/>
    <w:rsid w:val="00B50B1E"/>
    <w:rsid w:val="00B51B2A"/>
    <w:rsid w:val="00B5702F"/>
    <w:rsid w:val="00B6190F"/>
    <w:rsid w:val="00B64C63"/>
    <w:rsid w:val="00B65BE7"/>
    <w:rsid w:val="00B73C7A"/>
    <w:rsid w:val="00B74142"/>
    <w:rsid w:val="00B7517A"/>
    <w:rsid w:val="00B752D0"/>
    <w:rsid w:val="00B76738"/>
    <w:rsid w:val="00B81F82"/>
    <w:rsid w:val="00B82EB6"/>
    <w:rsid w:val="00B83F1E"/>
    <w:rsid w:val="00B865DF"/>
    <w:rsid w:val="00B8687A"/>
    <w:rsid w:val="00B91192"/>
    <w:rsid w:val="00B91911"/>
    <w:rsid w:val="00B925F5"/>
    <w:rsid w:val="00B92981"/>
    <w:rsid w:val="00B95818"/>
    <w:rsid w:val="00B95DB8"/>
    <w:rsid w:val="00BA1B64"/>
    <w:rsid w:val="00BA20F4"/>
    <w:rsid w:val="00BA61F5"/>
    <w:rsid w:val="00BB31E4"/>
    <w:rsid w:val="00BB563A"/>
    <w:rsid w:val="00BB5BF4"/>
    <w:rsid w:val="00BB5D15"/>
    <w:rsid w:val="00BB6BB5"/>
    <w:rsid w:val="00BB70EC"/>
    <w:rsid w:val="00BC00BE"/>
    <w:rsid w:val="00BC1084"/>
    <w:rsid w:val="00BC27F3"/>
    <w:rsid w:val="00BC2829"/>
    <w:rsid w:val="00BD2830"/>
    <w:rsid w:val="00BD3751"/>
    <w:rsid w:val="00BD3923"/>
    <w:rsid w:val="00BD3E51"/>
    <w:rsid w:val="00BD47A4"/>
    <w:rsid w:val="00BE4512"/>
    <w:rsid w:val="00BE7B21"/>
    <w:rsid w:val="00BF1452"/>
    <w:rsid w:val="00BF1A73"/>
    <w:rsid w:val="00BF4CD3"/>
    <w:rsid w:val="00BF4EF5"/>
    <w:rsid w:val="00C00766"/>
    <w:rsid w:val="00C01228"/>
    <w:rsid w:val="00C05BC4"/>
    <w:rsid w:val="00C06209"/>
    <w:rsid w:val="00C132FF"/>
    <w:rsid w:val="00C13F78"/>
    <w:rsid w:val="00C14226"/>
    <w:rsid w:val="00C1668C"/>
    <w:rsid w:val="00C23736"/>
    <w:rsid w:val="00C23BAB"/>
    <w:rsid w:val="00C24EEA"/>
    <w:rsid w:val="00C252E8"/>
    <w:rsid w:val="00C320F9"/>
    <w:rsid w:val="00C336D0"/>
    <w:rsid w:val="00C34B8A"/>
    <w:rsid w:val="00C34F5C"/>
    <w:rsid w:val="00C40FCA"/>
    <w:rsid w:val="00C430E8"/>
    <w:rsid w:val="00C4337B"/>
    <w:rsid w:val="00C44879"/>
    <w:rsid w:val="00C477FD"/>
    <w:rsid w:val="00C50E7E"/>
    <w:rsid w:val="00C56139"/>
    <w:rsid w:val="00C60541"/>
    <w:rsid w:val="00C64BB1"/>
    <w:rsid w:val="00C67418"/>
    <w:rsid w:val="00C74929"/>
    <w:rsid w:val="00C76B23"/>
    <w:rsid w:val="00C811AC"/>
    <w:rsid w:val="00C82A86"/>
    <w:rsid w:val="00C84DAF"/>
    <w:rsid w:val="00C9097F"/>
    <w:rsid w:val="00C913D7"/>
    <w:rsid w:val="00C92182"/>
    <w:rsid w:val="00C92FEA"/>
    <w:rsid w:val="00C96B38"/>
    <w:rsid w:val="00C97540"/>
    <w:rsid w:val="00CA10E6"/>
    <w:rsid w:val="00CB160C"/>
    <w:rsid w:val="00CB3C0C"/>
    <w:rsid w:val="00CB7290"/>
    <w:rsid w:val="00CC0343"/>
    <w:rsid w:val="00CC04F9"/>
    <w:rsid w:val="00CC27E2"/>
    <w:rsid w:val="00CC32C7"/>
    <w:rsid w:val="00CD36FC"/>
    <w:rsid w:val="00CD4B00"/>
    <w:rsid w:val="00CD54D1"/>
    <w:rsid w:val="00CE2BDF"/>
    <w:rsid w:val="00CE4B04"/>
    <w:rsid w:val="00CE4F56"/>
    <w:rsid w:val="00CE540B"/>
    <w:rsid w:val="00CE6F11"/>
    <w:rsid w:val="00CE7B57"/>
    <w:rsid w:val="00CF109F"/>
    <w:rsid w:val="00CF1C4A"/>
    <w:rsid w:val="00D00AE6"/>
    <w:rsid w:val="00D01996"/>
    <w:rsid w:val="00D030EE"/>
    <w:rsid w:val="00D03EE9"/>
    <w:rsid w:val="00D12BF2"/>
    <w:rsid w:val="00D12F7A"/>
    <w:rsid w:val="00D2110E"/>
    <w:rsid w:val="00D2370E"/>
    <w:rsid w:val="00D308E3"/>
    <w:rsid w:val="00D30972"/>
    <w:rsid w:val="00D36E6B"/>
    <w:rsid w:val="00D40820"/>
    <w:rsid w:val="00D42DF4"/>
    <w:rsid w:val="00D445EB"/>
    <w:rsid w:val="00D51A30"/>
    <w:rsid w:val="00D522AD"/>
    <w:rsid w:val="00D55480"/>
    <w:rsid w:val="00D55951"/>
    <w:rsid w:val="00D5622F"/>
    <w:rsid w:val="00D61E46"/>
    <w:rsid w:val="00D631B3"/>
    <w:rsid w:val="00D64465"/>
    <w:rsid w:val="00D64FAD"/>
    <w:rsid w:val="00D703D0"/>
    <w:rsid w:val="00D70D0B"/>
    <w:rsid w:val="00D766EE"/>
    <w:rsid w:val="00D83C2D"/>
    <w:rsid w:val="00D841F8"/>
    <w:rsid w:val="00D8431C"/>
    <w:rsid w:val="00D8642F"/>
    <w:rsid w:val="00D87DA2"/>
    <w:rsid w:val="00D90180"/>
    <w:rsid w:val="00D90777"/>
    <w:rsid w:val="00D90C31"/>
    <w:rsid w:val="00D90F97"/>
    <w:rsid w:val="00D923AB"/>
    <w:rsid w:val="00D94FF8"/>
    <w:rsid w:val="00D95BCF"/>
    <w:rsid w:val="00DA0013"/>
    <w:rsid w:val="00DA68D3"/>
    <w:rsid w:val="00DB0057"/>
    <w:rsid w:val="00DB34EE"/>
    <w:rsid w:val="00DB4A53"/>
    <w:rsid w:val="00DB77AE"/>
    <w:rsid w:val="00DC2D88"/>
    <w:rsid w:val="00DC59CF"/>
    <w:rsid w:val="00DC75EA"/>
    <w:rsid w:val="00DC773E"/>
    <w:rsid w:val="00DC7845"/>
    <w:rsid w:val="00DD0300"/>
    <w:rsid w:val="00DD38AE"/>
    <w:rsid w:val="00DD3E82"/>
    <w:rsid w:val="00DD3EF2"/>
    <w:rsid w:val="00DE059E"/>
    <w:rsid w:val="00DE32CA"/>
    <w:rsid w:val="00DE33CA"/>
    <w:rsid w:val="00DE70AC"/>
    <w:rsid w:val="00DE759B"/>
    <w:rsid w:val="00DF5FE5"/>
    <w:rsid w:val="00DF6681"/>
    <w:rsid w:val="00E013F0"/>
    <w:rsid w:val="00E018E7"/>
    <w:rsid w:val="00E025E4"/>
    <w:rsid w:val="00E1376C"/>
    <w:rsid w:val="00E20BC4"/>
    <w:rsid w:val="00E21A0C"/>
    <w:rsid w:val="00E25AD7"/>
    <w:rsid w:val="00E356E6"/>
    <w:rsid w:val="00E35BF0"/>
    <w:rsid w:val="00E36F01"/>
    <w:rsid w:val="00E3712E"/>
    <w:rsid w:val="00E42FDA"/>
    <w:rsid w:val="00E43263"/>
    <w:rsid w:val="00E44926"/>
    <w:rsid w:val="00E44B72"/>
    <w:rsid w:val="00E45894"/>
    <w:rsid w:val="00E520FB"/>
    <w:rsid w:val="00E5467A"/>
    <w:rsid w:val="00E57E16"/>
    <w:rsid w:val="00E6702E"/>
    <w:rsid w:val="00E712CE"/>
    <w:rsid w:val="00E75755"/>
    <w:rsid w:val="00E83788"/>
    <w:rsid w:val="00E85699"/>
    <w:rsid w:val="00E872C9"/>
    <w:rsid w:val="00E921F4"/>
    <w:rsid w:val="00E92F7C"/>
    <w:rsid w:val="00E96BBD"/>
    <w:rsid w:val="00EA582C"/>
    <w:rsid w:val="00EB0F67"/>
    <w:rsid w:val="00EB44AB"/>
    <w:rsid w:val="00EB6C69"/>
    <w:rsid w:val="00EC081A"/>
    <w:rsid w:val="00EC2637"/>
    <w:rsid w:val="00ED11E5"/>
    <w:rsid w:val="00ED24F6"/>
    <w:rsid w:val="00ED5DB7"/>
    <w:rsid w:val="00ED5E2F"/>
    <w:rsid w:val="00ED6BFA"/>
    <w:rsid w:val="00ED7812"/>
    <w:rsid w:val="00EE243C"/>
    <w:rsid w:val="00EE5BDB"/>
    <w:rsid w:val="00EE6FF6"/>
    <w:rsid w:val="00EF5217"/>
    <w:rsid w:val="00EF54DA"/>
    <w:rsid w:val="00F00743"/>
    <w:rsid w:val="00F020AA"/>
    <w:rsid w:val="00F039EB"/>
    <w:rsid w:val="00F0616A"/>
    <w:rsid w:val="00F06907"/>
    <w:rsid w:val="00F11C12"/>
    <w:rsid w:val="00F14E1F"/>
    <w:rsid w:val="00F209EA"/>
    <w:rsid w:val="00F217E4"/>
    <w:rsid w:val="00F254C7"/>
    <w:rsid w:val="00F25950"/>
    <w:rsid w:val="00F306DC"/>
    <w:rsid w:val="00F33D81"/>
    <w:rsid w:val="00F3730F"/>
    <w:rsid w:val="00F37754"/>
    <w:rsid w:val="00F4064F"/>
    <w:rsid w:val="00F43428"/>
    <w:rsid w:val="00F43E72"/>
    <w:rsid w:val="00F51D19"/>
    <w:rsid w:val="00F52412"/>
    <w:rsid w:val="00F53B98"/>
    <w:rsid w:val="00F67522"/>
    <w:rsid w:val="00F75FA7"/>
    <w:rsid w:val="00F82B8A"/>
    <w:rsid w:val="00F903BB"/>
    <w:rsid w:val="00F9301D"/>
    <w:rsid w:val="00F95122"/>
    <w:rsid w:val="00F95B57"/>
    <w:rsid w:val="00F977A2"/>
    <w:rsid w:val="00F97ABB"/>
    <w:rsid w:val="00FA0FCA"/>
    <w:rsid w:val="00FA355D"/>
    <w:rsid w:val="00FA619D"/>
    <w:rsid w:val="00FB29EC"/>
    <w:rsid w:val="00FB4FF1"/>
    <w:rsid w:val="00FC088B"/>
    <w:rsid w:val="00FC4571"/>
    <w:rsid w:val="00FC4E8F"/>
    <w:rsid w:val="00FC55D4"/>
    <w:rsid w:val="00FC695E"/>
    <w:rsid w:val="00FD1500"/>
    <w:rsid w:val="00FD1FF5"/>
    <w:rsid w:val="00FD2783"/>
    <w:rsid w:val="00FD5005"/>
    <w:rsid w:val="00FE43D3"/>
    <w:rsid w:val="00FE77F4"/>
    <w:rsid w:val="00FE7D60"/>
    <w:rsid w:val="00FF77BD"/>
    <w:rsid w:val="017E4885"/>
    <w:rsid w:val="04F7C0A5"/>
    <w:rsid w:val="0BB30A20"/>
    <w:rsid w:val="2AEC30D1"/>
    <w:rsid w:val="2C278B7C"/>
    <w:rsid w:val="338E154D"/>
    <w:rsid w:val="3D5349F4"/>
    <w:rsid w:val="44B0BEC5"/>
    <w:rsid w:val="4730AAD9"/>
    <w:rsid w:val="49569AEE"/>
    <w:rsid w:val="5DE44DAC"/>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815AE"/>
  <w15:chartTrackingRefBased/>
  <w15:docId w15:val="{994CBBCD-5487-4352-9F12-E9174B75A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B1E"/>
    <w:pPr>
      <w:spacing w:after="0" w:line="270" w:lineRule="exact"/>
    </w:pPr>
    <w:rPr>
      <w:rFonts w:ascii="FlandersArtSans-Regular" w:eastAsia="Times" w:hAnsi="FlandersArtSans-Regular" w:cs="Times New Roman"/>
      <w:szCs w:val="20"/>
      <w:lang w:eastAsia="nl-BE"/>
    </w:rPr>
  </w:style>
  <w:style w:type="paragraph" w:styleId="Heading1">
    <w:name w:val="heading 1"/>
    <w:basedOn w:val="Normal"/>
    <w:next w:val="Normal"/>
    <w:link w:val="Heading1Char"/>
    <w:uiPriority w:val="9"/>
    <w:qFormat/>
    <w:rsid w:val="00B50B1E"/>
    <w:pPr>
      <w:keepNext/>
      <w:keepLines/>
      <w:numPr>
        <w:numId w:val="1"/>
      </w:numPr>
      <w:spacing w:before="480"/>
      <w:contextualSpacing/>
      <w:outlineLvl w:val="0"/>
    </w:pPr>
    <w:rPr>
      <w:rFonts w:ascii="FlandersArtSans-Bold" w:eastAsiaTheme="majorEastAsia" w:hAnsi="FlandersArtSans-Bold" w:cstheme="majorBidi"/>
      <w:bCs/>
      <w:caps/>
      <w:color w:val="3C3D3C"/>
      <w:sz w:val="36"/>
      <w:szCs w:val="28"/>
      <w:lang w:eastAsia="en-US"/>
    </w:rPr>
  </w:style>
  <w:style w:type="paragraph" w:styleId="Heading2">
    <w:name w:val="heading 2"/>
    <w:basedOn w:val="Normal"/>
    <w:next w:val="Normal"/>
    <w:link w:val="Heading2Char"/>
    <w:uiPriority w:val="9"/>
    <w:unhideWhenUsed/>
    <w:qFormat/>
    <w:rsid w:val="00B50B1E"/>
    <w:pPr>
      <w:keepNext/>
      <w:keepLines/>
      <w:numPr>
        <w:ilvl w:val="1"/>
        <w:numId w:val="1"/>
      </w:numPr>
      <w:spacing w:before="200"/>
      <w:contextualSpacing/>
      <w:outlineLvl w:val="1"/>
    </w:pPr>
    <w:rPr>
      <w:rFonts w:eastAsiaTheme="majorEastAsia" w:cstheme="majorBidi"/>
      <w:bCs/>
      <w:color w:val="000000" w:themeColor="text1"/>
      <w:sz w:val="32"/>
      <w:szCs w:val="26"/>
      <w:u w:val="dotted"/>
      <w:lang w:eastAsia="en-US"/>
    </w:rPr>
  </w:style>
  <w:style w:type="paragraph" w:styleId="Heading3">
    <w:name w:val="heading 3"/>
    <w:basedOn w:val="Normal"/>
    <w:next w:val="Normal"/>
    <w:link w:val="Heading3Char"/>
    <w:uiPriority w:val="9"/>
    <w:unhideWhenUsed/>
    <w:qFormat/>
    <w:rsid w:val="00B50B1E"/>
    <w:pPr>
      <w:keepNext/>
      <w:keepLines/>
      <w:numPr>
        <w:ilvl w:val="2"/>
        <w:numId w:val="1"/>
      </w:numPr>
      <w:spacing w:before="200"/>
      <w:contextualSpacing/>
      <w:outlineLvl w:val="2"/>
    </w:pPr>
    <w:rPr>
      <w:rFonts w:ascii="FlandersArtSerif-Bold" w:eastAsiaTheme="majorEastAsia" w:hAnsi="FlandersArtSerif-Bold" w:cstheme="majorBidi"/>
      <w:bCs/>
      <w:color w:val="9B9DA0"/>
      <w:sz w:val="24"/>
      <w:lang w:eastAsia="en-US"/>
    </w:rPr>
  </w:style>
  <w:style w:type="paragraph" w:styleId="Heading4">
    <w:name w:val="heading 4"/>
    <w:basedOn w:val="Normal"/>
    <w:next w:val="Normal"/>
    <w:link w:val="Heading4Char"/>
    <w:uiPriority w:val="9"/>
    <w:unhideWhenUsed/>
    <w:qFormat/>
    <w:rsid w:val="00B50B1E"/>
    <w:pPr>
      <w:keepNext/>
      <w:keepLines/>
      <w:numPr>
        <w:ilvl w:val="3"/>
        <w:numId w:val="1"/>
      </w:numPr>
      <w:spacing w:before="200"/>
      <w:contextualSpacing/>
      <w:outlineLvl w:val="3"/>
    </w:pPr>
    <w:rPr>
      <w:rFonts w:ascii="FlandersArtSerif-Bold" w:eastAsiaTheme="majorEastAsia" w:hAnsi="FlandersArtSerif-Bold" w:cstheme="majorBidi"/>
      <w:bCs/>
      <w:iCs/>
      <w:color w:val="000000" w:themeColor="text1"/>
      <w:u w:val="single"/>
      <w:lang w:eastAsia="en-US"/>
    </w:rPr>
  </w:style>
  <w:style w:type="paragraph" w:styleId="Heading5">
    <w:name w:val="heading 5"/>
    <w:basedOn w:val="Normal"/>
    <w:next w:val="Normal"/>
    <w:link w:val="Heading5Char"/>
    <w:uiPriority w:val="9"/>
    <w:unhideWhenUsed/>
    <w:qFormat/>
    <w:rsid w:val="00B50B1E"/>
    <w:pPr>
      <w:keepNext/>
      <w:keepLines/>
      <w:numPr>
        <w:ilvl w:val="4"/>
        <w:numId w:val="1"/>
      </w:numPr>
      <w:spacing w:before="200"/>
      <w:contextualSpacing/>
      <w:outlineLvl w:val="4"/>
    </w:pPr>
    <w:rPr>
      <w:rFonts w:eastAsiaTheme="majorEastAsia" w:cstheme="majorBidi"/>
      <w:color w:val="171717" w:themeColor="background2" w:themeShade="1A"/>
      <w:lang w:eastAsia="en-US"/>
    </w:rPr>
  </w:style>
  <w:style w:type="paragraph" w:styleId="Heading6">
    <w:name w:val="heading 6"/>
    <w:basedOn w:val="Normal"/>
    <w:next w:val="Normal"/>
    <w:link w:val="Heading6Char"/>
    <w:uiPriority w:val="9"/>
    <w:unhideWhenUsed/>
    <w:qFormat/>
    <w:rsid w:val="00B50B1E"/>
    <w:pPr>
      <w:keepNext/>
      <w:keepLines/>
      <w:numPr>
        <w:ilvl w:val="5"/>
        <w:numId w:val="1"/>
      </w:numPr>
      <w:spacing w:before="200"/>
      <w:contextualSpacing/>
      <w:outlineLvl w:val="5"/>
    </w:pPr>
    <w:rPr>
      <w:rFonts w:ascii="FlandersArtSerif-Regular" w:eastAsiaTheme="majorEastAsia" w:hAnsi="FlandersArtSerif-Regular" w:cstheme="majorBidi"/>
      <w:iCs/>
      <w:color w:val="171717" w:themeColor="background2" w:themeShade="1A"/>
      <w:lang w:eastAsia="en-US"/>
    </w:rPr>
  </w:style>
  <w:style w:type="paragraph" w:styleId="Heading7">
    <w:name w:val="heading 7"/>
    <w:basedOn w:val="Normal"/>
    <w:next w:val="Normal"/>
    <w:link w:val="Heading7Char"/>
    <w:uiPriority w:val="9"/>
    <w:unhideWhenUsed/>
    <w:qFormat/>
    <w:rsid w:val="00B50B1E"/>
    <w:pPr>
      <w:keepNext/>
      <w:keepLines/>
      <w:numPr>
        <w:ilvl w:val="6"/>
        <w:numId w:val="1"/>
      </w:numPr>
      <w:spacing w:before="200"/>
      <w:contextualSpacing/>
      <w:outlineLvl w:val="6"/>
    </w:pPr>
    <w:rPr>
      <w:rFonts w:ascii="FlandersArtSerif-Medium" w:eastAsiaTheme="majorEastAsia" w:hAnsi="FlandersArtSerif-Medium" w:cstheme="majorBidi"/>
      <w:iCs/>
      <w:color w:val="9B9DA0"/>
      <w:lang w:eastAsia="en-US"/>
    </w:rPr>
  </w:style>
  <w:style w:type="paragraph" w:styleId="Heading8">
    <w:name w:val="heading 8"/>
    <w:basedOn w:val="Normal"/>
    <w:next w:val="Normal"/>
    <w:link w:val="Heading8Char"/>
    <w:uiPriority w:val="9"/>
    <w:unhideWhenUsed/>
    <w:qFormat/>
    <w:rsid w:val="00B50B1E"/>
    <w:pPr>
      <w:keepNext/>
      <w:keepLines/>
      <w:numPr>
        <w:ilvl w:val="7"/>
        <w:numId w:val="1"/>
      </w:numPr>
      <w:spacing w:before="200"/>
      <w:contextualSpacing/>
      <w:outlineLvl w:val="7"/>
    </w:pPr>
    <w:rPr>
      <w:rFonts w:asciiTheme="majorHAnsi" w:eastAsiaTheme="majorEastAsia" w:hAnsiTheme="majorHAnsi" w:cstheme="majorBidi"/>
      <w:color w:val="404040" w:themeColor="text1" w:themeTint="BF"/>
      <w:sz w:val="20"/>
      <w:lang w:eastAsia="en-US"/>
    </w:rPr>
  </w:style>
  <w:style w:type="paragraph" w:styleId="Heading9">
    <w:name w:val="heading 9"/>
    <w:basedOn w:val="Normal"/>
    <w:next w:val="Normal"/>
    <w:link w:val="Heading9Char"/>
    <w:uiPriority w:val="9"/>
    <w:unhideWhenUsed/>
    <w:qFormat/>
    <w:rsid w:val="00B50B1E"/>
    <w:pPr>
      <w:keepNext/>
      <w:keepLines/>
      <w:numPr>
        <w:ilvl w:val="8"/>
        <w:numId w:val="1"/>
      </w:numPr>
      <w:spacing w:before="200"/>
      <w:contextualSpacing/>
      <w:outlineLvl w:val="8"/>
    </w:pPr>
    <w:rPr>
      <w:rFonts w:asciiTheme="majorHAnsi" w:eastAsiaTheme="majorEastAsia" w:hAnsiTheme="majorHAnsi" w:cstheme="majorBidi"/>
      <w:i/>
      <w:iCs/>
      <w:color w:val="404040" w:themeColor="text1" w:themeTint="BF"/>
      <w:sz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B1E"/>
    <w:rPr>
      <w:rFonts w:ascii="FlandersArtSans-Bold" w:eastAsiaTheme="majorEastAsia" w:hAnsi="FlandersArtSans-Bold" w:cstheme="majorBidi"/>
      <w:bCs/>
      <w:caps/>
      <w:color w:val="3C3D3C"/>
      <w:sz w:val="36"/>
      <w:szCs w:val="28"/>
    </w:rPr>
  </w:style>
  <w:style w:type="character" w:customStyle="1" w:styleId="Heading2Char">
    <w:name w:val="Heading 2 Char"/>
    <w:basedOn w:val="DefaultParagraphFont"/>
    <w:link w:val="Heading2"/>
    <w:uiPriority w:val="9"/>
    <w:rsid w:val="00B50B1E"/>
    <w:rPr>
      <w:rFonts w:ascii="FlandersArtSans-Regular" w:eastAsiaTheme="majorEastAsia" w:hAnsi="FlandersArtSans-Regular" w:cstheme="majorBidi"/>
      <w:bCs/>
      <w:color w:val="000000" w:themeColor="text1"/>
      <w:sz w:val="32"/>
      <w:szCs w:val="26"/>
      <w:u w:val="dotted"/>
    </w:rPr>
  </w:style>
  <w:style w:type="character" w:customStyle="1" w:styleId="Heading3Char">
    <w:name w:val="Heading 3 Char"/>
    <w:basedOn w:val="DefaultParagraphFont"/>
    <w:link w:val="Heading3"/>
    <w:uiPriority w:val="9"/>
    <w:rsid w:val="00B50B1E"/>
    <w:rPr>
      <w:rFonts w:ascii="FlandersArtSerif-Bold" w:eastAsiaTheme="majorEastAsia" w:hAnsi="FlandersArtSerif-Bold" w:cstheme="majorBidi"/>
      <w:bCs/>
      <w:color w:val="9B9DA0"/>
      <w:sz w:val="24"/>
      <w:szCs w:val="20"/>
    </w:rPr>
  </w:style>
  <w:style w:type="character" w:customStyle="1" w:styleId="Heading4Char">
    <w:name w:val="Heading 4 Char"/>
    <w:basedOn w:val="DefaultParagraphFont"/>
    <w:link w:val="Heading4"/>
    <w:uiPriority w:val="9"/>
    <w:rsid w:val="00B50B1E"/>
    <w:rPr>
      <w:rFonts w:ascii="FlandersArtSerif-Bold" w:eastAsiaTheme="majorEastAsia" w:hAnsi="FlandersArtSerif-Bold" w:cstheme="majorBidi"/>
      <w:bCs/>
      <w:iCs/>
      <w:color w:val="000000" w:themeColor="text1"/>
      <w:szCs w:val="20"/>
      <w:u w:val="single"/>
    </w:rPr>
  </w:style>
  <w:style w:type="character" w:customStyle="1" w:styleId="Heading5Char">
    <w:name w:val="Heading 5 Char"/>
    <w:basedOn w:val="DefaultParagraphFont"/>
    <w:link w:val="Heading5"/>
    <w:uiPriority w:val="9"/>
    <w:rsid w:val="00B50B1E"/>
    <w:rPr>
      <w:rFonts w:ascii="FlandersArtSans-Regular" w:eastAsiaTheme="majorEastAsia" w:hAnsi="FlandersArtSans-Regular" w:cstheme="majorBidi"/>
      <w:color w:val="171717" w:themeColor="background2" w:themeShade="1A"/>
      <w:szCs w:val="20"/>
    </w:rPr>
  </w:style>
  <w:style w:type="character" w:customStyle="1" w:styleId="Heading6Char">
    <w:name w:val="Heading 6 Char"/>
    <w:basedOn w:val="DefaultParagraphFont"/>
    <w:link w:val="Heading6"/>
    <w:uiPriority w:val="9"/>
    <w:rsid w:val="00B50B1E"/>
    <w:rPr>
      <w:rFonts w:ascii="FlandersArtSerif-Regular" w:eastAsiaTheme="majorEastAsia" w:hAnsi="FlandersArtSerif-Regular" w:cstheme="majorBidi"/>
      <w:iCs/>
      <w:color w:val="171717" w:themeColor="background2" w:themeShade="1A"/>
      <w:szCs w:val="20"/>
    </w:rPr>
  </w:style>
  <w:style w:type="character" w:customStyle="1" w:styleId="Heading7Char">
    <w:name w:val="Heading 7 Char"/>
    <w:basedOn w:val="DefaultParagraphFont"/>
    <w:link w:val="Heading7"/>
    <w:uiPriority w:val="9"/>
    <w:rsid w:val="00B50B1E"/>
    <w:rPr>
      <w:rFonts w:ascii="FlandersArtSerif-Medium" w:eastAsiaTheme="majorEastAsia" w:hAnsi="FlandersArtSerif-Medium" w:cstheme="majorBidi"/>
      <w:iCs/>
      <w:color w:val="9B9DA0"/>
      <w:szCs w:val="20"/>
    </w:rPr>
  </w:style>
  <w:style w:type="character" w:customStyle="1" w:styleId="Heading8Char">
    <w:name w:val="Heading 8 Char"/>
    <w:basedOn w:val="DefaultParagraphFont"/>
    <w:link w:val="Heading8"/>
    <w:uiPriority w:val="9"/>
    <w:rsid w:val="00B50B1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B50B1E"/>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B50B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B1E"/>
    <w:rPr>
      <w:rFonts w:ascii="Segoe UI" w:eastAsia="Times" w:hAnsi="Segoe UI" w:cs="Segoe UI"/>
      <w:sz w:val="18"/>
      <w:szCs w:val="18"/>
      <w:lang w:val="pt-PT" w:eastAsia="nl-BE"/>
    </w:rPr>
  </w:style>
  <w:style w:type="paragraph" w:styleId="Header">
    <w:name w:val="header"/>
    <w:basedOn w:val="Normal"/>
    <w:link w:val="HeaderChar"/>
    <w:unhideWhenUsed/>
    <w:rsid w:val="00B50B1E"/>
    <w:pPr>
      <w:tabs>
        <w:tab w:val="center" w:pos="4536"/>
        <w:tab w:val="right" w:pos="9072"/>
      </w:tabs>
      <w:spacing w:line="240" w:lineRule="auto"/>
    </w:pPr>
  </w:style>
  <w:style w:type="character" w:customStyle="1" w:styleId="HeaderChar">
    <w:name w:val="Header Char"/>
    <w:basedOn w:val="DefaultParagraphFont"/>
    <w:link w:val="Header"/>
    <w:rsid w:val="00B50B1E"/>
    <w:rPr>
      <w:rFonts w:ascii="FlandersArtSans-Regular" w:eastAsia="Times" w:hAnsi="FlandersArtSans-Regular" w:cs="Times New Roman"/>
      <w:szCs w:val="20"/>
      <w:lang w:val="pt-PT" w:eastAsia="nl-BE"/>
    </w:rPr>
  </w:style>
  <w:style w:type="paragraph" w:styleId="Footer">
    <w:name w:val="footer"/>
    <w:basedOn w:val="Normal"/>
    <w:link w:val="FooterChar"/>
    <w:uiPriority w:val="99"/>
    <w:unhideWhenUsed/>
    <w:rsid w:val="00B50B1E"/>
    <w:pPr>
      <w:tabs>
        <w:tab w:val="center" w:pos="4536"/>
        <w:tab w:val="right" w:pos="9072"/>
      </w:tabs>
      <w:spacing w:line="240" w:lineRule="auto"/>
    </w:pPr>
  </w:style>
  <w:style w:type="character" w:customStyle="1" w:styleId="FooterChar">
    <w:name w:val="Footer Char"/>
    <w:basedOn w:val="DefaultParagraphFont"/>
    <w:link w:val="Footer"/>
    <w:uiPriority w:val="99"/>
    <w:rsid w:val="00B50B1E"/>
    <w:rPr>
      <w:rFonts w:ascii="FlandersArtSans-Regular" w:eastAsia="Times" w:hAnsi="FlandersArtSans-Regular" w:cs="Times New Roman"/>
      <w:szCs w:val="20"/>
      <w:lang w:val="pt-PT" w:eastAsia="nl-BE"/>
    </w:rPr>
  </w:style>
  <w:style w:type="character" w:styleId="CommentReference">
    <w:name w:val="annotation reference"/>
    <w:basedOn w:val="DefaultParagraphFont"/>
    <w:uiPriority w:val="99"/>
    <w:semiHidden/>
    <w:unhideWhenUsed/>
    <w:rsid w:val="00170FAA"/>
    <w:rPr>
      <w:sz w:val="16"/>
      <w:szCs w:val="16"/>
    </w:rPr>
  </w:style>
  <w:style w:type="paragraph" w:styleId="CommentText">
    <w:name w:val="annotation text"/>
    <w:basedOn w:val="Normal"/>
    <w:link w:val="CommentTextChar"/>
    <w:uiPriority w:val="99"/>
    <w:unhideWhenUsed/>
    <w:rsid w:val="00170FAA"/>
    <w:pPr>
      <w:spacing w:line="240" w:lineRule="auto"/>
    </w:pPr>
    <w:rPr>
      <w:sz w:val="20"/>
    </w:rPr>
  </w:style>
  <w:style w:type="character" w:customStyle="1" w:styleId="CommentTextChar">
    <w:name w:val="Comment Text Char"/>
    <w:basedOn w:val="DefaultParagraphFont"/>
    <w:link w:val="CommentText"/>
    <w:uiPriority w:val="99"/>
    <w:rsid w:val="00170FAA"/>
    <w:rPr>
      <w:rFonts w:ascii="FlandersArtSans-Regular" w:eastAsia="Times" w:hAnsi="FlandersArtSans-Regular" w:cs="Times New Roman"/>
      <w:sz w:val="20"/>
      <w:szCs w:val="20"/>
      <w:lang w:eastAsia="nl-BE"/>
    </w:rPr>
  </w:style>
  <w:style w:type="paragraph" w:styleId="CommentSubject">
    <w:name w:val="annotation subject"/>
    <w:basedOn w:val="CommentText"/>
    <w:next w:val="CommentText"/>
    <w:link w:val="CommentSubjectChar"/>
    <w:uiPriority w:val="99"/>
    <w:semiHidden/>
    <w:unhideWhenUsed/>
    <w:rsid w:val="00170FAA"/>
    <w:rPr>
      <w:b/>
      <w:bCs/>
    </w:rPr>
  </w:style>
  <w:style w:type="character" w:customStyle="1" w:styleId="CommentSubjectChar">
    <w:name w:val="Comment Subject Char"/>
    <w:basedOn w:val="CommentTextChar"/>
    <w:link w:val="CommentSubject"/>
    <w:uiPriority w:val="99"/>
    <w:semiHidden/>
    <w:rsid w:val="00170FAA"/>
    <w:rPr>
      <w:rFonts w:ascii="FlandersArtSans-Regular" w:eastAsia="Times" w:hAnsi="FlandersArtSans-Regular" w:cs="Times New Roman"/>
      <w:b/>
      <w:bCs/>
      <w:sz w:val="20"/>
      <w:szCs w:val="20"/>
      <w:lang w:eastAsia="nl-BE"/>
    </w:rPr>
  </w:style>
  <w:style w:type="paragraph" w:styleId="ListParagraph">
    <w:name w:val="List Paragraph"/>
    <w:basedOn w:val="Normal"/>
    <w:uiPriority w:val="34"/>
    <w:qFormat/>
    <w:rsid w:val="00423DC6"/>
    <w:pPr>
      <w:ind w:left="720"/>
      <w:contextualSpacing/>
    </w:pPr>
  </w:style>
  <w:style w:type="character" w:styleId="Hyperlink">
    <w:name w:val="Hyperlink"/>
    <w:basedOn w:val="DefaultParagraphFont"/>
    <w:rsid w:val="00423DC6"/>
    <w:rPr>
      <w:color w:val="0000FF"/>
      <w:u w:val="single"/>
    </w:rPr>
  </w:style>
  <w:style w:type="character" w:styleId="FollowedHyperlink">
    <w:name w:val="FollowedHyperlink"/>
    <w:basedOn w:val="DefaultParagraphFont"/>
    <w:uiPriority w:val="99"/>
    <w:semiHidden/>
    <w:unhideWhenUsed/>
    <w:rsid w:val="00423DC6"/>
    <w:rPr>
      <w:color w:val="954F72" w:themeColor="followedHyperlink"/>
      <w:u w:val="single"/>
    </w:rPr>
  </w:style>
  <w:style w:type="character" w:styleId="UnresolvedMention">
    <w:name w:val="Unresolved Mention"/>
    <w:basedOn w:val="DefaultParagraphFont"/>
    <w:uiPriority w:val="99"/>
    <w:unhideWhenUsed/>
    <w:rsid w:val="005C34C8"/>
    <w:rPr>
      <w:color w:val="605E5C"/>
      <w:shd w:val="clear" w:color="auto" w:fill="E1DFDD"/>
    </w:rPr>
  </w:style>
  <w:style w:type="paragraph" w:styleId="Revision">
    <w:name w:val="Revision"/>
    <w:hidden/>
    <w:uiPriority w:val="99"/>
    <w:semiHidden/>
    <w:rsid w:val="00D923AB"/>
    <w:pPr>
      <w:spacing w:after="0" w:line="240" w:lineRule="auto"/>
    </w:pPr>
    <w:rPr>
      <w:rFonts w:ascii="FlandersArtSans-Regular" w:eastAsia="Times" w:hAnsi="FlandersArtSans-Regular" w:cs="Times New Roman"/>
      <w:szCs w:val="20"/>
      <w:lang w:eastAsia="nl-BE"/>
    </w:rPr>
  </w:style>
  <w:style w:type="character" w:styleId="Mention">
    <w:name w:val="Mention"/>
    <w:basedOn w:val="DefaultParagraphFont"/>
    <w:uiPriority w:val="99"/>
    <w:unhideWhenUsed/>
    <w:rsid w:val="008C404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020823">
      <w:bodyDiv w:val="1"/>
      <w:marLeft w:val="0"/>
      <w:marRight w:val="0"/>
      <w:marTop w:val="0"/>
      <w:marBottom w:val="0"/>
      <w:divBdr>
        <w:top w:val="none" w:sz="0" w:space="0" w:color="auto"/>
        <w:left w:val="none" w:sz="0" w:space="0" w:color="auto"/>
        <w:bottom w:val="none" w:sz="0" w:space="0" w:color="auto"/>
        <w:right w:val="none" w:sz="0" w:space="0" w:color="auto"/>
      </w:divBdr>
    </w:div>
    <w:div w:id="183174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E216F35AF2CB9468CD9A6F9808E74AF" ma:contentTypeVersion="13" ma:contentTypeDescription="Een nieuw document maken." ma:contentTypeScope="" ma:versionID="ca164e848c4fad5da276762f41258f4d">
  <xsd:schema xmlns:xsd="http://www.w3.org/2001/XMLSchema" xmlns:xs="http://www.w3.org/2001/XMLSchema" xmlns:p="http://schemas.microsoft.com/office/2006/metadata/properties" xmlns:ns2="03d5240a-782c-4048-8313-d01b5d6ab2a6" xmlns:ns3="ceeae0c4-f3ff-4153-af2f-582bafa5e89e" targetNamespace="http://schemas.microsoft.com/office/2006/metadata/properties" ma:root="true" ma:fieldsID="65f0ac419ea59745c8cf4e78d3a84f2f" ns2:_="" ns3:_="">
    <xsd:import namespace="03d5240a-782c-4048-8313-d01b5d6ab2a6"/>
    <xsd:import namespace="ceeae0c4-f3ff-4153-af2f-582bafa5e89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d5240a-782c-4048-8313-d01b5d6ab2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eae0c4-f3ff-4153-af2f-582bafa5e89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081DE2-23A0-48E0-851B-E5D3A54CA0D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619DD54-2686-4B25-BA18-00EA26AE4543}">
  <ds:schemaRefs>
    <ds:schemaRef ds:uri="http://schemas.openxmlformats.org/officeDocument/2006/bibliography"/>
  </ds:schemaRefs>
</ds:datastoreItem>
</file>

<file path=customXml/itemProps3.xml><?xml version="1.0" encoding="utf-8"?>
<ds:datastoreItem xmlns:ds="http://schemas.openxmlformats.org/officeDocument/2006/customXml" ds:itemID="{CDC0D4DB-8383-4D0E-A88A-6FF7B4FCF769}">
  <ds:schemaRefs>
    <ds:schemaRef ds:uri="http://schemas.microsoft.com/sharepoint/v3/contenttype/forms"/>
  </ds:schemaRefs>
</ds:datastoreItem>
</file>

<file path=customXml/itemProps4.xml><?xml version="1.0" encoding="utf-8"?>
<ds:datastoreItem xmlns:ds="http://schemas.openxmlformats.org/officeDocument/2006/customXml" ds:itemID="{491B8FEA-79F6-4552-B7DE-02C7CD4540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d5240a-782c-4048-8313-d01b5d6ab2a6"/>
    <ds:schemaRef ds:uri="ceeae0c4-f3ff-4153-af2f-582bafa5e8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3037</Words>
  <Characters>15674</Characters>
  <Application>Microsoft Office Word</Application>
  <DocSecurity>0</DocSecurity>
  <Lines>373</Lines>
  <Paragraphs>112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18599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Wetgevingstechnisch advies (Steketee Björn)</dc:creator>
  <cp:keywords/>
  <dc:description/>
  <cp:lastModifiedBy>Ines Varvodic</cp:lastModifiedBy>
  <cp:revision>4</cp:revision>
  <cp:lastPrinted>2020-03-08T02:41:00Z</cp:lastPrinted>
  <dcterms:created xsi:type="dcterms:W3CDTF">2021-12-21T08:15:00Z</dcterms:created>
  <dcterms:modified xsi:type="dcterms:W3CDTF">2021-12-21T08:21:00Z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0x0101002E216F35AF2CB9468CD9A6F9808E74AF</vt:lpwstr>
  </property>
</Properties>
</file>