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37054" w:rsidRPr="002A14A1" w14:paraId="7A8E0A91" w14:textId="77777777" w:rsidTr="00637054">
        <w:tc>
          <w:tcPr>
            <w:tcW w:w="5000" w:type="pct"/>
          </w:tcPr>
          <w:p w14:paraId="33A0D341" w14:textId="1A0A86F2" w:rsidR="00637054" w:rsidRPr="007E74AA" w:rsidRDefault="00637054" w:rsidP="006A06A1">
            <w:pPr>
              <w:jc w:val="both"/>
              <w:rPr>
                <w:b/>
                <w:sz w:val="24"/>
                <w:szCs w:val="24"/>
                <w:rFonts w:cstheme="minorHAnsi"/>
              </w:rPr>
            </w:pPr>
            <w:r>
              <w:rPr>
                <w:b/>
                <w:sz w:val="24"/>
              </w:rPr>
              <w:t xml:space="preserve">Proiect de decret regal de stabilire a termenilor și condițiilor privind publicitatea pentru jocurile de noroc</w:t>
            </w:r>
          </w:p>
          <w:p w14:paraId="3BD52234" w14:textId="77777777" w:rsidR="00637054" w:rsidRPr="007E74AA" w:rsidRDefault="00637054" w:rsidP="006A06A1">
            <w:pPr>
              <w:jc w:val="both"/>
              <w:rPr>
                <w:rFonts w:cstheme="minorHAnsi"/>
                <w:b/>
                <w:sz w:val="24"/>
                <w:szCs w:val="24"/>
                <w:lang w:val="fr-BE"/>
              </w:rPr>
            </w:pPr>
          </w:p>
        </w:tc>
      </w:tr>
      <w:tr w:rsidR="00637054" w:rsidRPr="002A14A1" w14:paraId="1E44C878" w14:textId="77777777" w:rsidTr="00637054">
        <w:tc>
          <w:tcPr>
            <w:tcW w:w="5000" w:type="pct"/>
          </w:tcPr>
          <w:p w14:paraId="54A150C8" w14:textId="77777777" w:rsidR="00637054" w:rsidRPr="007E74AA" w:rsidRDefault="00637054" w:rsidP="006A06A1">
            <w:pPr>
              <w:jc w:val="both"/>
              <w:rPr>
                <w:sz w:val="24"/>
                <w:szCs w:val="24"/>
                <w:rFonts w:cstheme="minorHAnsi"/>
              </w:rPr>
            </w:pPr>
            <w:r>
              <w:rPr>
                <w:sz w:val="24"/>
              </w:rPr>
              <w:t xml:space="preserve">PHILIPPE, Regele Belgiei,</w:t>
            </w:r>
          </w:p>
          <w:p w14:paraId="4BA4EB7C" w14:textId="77777777" w:rsidR="00637054" w:rsidRPr="007E74AA" w:rsidRDefault="00637054" w:rsidP="006A06A1">
            <w:pPr>
              <w:jc w:val="both"/>
              <w:rPr>
                <w:rFonts w:cstheme="minorHAnsi"/>
                <w:sz w:val="24"/>
                <w:szCs w:val="24"/>
                <w:lang w:val="fr-BE"/>
              </w:rPr>
            </w:pPr>
          </w:p>
          <w:p w14:paraId="2889917A" w14:textId="77777777" w:rsidR="00637054" w:rsidRDefault="00637054" w:rsidP="006A06A1">
            <w:pPr>
              <w:rPr>
                <w:sz w:val="24"/>
                <w:szCs w:val="24"/>
                <w:rFonts w:cstheme="minorHAnsi"/>
              </w:rPr>
            </w:pPr>
            <w:r>
              <w:rPr>
                <w:sz w:val="24"/>
              </w:rPr>
              <w:t xml:space="preserve">Salutări tuturor celor prezenți și celor ce vor veni.</w:t>
            </w:r>
          </w:p>
          <w:p w14:paraId="10EAE44B" w14:textId="77777777" w:rsidR="00D03240" w:rsidRPr="007E74AA" w:rsidRDefault="00D03240" w:rsidP="006A06A1">
            <w:pPr>
              <w:rPr>
                <w:rFonts w:cstheme="minorHAnsi"/>
                <w:sz w:val="24"/>
                <w:szCs w:val="24"/>
                <w:lang w:val="fr-BE"/>
              </w:rPr>
            </w:pPr>
          </w:p>
        </w:tc>
      </w:tr>
      <w:tr w:rsidR="00637054" w:rsidRPr="002A14A1" w14:paraId="36350199" w14:textId="77777777" w:rsidTr="00637054">
        <w:tc>
          <w:tcPr>
            <w:tcW w:w="5000" w:type="pct"/>
          </w:tcPr>
          <w:p w14:paraId="1C98455B" w14:textId="77777777" w:rsidR="00637054" w:rsidRPr="007E74AA" w:rsidRDefault="00637054" w:rsidP="006A06A1">
            <w:pPr>
              <w:jc w:val="both"/>
              <w:rPr>
                <w:sz w:val="24"/>
                <w:szCs w:val="24"/>
                <w:rFonts w:cstheme="minorHAnsi"/>
              </w:rPr>
            </w:pPr>
            <w:r>
              <w:rPr>
                <w:sz w:val="24"/>
              </w:rPr>
              <w:t xml:space="preserve">Având în vedere Legea din 7 mai 1999 privind jocurile de noroc, pariurile, unitățile de jocuri de noroc și protecția jucătorilor, articolul 61 alineatul (2), introdus prin Legea din 7 mai 2019,</w:t>
            </w:r>
          </w:p>
          <w:p w14:paraId="18A9692F" w14:textId="77777777" w:rsidR="00637054" w:rsidRPr="007E74AA" w:rsidRDefault="00637054" w:rsidP="006A06A1">
            <w:pPr>
              <w:jc w:val="both"/>
              <w:rPr>
                <w:rFonts w:cstheme="minorHAnsi"/>
                <w:sz w:val="24"/>
                <w:szCs w:val="24"/>
                <w:lang w:val="fr-BE"/>
              </w:rPr>
            </w:pPr>
          </w:p>
        </w:tc>
      </w:tr>
      <w:tr w:rsidR="00637054" w:rsidRPr="002A14A1" w14:paraId="3AE82B1A" w14:textId="77777777" w:rsidTr="00637054">
        <w:tc>
          <w:tcPr>
            <w:tcW w:w="5000" w:type="pct"/>
          </w:tcPr>
          <w:p w14:paraId="02956878" w14:textId="3BD7AB5C" w:rsidR="00637054" w:rsidRDefault="00637054" w:rsidP="006A06A1">
            <w:pPr>
              <w:jc w:val="both"/>
              <w:rPr>
                <w:sz w:val="24"/>
                <w:szCs w:val="24"/>
                <w:rFonts w:cstheme="minorHAnsi"/>
              </w:rPr>
            </w:pPr>
            <w:r>
              <w:rPr>
                <w:sz w:val="24"/>
              </w:rPr>
              <w:t xml:space="preserve">având în vedere Decretul regal din 25 octombrie 2018 privind condițiile pentru jocurile de noroc și pariurile care utilizează instrumente ale societății informaționale,</w:t>
            </w:r>
          </w:p>
          <w:p w14:paraId="14953392" w14:textId="538724A3" w:rsidR="00637054" w:rsidRPr="007E74AA" w:rsidRDefault="00637054" w:rsidP="006A06A1">
            <w:pPr>
              <w:jc w:val="both"/>
              <w:rPr>
                <w:rFonts w:cstheme="minorHAnsi"/>
                <w:sz w:val="24"/>
                <w:szCs w:val="24"/>
                <w:lang w:val="fr-BE"/>
              </w:rPr>
            </w:pPr>
          </w:p>
        </w:tc>
      </w:tr>
      <w:tr w:rsidR="00637054" w:rsidRPr="002A14A1" w14:paraId="4272F806" w14:textId="77777777" w:rsidTr="00637054">
        <w:tc>
          <w:tcPr>
            <w:tcW w:w="5000" w:type="pct"/>
          </w:tcPr>
          <w:p w14:paraId="0ABC76AB" w14:textId="1972CF96" w:rsidR="00637054" w:rsidRPr="007E74AA" w:rsidRDefault="00637054" w:rsidP="006A06A1">
            <w:pPr>
              <w:jc w:val="both"/>
              <w:rPr>
                <w:sz w:val="24"/>
                <w:szCs w:val="24"/>
                <w:rFonts w:cstheme="minorHAnsi"/>
              </w:rPr>
            </w:pPr>
            <w:r>
              <w:rPr>
                <w:sz w:val="24"/>
              </w:rPr>
              <w:t xml:space="preserve">având în vedere avizul Comisiei pentru jocuri de noroc, emis la 5 aprilie 2022,</w:t>
            </w:r>
          </w:p>
          <w:p w14:paraId="7B212AC6" w14:textId="77777777" w:rsidR="00637054" w:rsidRPr="007E74AA" w:rsidRDefault="00637054" w:rsidP="006A06A1">
            <w:pPr>
              <w:jc w:val="both"/>
              <w:rPr>
                <w:rFonts w:cstheme="minorHAnsi"/>
                <w:sz w:val="24"/>
                <w:szCs w:val="24"/>
                <w:lang w:val="fr-BE"/>
              </w:rPr>
            </w:pPr>
          </w:p>
        </w:tc>
      </w:tr>
      <w:tr w:rsidR="00637054" w:rsidRPr="002A14A1" w14:paraId="211AB981" w14:textId="77777777" w:rsidTr="00637054">
        <w:tc>
          <w:tcPr>
            <w:tcW w:w="5000" w:type="pct"/>
          </w:tcPr>
          <w:p w14:paraId="6C1C36EB" w14:textId="1DC30C78" w:rsidR="00637054" w:rsidRPr="007E74AA" w:rsidRDefault="00637054" w:rsidP="006A06A1">
            <w:pPr>
              <w:jc w:val="both"/>
              <w:rPr>
                <w:sz w:val="24"/>
                <w:szCs w:val="24"/>
                <w:rFonts w:cstheme="minorHAnsi"/>
              </w:rPr>
            </w:pPr>
            <w:r>
              <w:rPr>
                <w:sz w:val="24"/>
              </w:rPr>
              <w:t xml:space="preserve">având în vedere avizul inspectorului financiar din 28 aprilie 2022,</w:t>
            </w:r>
          </w:p>
          <w:p w14:paraId="1173C35E" w14:textId="77777777" w:rsidR="00637054" w:rsidRPr="007E74AA" w:rsidRDefault="00637054" w:rsidP="006A06A1">
            <w:pPr>
              <w:jc w:val="both"/>
              <w:rPr>
                <w:rFonts w:cstheme="minorHAnsi"/>
                <w:sz w:val="24"/>
                <w:szCs w:val="24"/>
                <w:lang w:val="fr-BE"/>
              </w:rPr>
            </w:pPr>
          </w:p>
        </w:tc>
      </w:tr>
      <w:tr w:rsidR="00637054" w:rsidRPr="002A14A1" w14:paraId="4256EE25" w14:textId="77777777" w:rsidTr="00637054">
        <w:tc>
          <w:tcPr>
            <w:tcW w:w="5000" w:type="pct"/>
          </w:tcPr>
          <w:p w14:paraId="7407620A" w14:textId="5EB5DABB" w:rsidR="00637054" w:rsidRPr="007E74AA" w:rsidRDefault="00637054" w:rsidP="006A06A1">
            <w:pPr>
              <w:jc w:val="both"/>
              <w:rPr>
                <w:sz w:val="24"/>
                <w:szCs w:val="24"/>
                <w:rFonts w:cstheme="minorHAnsi"/>
              </w:rPr>
            </w:pPr>
            <w:r>
              <w:rPr>
                <w:sz w:val="24"/>
              </w:rPr>
              <w:t xml:space="preserve">având în vedere acordul secretarului de stat pentru buget, exprimat la 4 mai 2022,</w:t>
            </w:r>
          </w:p>
          <w:p w14:paraId="5A491FD4" w14:textId="77777777" w:rsidR="00637054" w:rsidRPr="007E74AA" w:rsidRDefault="00637054" w:rsidP="006A06A1">
            <w:pPr>
              <w:jc w:val="both"/>
              <w:rPr>
                <w:rFonts w:cstheme="minorHAnsi"/>
                <w:sz w:val="24"/>
                <w:szCs w:val="24"/>
                <w:lang w:val="fr-BE"/>
              </w:rPr>
            </w:pPr>
          </w:p>
        </w:tc>
      </w:tr>
      <w:tr w:rsidR="00637054" w:rsidRPr="002A14A1" w14:paraId="11C8D2EE" w14:textId="77777777" w:rsidTr="00637054">
        <w:tc>
          <w:tcPr>
            <w:tcW w:w="5000" w:type="pct"/>
          </w:tcPr>
          <w:p w14:paraId="66E3B656" w14:textId="583C1923" w:rsidR="00637054" w:rsidRPr="008E2CDA" w:rsidRDefault="00637054" w:rsidP="008E2CDA">
            <w:pPr>
              <w:jc w:val="both"/>
              <w:rPr>
                <w:sz w:val="24"/>
                <w:szCs w:val="24"/>
                <w:rFonts w:cstheme="minorHAnsi"/>
              </w:rPr>
            </w:pPr>
            <w:r>
              <w:rPr>
                <w:sz w:val="24"/>
              </w:rPr>
              <w:t xml:space="preserve">având în vedere comunicarea adresată Comisiei Europene la data de                     , în temeiul articolului 5 alineatul (1) din Directiva (UE) 2015/1535 a Parlamentului European și a Consiliului din 9 septembrie 2015 referitoare la procedura de furnizare de informații în domeniul reglementărilor tehnice și al normelor privind serviciile societății informaționale,</w:t>
            </w:r>
          </w:p>
          <w:p w14:paraId="03E8B733" w14:textId="77777777" w:rsidR="00637054" w:rsidRPr="007E74AA" w:rsidRDefault="00637054" w:rsidP="006A06A1">
            <w:pPr>
              <w:jc w:val="both"/>
              <w:rPr>
                <w:rFonts w:cstheme="minorHAnsi"/>
                <w:sz w:val="24"/>
                <w:szCs w:val="24"/>
                <w:lang w:val="fr-BE"/>
              </w:rPr>
            </w:pPr>
          </w:p>
        </w:tc>
      </w:tr>
      <w:tr w:rsidR="00637054" w:rsidRPr="002A14A1" w14:paraId="10185104" w14:textId="77777777" w:rsidTr="00637054">
        <w:tc>
          <w:tcPr>
            <w:tcW w:w="5000" w:type="pct"/>
          </w:tcPr>
          <w:p w14:paraId="3D22D375" w14:textId="4D37B78F" w:rsidR="00637054" w:rsidRPr="008E2CDA" w:rsidRDefault="00637054" w:rsidP="008E2CDA">
            <w:pPr>
              <w:jc w:val="both"/>
              <w:rPr>
                <w:sz w:val="24"/>
                <w:szCs w:val="24"/>
                <w:rFonts w:cstheme="minorHAnsi"/>
              </w:rPr>
            </w:pPr>
            <w:r>
              <w:rPr>
                <w:sz w:val="24"/>
              </w:rPr>
              <w:t xml:space="preserve">[având în vedere observația Comisiei Europene ca urmare a comunicării......... din...............,]</w:t>
            </w:r>
          </w:p>
          <w:p w14:paraId="0305C9B8" w14:textId="77777777" w:rsidR="00637054" w:rsidRPr="007E74AA" w:rsidRDefault="00637054" w:rsidP="006A06A1">
            <w:pPr>
              <w:jc w:val="both"/>
              <w:rPr>
                <w:rFonts w:cstheme="minorHAnsi"/>
                <w:sz w:val="24"/>
                <w:szCs w:val="24"/>
                <w:lang w:val="fr-BE"/>
              </w:rPr>
            </w:pPr>
          </w:p>
        </w:tc>
      </w:tr>
      <w:tr w:rsidR="00637054" w:rsidRPr="002A14A1" w14:paraId="2E0BC802" w14:textId="77777777" w:rsidTr="00637054">
        <w:tc>
          <w:tcPr>
            <w:tcW w:w="5000" w:type="pct"/>
          </w:tcPr>
          <w:p w14:paraId="39345ABB" w14:textId="77777777" w:rsidR="00637054" w:rsidRDefault="00637054" w:rsidP="006A06A1">
            <w:pPr>
              <w:jc w:val="both"/>
              <w:rPr>
                <w:sz w:val="24"/>
                <w:szCs w:val="24"/>
                <w:rFonts w:cstheme="minorHAnsi"/>
              </w:rPr>
            </w:pPr>
            <w:r>
              <w:rPr>
                <w:sz w:val="24"/>
              </w:rPr>
              <w:t xml:space="preserve">având în vedere avizul Consiliului de Stat emis la..., în conformitate cu articolul 84 alineatul (1) punctul 1 subpunctul 2 din legile Consiliului de Stat, consolidate la 12 ianuarie 1973,</w:t>
            </w:r>
          </w:p>
          <w:p w14:paraId="0AB71E22" w14:textId="77777777" w:rsidR="00D03240" w:rsidRPr="007E74AA" w:rsidRDefault="00D03240" w:rsidP="006A06A1">
            <w:pPr>
              <w:jc w:val="both"/>
              <w:rPr>
                <w:rFonts w:cstheme="minorHAnsi"/>
                <w:sz w:val="24"/>
                <w:szCs w:val="24"/>
                <w:lang w:val="fr-BE"/>
              </w:rPr>
            </w:pPr>
          </w:p>
        </w:tc>
      </w:tr>
      <w:tr w:rsidR="00637054" w:rsidRPr="002A14A1" w14:paraId="7D1CA293" w14:textId="77777777" w:rsidTr="00637054">
        <w:tc>
          <w:tcPr>
            <w:tcW w:w="5000" w:type="pct"/>
          </w:tcPr>
          <w:p w14:paraId="1AE5CE00" w14:textId="16AB0039" w:rsidR="00637054" w:rsidRPr="00D03240" w:rsidRDefault="00637054" w:rsidP="006A06A1">
            <w:pPr>
              <w:jc w:val="both"/>
              <w:rPr>
                <w:bCs/>
                <w:sz w:val="24"/>
                <w:szCs w:val="24"/>
                <w:rFonts w:cstheme="minorHAnsi"/>
              </w:rPr>
            </w:pPr>
            <w:r>
              <w:rPr>
                <w:sz w:val="24"/>
              </w:rPr>
              <w:t xml:space="preserve">la propunerea ministrului economiei, a ministrului finanțelor, a ministrului sănătății publice, a ministrului justiției, a ministrului afacerilor interne și a secretarului de stat pentru loteria de stat,</w:t>
            </w:r>
            <w:r>
              <w:rPr>
                <w:sz w:val="24"/>
              </w:rPr>
              <w:t xml:space="preserve"> </w:t>
            </w:r>
          </w:p>
        </w:tc>
      </w:tr>
      <w:tr w:rsidR="00637054" w:rsidRPr="002A14A1" w14:paraId="22E41074" w14:textId="77777777" w:rsidTr="00637054">
        <w:tc>
          <w:tcPr>
            <w:tcW w:w="5000" w:type="pct"/>
          </w:tcPr>
          <w:p w14:paraId="36F0DFCE" w14:textId="77777777" w:rsidR="00637054" w:rsidRPr="00637054" w:rsidRDefault="00637054" w:rsidP="006A06A1">
            <w:pPr>
              <w:rPr>
                <w:rFonts w:cstheme="minorHAnsi"/>
                <w:sz w:val="24"/>
                <w:szCs w:val="24"/>
                <w:lang w:val="fr-BE"/>
              </w:rPr>
            </w:pPr>
          </w:p>
          <w:p w14:paraId="51C6B0E2" w14:textId="77777777" w:rsidR="00637054" w:rsidRPr="007E74AA" w:rsidRDefault="00637054" w:rsidP="006A06A1">
            <w:pPr>
              <w:jc w:val="both"/>
              <w:rPr>
                <w:sz w:val="24"/>
                <w:szCs w:val="24"/>
                <w:rFonts w:cstheme="minorHAnsi"/>
              </w:rPr>
            </w:pPr>
            <w:r>
              <w:rPr>
                <w:sz w:val="24"/>
              </w:rPr>
              <w:t xml:space="preserve">prin prezentul, am hotărât și stabilim:</w:t>
            </w:r>
          </w:p>
          <w:p w14:paraId="4E7CC024" w14:textId="77777777" w:rsidR="00637054" w:rsidRPr="007E74AA" w:rsidRDefault="00637054" w:rsidP="006A06A1">
            <w:pPr>
              <w:rPr>
                <w:rFonts w:cstheme="minorHAnsi"/>
                <w:sz w:val="24"/>
                <w:szCs w:val="24"/>
                <w:lang w:val="fr-BE"/>
              </w:rPr>
            </w:pPr>
          </w:p>
        </w:tc>
      </w:tr>
      <w:tr w:rsidR="00637054" w:rsidRPr="002A14A1" w14:paraId="41ECD5E6" w14:textId="77777777" w:rsidTr="00637054">
        <w:tc>
          <w:tcPr>
            <w:tcW w:w="5000" w:type="pct"/>
          </w:tcPr>
          <w:p w14:paraId="378D31A5" w14:textId="3FC522BD" w:rsidR="00637054" w:rsidRDefault="00637054" w:rsidP="00B32109">
            <w:pPr>
              <w:jc w:val="both"/>
              <w:rPr>
                <w:b/>
                <w:sz w:val="24"/>
                <w:szCs w:val="24"/>
                <w:rFonts w:cstheme="minorHAnsi"/>
              </w:rPr>
            </w:pPr>
            <w:r>
              <w:rPr>
                <w:b/>
                <w:sz w:val="24"/>
              </w:rPr>
              <w:t xml:space="preserve">Capitolul 1.</w:t>
            </w:r>
            <w:r>
              <w:rPr>
                <w:b/>
                <w:sz w:val="24"/>
              </w:rPr>
              <w:t xml:space="preserve"> </w:t>
            </w:r>
            <w:r>
              <w:rPr>
                <w:b/>
                <w:sz w:val="24"/>
              </w:rPr>
              <w:t xml:space="preserve">–</w:t>
            </w:r>
            <w:r>
              <w:rPr>
                <w:b/>
                <w:sz w:val="24"/>
              </w:rPr>
              <w:t xml:space="preserve">  </w:t>
            </w:r>
            <w:r>
              <w:rPr>
                <w:b/>
                <w:sz w:val="24"/>
              </w:rPr>
              <w:t xml:space="preserve">Domeniu de aplicare și definiții</w:t>
            </w:r>
          </w:p>
          <w:p w14:paraId="473B1DA3" w14:textId="5E802A15" w:rsidR="00637054" w:rsidRPr="007E74AA" w:rsidRDefault="00637054" w:rsidP="00C13767">
            <w:pPr>
              <w:rPr>
                <w:rFonts w:cstheme="minorHAnsi"/>
                <w:b/>
                <w:sz w:val="24"/>
                <w:szCs w:val="24"/>
                <w:lang w:val="fr-BE"/>
              </w:rPr>
            </w:pPr>
          </w:p>
        </w:tc>
      </w:tr>
      <w:tr w:rsidR="00637054" w:rsidRPr="002A14A1" w14:paraId="18216AE9" w14:textId="77777777" w:rsidTr="00637054">
        <w:tc>
          <w:tcPr>
            <w:tcW w:w="5000" w:type="pct"/>
          </w:tcPr>
          <w:p w14:paraId="08448157" w14:textId="36A706B0" w:rsidR="00637054" w:rsidRPr="007E74AA" w:rsidRDefault="00637054" w:rsidP="00E75378">
            <w:pPr>
              <w:jc w:val="both"/>
              <w:rPr>
                <w:sz w:val="24"/>
                <w:szCs w:val="24"/>
                <w:rFonts w:cstheme="minorHAnsi"/>
              </w:rPr>
            </w:pPr>
            <w:r>
              <w:rPr>
                <w:sz w:val="24"/>
                <w:b/>
              </w:rPr>
              <w:t xml:space="preserve">Articolul 1</w:t>
            </w:r>
            <w:r>
              <w:rPr>
                <w:sz w:val="24"/>
                <w:b/>
              </w:rPr>
              <w:t xml:space="preserve"> </w:t>
            </w:r>
            <w:r>
              <w:rPr>
                <w:sz w:val="24"/>
              </w:rPr>
              <w:t xml:space="preserve">Sub rezerva Decretului regal din 22 decembrie 2010 de stabilire a condițiilor de plasare a pariurilor în afara unităților de jocuri de noroc din clasa IV, prezentul decret se aplică titularilor de licențe pentru jocurile de noroc din clasele A, A+, B, B+, F1, F1+, F2 și E.</w:t>
            </w:r>
            <w:r>
              <w:rPr>
                <w:sz w:val="24"/>
              </w:rPr>
              <w:t xml:space="preserve"> </w:t>
            </w:r>
          </w:p>
          <w:p w14:paraId="4722ABB0" w14:textId="65B9222D" w:rsidR="00637054" w:rsidRPr="007E74AA" w:rsidRDefault="00637054" w:rsidP="00C13767">
            <w:pPr>
              <w:jc w:val="both"/>
              <w:rPr>
                <w:rFonts w:cstheme="minorHAnsi"/>
                <w:sz w:val="24"/>
                <w:szCs w:val="24"/>
                <w:lang w:val="fr-BE"/>
              </w:rPr>
            </w:pPr>
          </w:p>
        </w:tc>
      </w:tr>
      <w:tr w:rsidR="00637054" w:rsidRPr="002A14A1" w14:paraId="68B90E4E" w14:textId="77777777" w:rsidTr="00637054">
        <w:tc>
          <w:tcPr>
            <w:tcW w:w="5000" w:type="pct"/>
          </w:tcPr>
          <w:p w14:paraId="08BA28BA" w14:textId="569756A2" w:rsidR="00637054" w:rsidRPr="00534525" w:rsidRDefault="00637054" w:rsidP="00E75378">
            <w:pPr>
              <w:jc w:val="both"/>
              <w:rPr>
                <w:sz w:val="24"/>
                <w:szCs w:val="24"/>
                <w:rFonts w:cstheme="minorHAnsi"/>
              </w:rPr>
            </w:pPr>
            <w:r>
              <w:rPr>
                <w:sz w:val="24"/>
              </w:rPr>
              <w:t xml:space="preserve">Numai titularii de licențe menționați la alineatul (1) pot face publicitate în condițiile stabilite în prezentul decret.</w:t>
            </w:r>
            <w:r>
              <w:rPr>
                <w:sz w:val="24"/>
              </w:rPr>
              <w:t xml:space="preserve"> </w:t>
            </w:r>
          </w:p>
        </w:tc>
      </w:tr>
      <w:tr w:rsidR="00637054" w:rsidRPr="002A14A1" w14:paraId="08D99EE3" w14:textId="77777777" w:rsidTr="00637054">
        <w:tc>
          <w:tcPr>
            <w:tcW w:w="5000" w:type="pct"/>
          </w:tcPr>
          <w:p w14:paraId="63DF4EA9" w14:textId="73952555" w:rsidR="00637054" w:rsidRPr="007E74AA" w:rsidRDefault="00637054" w:rsidP="00E75378">
            <w:pPr>
              <w:jc w:val="both"/>
              <w:rPr>
                <w:rFonts w:cstheme="minorHAnsi"/>
                <w:b/>
                <w:sz w:val="24"/>
                <w:szCs w:val="24"/>
                <w:lang w:val="fr-BE"/>
              </w:rPr>
            </w:pPr>
          </w:p>
        </w:tc>
      </w:tr>
      <w:tr w:rsidR="00637054" w:rsidRPr="002A14A1" w14:paraId="44A9C003" w14:textId="77777777" w:rsidTr="00637054">
        <w:tc>
          <w:tcPr>
            <w:tcW w:w="5000" w:type="pct"/>
          </w:tcPr>
          <w:p w14:paraId="5DAF5D39" w14:textId="7FCD75F5" w:rsidR="00637054" w:rsidRDefault="00637054" w:rsidP="003571B5">
            <w:pPr>
              <w:jc w:val="both"/>
              <w:rPr>
                <w:sz w:val="24"/>
                <w:szCs w:val="24"/>
                <w:rFonts w:cstheme="minorHAnsi"/>
              </w:rPr>
            </w:pPr>
            <w:r>
              <w:rPr>
                <w:sz w:val="24"/>
                <w:b/>
              </w:rPr>
              <w:t xml:space="preserve">Articolul 2</w:t>
            </w:r>
            <w:r>
              <w:rPr>
                <w:sz w:val="24"/>
                <w:b/>
              </w:rPr>
              <w:t xml:space="preserve"> </w:t>
            </w:r>
            <w:r>
              <w:rPr>
                <w:sz w:val="24"/>
              </w:rPr>
              <w:t xml:space="preserve">Sunt permise numai formele de publicitate menționate în capitolul 2.</w:t>
            </w:r>
            <w:r>
              <w:rPr>
                <w:sz w:val="24"/>
              </w:rPr>
              <w:t xml:space="preserve"> </w:t>
            </w:r>
          </w:p>
          <w:p w14:paraId="2C39E8EE" w14:textId="3B48C1CC" w:rsidR="00637054" w:rsidRPr="007E74AA" w:rsidRDefault="00637054" w:rsidP="003571B5">
            <w:pPr>
              <w:jc w:val="both"/>
              <w:rPr>
                <w:rFonts w:cstheme="minorHAnsi"/>
                <w:sz w:val="24"/>
                <w:szCs w:val="24"/>
                <w:lang w:val="fr-BE"/>
              </w:rPr>
            </w:pPr>
          </w:p>
        </w:tc>
      </w:tr>
      <w:tr w:rsidR="00637054" w:rsidRPr="002A14A1" w14:paraId="6F30576E" w14:textId="77777777" w:rsidTr="00637054">
        <w:tc>
          <w:tcPr>
            <w:tcW w:w="5000" w:type="pct"/>
          </w:tcPr>
          <w:p w14:paraId="09A481BD" w14:textId="77777777" w:rsidR="00637054" w:rsidRDefault="00637054" w:rsidP="003571B5">
            <w:pPr>
              <w:jc w:val="both"/>
              <w:rPr>
                <w:sz w:val="24"/>
                <w:szCs w:val="24"/>
                <w:rFonts w:cstheme="minorHAnsi"/>
              </w:rPr>
            </w:pPr>
            <w:r>
              <w:rPr>
                <w:sz w:val="24"/>
                <w:b/>
              </w:rPr>
              <w:t xml:space="preserve">Articolul 3</w:t>
            </w:r>
            <w:r>
              <w:rPr>
                <w:sz w:val="24"/>
              </w:rPr>
              <w:t xml:space="preserve"> </w:t>
            </w:r>
            <w:r>
              <w:rPr>
                <w:sz w:val="24"/>
              </w:rPr>
              <w:t xml:space="preserve">În sensul prezentului decret, se aplică definiţiile următoare:</w:t>
            </w:r>
          </w:p>
          <w:p w14:paraId="773CB673" w14:textId="19FE086D" w:rsidR="00D03240" w:rsidRPr="00B4224D" w:rsidRDefault="00D03240" w:rsidP="003571B5">
            <w:pPr>
              <w:jc w:val="both"/>
              <w:rPr>
                <w:rFonts w:cstheme="minorHAnsi"/>
                <w:sz w:val="24"/>
                <w:szCs w:val="24"/>
                <w:lang w:val="fr-BE"/>
              </w:rPr>
            </w:pPr>
          </w:p>
        </w:tc>
      </w:tr>
      <w:tr w:rsidR="00637054" w:rsidRPr="002A14A1" w14:paraId="5CC85765" w14:textId="77777777" w:rsidTr="00637054">
        <w:tc>
          <w:tcPr>
            <w:tcW w:w="5000" w:type="pct"/>
          </w:tcPr>
          <w:p w14:paraId="375732BB" w14:textId="7292217B" w:rsidR="00637054" w:rsidRDefault="00637054" w:rsidP="003571B5">
            <w:pPr>
              <w:jc w:val="both"/>
              <w:rPr>
                <w:sz w:val="24"/>
                <w:szCs w:val="24"/>
                <w:rFonts w:cstheme="minorHAnsi"/>
              </w:rPr>
            </w:pPr>
            <w:r>
              <w:rPr>
                <w:sz w:val="24"/>
              </w:rPr>
              <w:t xml:space="preserve">1.</w:t>
            </w:r>
            <w:r>
              <w:rPr>
                <w:sz w:val="24"/>
              </w:rPr>
              <w:t xml:space="preserve"> </w:t>
            </w:r>
            <w:r>
              <w:rPr>
                <w:sz w:val="24"/>
              </w:rPr>
              <w:t xml:space="preserve">„Legea privind jocurile de noroc”: Legea din 7 mai 1999 privind jocurile de noroc, pariurile, unitățile de jocuri de noroc și protecția jucătorilor;</w:t>
            </w:r>
          </w:p>
          <w:p w14:paraId="0F4ECAD7" w14:textId="73B445BB" w:rsidR="00637054" w:rsidRPr="00B4224D" w:rsidRDefault="00637054" w:rsidP="003571B5">
            <w:pPr>
              <w:jc w:val="both"/>
              <w:rPr>
                <w:rFonts w:cstheme="minorHAnsi"/>
                <w:sz w:val="24"/>
                <w:szCs w:val="24"/>
                <w:lang w:val="fr-BE"/>
              </w:rPr>
            </w:pPr>
          </w:p>
        </w:tc>
      </w:tr>
      <w:tr w:rsidR="00637054" w:rsidRPr="002A14A1" w14:paraId="785F70B0" w14:textId="77777777" w:rsidTr="00637054">
        <w:tc>
          <w:tcPr>
            <w:tcW w:w="5000" w:type="pct"/>
          </w:tcPr>
          <w:p w14:paraId="2741FB8A" w14:textId="4A650CB5" w:rsidR="00637054" w:rsidRDefault="00637054" w:rsidP="00140C7E">
            <w:pPr>
              <w:jc w:val="both"/>
              <w:rPr>
                <w:sz w:val="24"/>
                <w:szCs w:val="24"/>
                <w:rFonts w:cstheme="minorHAnsi"/>
              </w:rPr>
            </w:pPr>
            <w:r>
              <w:rPr>
                <w:sz w:val="24"/>
              </w:rPr>
              <w:t xml:space="preserve">2.</w:t>
            </w:r>
            <w:r>
              <w:rPr>
                <w:sz w:val="24"/>
              </w:rPr>
              <w:t xml:space="preserve"> </w:t>
            </w:r>
            <w:r>
              <w:rPr>
                <w:sz w:val="24"/>
              </w:rPr>
              <w:t xml:space="preserve">„jocuri de noroc”: jocurile de noroc menționate la articolul 2 alineatul (1) din Legea privind jocurile de noroc;</w:t>
            </w:r>
          </w:p>
          <w:p w14:paraId="5080CDAE" w14:textId="295B9B2D" w:rsidR="00637054" w:rsidRPr="00B4224D" w:rsidRDefault="00637054" w:rsidP="00140C7E">
            <w:pPr>
              <w:jc w:val="both"/>
              <w:rPr>
                <w:sz w:val="24"/>
                <w:szCs w:val="24"/>
                <w:rFonts w:cstheme="minorHAnsi"/>
              </w:rPr>
            </w:pPr>
            <w:r>
              <w:rPr>
                <w:sz w:val="24"/>
              </w:rPr>
              <w:t xml:space="preserve"> </w:t>
            </w:r>
          </w:p>
        </w:tc>
      </w:tr>
      <w:tr w:rsidR="00637054" w:rsidRPr="002A14A1" w14:paraId="54E30AA7" w14:textId="77777777" w:rsidTr="00637054">
        <w:tc>
          <w:tcPr>
            <w:tcW w:w="5000" w:type="pct"/>
          </w:tcPr>
          <w:p w14:paraId="4AB4ACE2" w14:textId="7C762FBE" w:rsidR="00637054" w:rsidRPr="0018748B" w:rsidRDefault="00637054" w:rsidP="003571B5">
            <w:pPr>
              <w:jc w:val="both"/>
              <w:rPr>
                <w:sz w:val="24"/>
                <w:szCs w:val="24"/>
                <w:rFonts w:cstheme="minorHAnsi"/>
              </w:rPr>
            </w:pPr>
            <w:r>
              <w:rPr>
                <w:sz w:val="24"/>
              </w:rPr>
              <w:t xml:space="preserve">3.</w:t>
            </w:r>
            <w:r>
              <w:rPr>
                <w:sz w:val="24"/>
              </w:rPr>
              <w:t xml:space="preserve"> </w:t>
            </w:r>
            <w:r>
              <w:rPr>
                <w:sz w:val="24"/>
              </w:rPr>
              <w:t xml:space="preserve">„publicitate”: orice formă de comunicare sau acțiune, alta decât cea menționată la articolul 60 alineatul (2) al doilea paragraf din Legea privind jocurile de noroc, care are ca scop direct sau indirect promovarea jocurilor de noroc sau câștigarea reputației, indiferent de locul, mijloacele de comunicare aplicate sau tehnicile utilizate.</w:t>
            </w:r>
            <w:r>
              <w:t xml:space="preserve"> </w:t>
            </w:r>
            <w:r>
              <w:rPr>
                <w:sz w:val="24"/>
              </w:rPr>
              <w:t xml:space="preserve">În sensul prezentului decret, aplicarea mărcii sau a logo-ului sau ambele sunt considerate publicitate;</w:t>
            </w:r>
          </w:p>
          <w:p w14:paraId="03B1BE6D" w14:textId="47EC7970" w:rsidR="00637054" w:rsidRPr="0018748B" w:rsidRDefault="00637054" w:rsidP="003571B5">
            <w:pPr>
              <w:jc w:val="both"/>
              <w:rPr>
                <w:rFonts w:cstheme="minorHAnsi"/>
                <w:sz w:val="24"/>
                <w:szCs w:val="24"/>
                <w:lang w:val="fr-BE"/>
              </w:rPr>
            </w:pPr>
          </w:p>
        </w:tc>
      </w:tr>
      <w:tr w:rsidR="00637054" w:rsidRPr="002A14A1" w14:paraId="77CFE541" w14:textId="77777777" w:rsidTr="00637054">
        <w:tc>
          <w:tcPr>
            <w:tcW w:w="5000" w:type="pct"/>
          </w:tcPr>
          <w:p w14:paraId="35B2F97B" w14:textId="16BB1C23" w:rsidR="00637054" w:rsidRDefault="00637054" w:rsidP="00DE7645">
            <w:pPr>
              <w:jc w:val="both"/>
              <w:rPr>
                <w:sz w:val="24"/>
                <w:szCs w:val="24"/>
                <w:rFonts w:cstheme="minorHAnsi"/>
              </w:rPr>
            </w:pPr>
            <w:r>
              <w:rPr>
                <w:sz w:val="24"/>
              </w:rPr>
              <w:t xml:space="preserve">4.</w:t>
            </w:r>
            <w:r>
              <w:rPr>
                <w:sz w:val="24"/>
              </w:rPr>
              <w:t xml:space="preserve"> </w:t>
            </w:r>
            <w:r>
              <w:rPr>
                <w:sz w:val="24"/>
              </w:rPr>
              <w:t xml:space="preserve">„sponsorizare”: sprijinirea cluburilor sportive profesionale și a evenimentelor sportive, oferindu-le resurse financiare sau alte forme de sprijin pentru a obține mai multă vizibilitate, fără ca marca sau sigla titularului de licență menționat la articolul 1 să fie utilizate în numele clubului sportiv sau al evenimentului sportiv.</w:t>
            </w:r>
            <w:r>
              <w:rPr>
                <w:sz w:val="24"/>
              </w:rPr>
              <w:t xml:space="preserve"> </w:t>
            </w:r>
            <w:r>
              <w:rPr>
                <w:sz w:val="24"/>
              </w:rPr>
              <w:t xml:space="preserve">În sensul prezentului decret, sponsorizarea este considerată publicitate;</w:t>
            </w:r>
          </w:p>
          <w:p w14:paraId="6589F02D" w14:textId="2BFD8756" w:rsidR="00637054" w:rsidRDefault="00637054" w:rsidP="00DE7645">
            <w:pPr>
              <w:jc w:val="both"/>
              <w:rPr>
                <w:rFonts w:cstheme="minorHAnsi"/>
                <w:sz w:val="24"/>
                <w:szCs w:val="24"/>
                <w:lang w:val="fr-BE"/>
              </w:rPr>
            </w:pPr>
          </w:p>
        </w:tc>
      </w:tr>
      <w:tr w:rsidR="00637054" w:rsidRPr="002A14A1" w14:paraId="389EA8FA" w14:textId="77777777" w:rsidTr="00637054">
        <w:tc>
          <w:tcPr>
            <w:tcW w:w="5000" w:type="pct"/>
          </w:tcPr>
          <w:p w14:paraId="0AB7AFFE" w14:textId="1C644ACB" w:rsidR="00637054" w:rsidRDefault="00637054" w:rsidP="00DE7645">
            <w:pPr>
              <w:jc w:val="both"/>
              <w:rPr>
                <w:sz w:val="24"/>
                <w:szCs w:val="24"/>
                <w:rFonts w:cstheme="minorHAnsi"/>
              </w:rPr>
            </w:pPr>
            <w:r>
              <w:rPr>
                <w:sz w:val="24"/>
              </w:rPr>
              <w:t xml:space="preserve">5.</w:t>
            </w:r>
            <w:r>
              <w:rPr>
                <w:sz w:val="24"/>
              </w:rPr>
              <w:t xml:space="preserve"> </w:t>
            </w:r>
            <w:r>
              <w:rPr>
                <w:sz w:val="24"/>
              </w:rPr>
              <w:t xml:space="preserve">„marcă”: combinația de maximum trei cuvinte care să permită diferențierea titularilor de licență menționați la articolul 1;</w:t>
            </w:r>
          </w:p>
          <w:p w14:paraId="449238ED" w14:textId="78112BD8" w:rsidR="00637054" w:rsidRPr="00140C7E" w:rsidRDefault="00637054" w:rsidP="00DE7645">
            <w:pPr>
              <w:jc w:val="both"/>
              <w:rPr>
                <w:rFonts w:cstheme="minorHAnsi"/>
                <w:sz w:val="24"/>
                <w:szCs w:val="24"/>
                <w:lang w:val="fr-BE"/>
              </w:rPr>
            </w:pPr>
          </w:p>
        </w:tc>
      </w:tr>
      <w:tr w:rsidR="00637054" w:rsidRPr="002A14A1" w14:paraId="5C39E67F" w14:textId="77777777" w:rsidTr="00637054">
        <w:tc>
          <w:tcPr>
            <w:tcW w:w="5000" w:type="pct"/>
          </w:tcPr>
          <w:p w14:paraId="4F5503AA" w14:textId="1616B841" w:rsidR="00637054" w:rsidRDefault="00637054" w:rsidP="00DE7645">
            <w:pPr>
              <w:jc w:val="both"/>
              <w:rPr>
                <w:sz w:val="24"/>
                <w:szCs w:val="24"/>
                <w:rFonts w:cstheme="minorHAnsi"/>
              </w:rPr>
            </w:pPr>
            <w:r>
              <w:rPr>
                <w:sz w:val="24"/>
              </w:rPr>
              <w:t xml:space="preserve">6.</w:t>
            </w:r>
            <w:r>
              <w:rPr>
                <w:sz w:val="24"/>
              </w:rPr>
              <w:t xml:space="preserve"> </w:t>
            </w:r>
            <w:r>
              <w:rPr>
                <w:sz w:val="24"/>
              </w:rPr>
              <w:t xml:space="preserve">„logo”: element figurativ sau semifigurativ care permite diferențierea titularilor de licență</w:t>
            </w:r>
            <w:r>
              <w:t xml:space="preserve"> </w:t>
            </w:r>
            <w:r>
              <w:rPr>
                <w:sz w:val="24"/>
              </w:rPr>
              <w:t xml:space="preserve">menționați la articolul 1.</w:t>
            </w:r>
          </w:p>
          <w:p w14:paraId="358C237B" w14:textId="4AE11ED0" w:rsidR="00637054" w:rsidRPr="003933AD" w:rsidRDefault="00637054" w:rsidP="00DE7645">
            <w:pPr>
              <w:jc w:val="both"/>
              <w:rPr>
                <w:rFonts w:cstheme="minorHAnsi"/>
                <w:sz w:val="24"/>
                <w:szCs w:val="24"/>
                <w:lang w:val="fr-BE"/>
              </w:rPr>
            </w:pPr>
          </w:p>
        </w:tc>
      </w:tr>
      <w:tr w:rsidR="00637054" w:rsidRPr="002A14A1" w14:paraId="11351690" w14:textId="77777777" w:rsidTr="00637054">
        <w:tc>
          <w:tcPr>
            <w:tcW w:w="5000" w:type="pct"/>
          </w:tcPr>
          <w:p w14:paraId="6BCC21AF" w14:textId="003B6779" w:rsidR="00637054" w:rsidRDefault="00637054" w:rsidP="00540FD7">
            <w:pPr>
              <w:jc w:val="both"/>
              <w:rPr>
                <w:rFonts w:cstheme="minorHAnsi"/>
                <w:sz w:val="24"/>
                <w:szCs w:val="24"/>
                <w:lang w:val="fr-BE"/>
              </w:rPr>
            </w:pPr>
          </w:p>
        </w:tc>
      </w:tr>
      <w:tr w:rsidR="00637054" w:rsidRPr="00637054" w14:paraId="09193E9B" w14:textId="77777777" w:rsidTr="00637054">
        <w:tc>
          <w:tcPr>
            <w:tcW w:w="5000" w:type="pct"/>
          </w:tcPr>
          <w:p w14:paraId="7DFC31E4" w14:textId="77777777" w:rsidR="00637054" w:rsidRDefault="00637054" w:rsidP="009847B5">
            <w:pPr>
              <w:jc w:val="both"/>
              <w:rPr>
                <w:b/>
                <w:sz w:val="24"/>
                <w:szCs w:val="24"/>
                <w:rFonts w:cstheme="minorHAnsi"/>
              </w:rPr>
            </w:pPr>
            <w:r>
              <w:rPr>
                <w:b/>
                <w:sz w:val="24"/>
              </w:rPr>
              <w:t xml:space="preserve">Capitolul 2.</w:t>
            </w:r>
            <w:r>
              <w:rPr>
                <w:b/>
                <w:sz w:val="24"/>
              </w:rPr>
              <w:t xml:space="preserve"> </w:t>
            </w:r>
            <w:r>
              <w:rPr>
                <w:b/>
                <w:sz w:val="24"/>
              </w:rPr>
              <w:t xml:space="preserve">–</w:t>
            </w:r>
            <w:r>
              <w:rPr>
                <w:b/>
                <w:sz w:val="24"/>
              </w:rPr>
              <w:t xml:space="preserve">  </w:t>
            </w:r>
            <w:r>
              <w:rPr>
                <w:b/>
                <w:sz w:val="24"/>
              </w:rPr>
              <w:t xml:space="preserve">Forme de publicitate autorizată</w:t>
            </w:r>
            <w:r>
              <w:rPr>
                <w:b/>
                <w:sz w:val="24"/>
              </w:rPr>
              <w:t xml:space="preserve"> </w:t>
            </w:r>
          </w:p>
          <w:p w14:paraId="748E106E" w14:textId="061F8F69" w:rsidR="00D03240" w:rsidRPr="0031496D" w:rsidRDefault="00D03240" w:rsidP="009847B5">
            <w:pPr>
              <w:jc w:val="both"/>
              <w:rPr>
                <w:rFonts w:cstheme="minorHAnsi"/>
                <w:sz w:val="24"/>
                <w:szCs w:val="24"/>
                <w:lang w:val="fr-BE"/>
              </w:rPr>
            </w:pPr>
          </w:p>
        </w:tc>
      </w:tr>
      <w:tr w:rsidR="00637054" w:rsidRPr="002A14A1" w14:paraId="7FE200DB" w14:textId="77777777" w:rsidTr="00637054">
        <w:tc>
          <w:tcPr>
            <w:tcW w:w="5000" w:type="pct"/>
          </w:tcPr>
          <w:p w14:paraId="6E850371" w14:textId="39B06383" w:rsidR="00637054" w:rsidRPr="00655BC8" w:rsidRDefault="00637054" w:rsidP="007F5CDD">
            <w:pPr>
              <w:jc w:val="both"/>
              <w:rPr>
                <w:sz w:val="24"/>
                <w:szCs w:val="24"/>
                <w:rFonts w:cstheme="minorHAnsi"/>
              </w:rPr>
            </w:pPr>
            <w:r>
              <w:rPr>
                <w:sz w:val="24"/>
                <w:b/>
              </w:rPr>
              <w:t xml:space="preserve">Articolul 4</w:t>
            </w:r>
            <w:r>
              <w:rPr>
                <w:sz w:val="24"/>
              </w:rPr>
              <w:t xml:space="preserve"> </w:t>
            </w:r>
            <w:r>
              <w:rPr>
                <w:sz w:val="24"/>
              </w:rPr>
              <w:t xml:space="preserve">Titularii de licențe menționați la articolul 1 pot face publicitate pentru ei înșiși și pentru serviciile de jocuri de noroc pe care le prestează, cu condiția ca acestea să fie destinate exclusiv persoanelor care lucrează în sectorul jocurilor de noroc.</w:t>
            </w:r>
            <w:r>
              <w:rPr>
                <w:sz w:val="24"/>
              </w:rPr>
              <w:t xml:space="preserve"> </w:t>
            </w:r>
          </w:p>
        </w:tc>
      </w:tr>
      <w:tr w:rsidR="00637054" w:rsidRPr="002A14A1" w14:paraId="768FE52F" w14:textId="77777777" w:rsidTr="00637054">
        <w:tc>
          <w:tcPr>
            <w:tcW w:w="5000" w:type="pct"/>
          </w:tcPr>
          <w:p w14:paraId="24AF5D02" w14:textId="77777777" w:rsidR="00637054" w:rsidRPr="00F1255A" w:rsidRDefault="00637054" w:rsidP="00DE7645">
            <w:pPr>
              <w:jc w:val="both"/>
              <w:rPr>
                <w:rFonts w:cstheme="minorHAnsi"/>
                <w:b/>
                <w:sz w:val="24"/>
                <w:szCs w:val="24"/>
                <w:lang w:val="fr-BE"/>
              </w:rPr>
            </w:pPr>
          </w:p>
        </w:tc>
      </w:tr>
      <w:tr w:rsidR="00637054" w:rsidRPr="002A14A1" w14:paraId="6D982EE1" w14:textId="77777777" w:rsidTr="00637054">
        <w:tc>
          <w:tcPr>
            <w:tcW w:w="5000" w:type="pct"/>
          </w:tcPr>
          <w:p w14:paraId="26CBA57B" w14:textId="255BCEEB" w:rsidR="00637054" w:rsidRPr="00A74CAA" w:rsidRDefault="00637054" w:rsidP="003D6ADE">
            <w:pPr>
              <w:jc w:val="both"/>
              <w:rPr>
                <w:sz w:val="24"/>
                <w:szCs w:val="24"/>
                <w:rFonts w:cstheme="minorHAnsi"/>
              </w:rPr>
            </w:pPr>
            <w:r>
              <w:rPr>
                <w:sz w:val="24"/>
                <w:b/>
              </w:rPr>
              <w:t xml:space="preserve">Articolul 5</w:t>
            </w:r>
            <w:r>
              <w:rPr>
                <w:sz w:val="24"/>
              </w:rPr>
              <w:t xml:space="preserve"> </w:t>
            </w:r>
            <w:r>
              <w:rPr>
                <w:sz w:val="24"/>
              </w:rPr>
              <w:t xml:space="preserve">Pentru titularii de licențe menționați la articolul 1, este autorizată publicitatea ocazională în legătură cu reportajele despre competițiile și evenimentele sportive.</w:t>
            </w:r>
          </w:p>
        </w:tc>
      </w:tr>
      <w:tr w:rsidR="00637054" w:rsidRPr="002A14A1" w14:paraId="1754F9A5" w14:textId="77777777" w:rsidTr="00637054">
        <w:tc>
          <w:tcPr>
            <w:tcW w:w="5000" w:type="pct"/>
          </w:tcPr>
          <w:p w14:paraId="2F48CFB4" w14:textId="77777777" w:rsidR="00637054" w:rsidRPr="00F1255A" w:rsidRDefault="00637054" w:rsidP="00DE7645">
            <w:pPr>
              <w:jc w:val="both"/>
              <w:rPr>
                <w:rFonts w:cstheme="minorHAnsi"/>
                <w:b/>
                <w:sz w:val="24"/>
                <w:szCs w:val="24"/>
                <w:lang w:val="fr-BE"/>
              </w:rPr>
            </w:pPr>
          </w:p>
        </w:tc>
      </w:tr>
      <w:tr w:rsidR="00637054" w:rsidRPr="002A14A1" w14:paraId="0D55B84B" w14:textId="77777777" w:rsidTr="00637054">
        <w:tc>
          <w:tcPr>
            <w:tcW w:w="5000" w:type="pct"/>
          </w:tcPr>
          <w:p w14:paraId="5B3CBFE7" w14:textId="5FE68A38" w:rsidR="00637054" w:rsidRDefault="00637054" w:rsidP="00DE7645">
            <w:pPr>
              <w:jc w:val="both"/>
              <w:rPr>
                <w:sz w:val="24"/>
                <w:szCs w:val="24"/>
                <w:rFonts w:cstheme="minorHAnsi"/>
              </w:rPr>
            </w:pPr>
            <w:r>
              <w:rPr>
                <w:sz w:val="24"/>
                <w:b/>
              </w:rPr>
              <w:t xml:space="preserve">Articolul 6</w:t>
            </w:r>
            <w:r>
              <w:rPr>
                <w:sz w:val="24"/>
              </w:rPr>
              <w:t xml:space="preserve"> </w:t>
            </w:r>
            <w:r>
              <w:rPr>
                <w:sz w:val="24"/>
              </w:rPr>
              <w:t xml:space="preserve">(1)</w:t>
            </w:r>
            <w:r>
              <w:rPr>
                <w:sz w:val="24"/>
              </w:rPr>
              <w:t xml:space="preserve"> </w:t>
            </w:r>
            <w:r>
              <w:rPr>
                <w:sz w:val="24"/>
              </w:rPr>
              <w:t xml:space="preserve">Titularii de licențe menționați la articolul 1 pot face publicitate pentru ei înșiși prin intermediul mărcii sau siglei lor sau prin aplicarea ambelor:</w:t>
            </w:r>
          </w:p>
          <w:p w14:paraId="1EDFDE09" w14:textId="57DF562D" w:rsidR="00637054" w:rsidRPr="00655BC8" w:rsidRDefault="00637054" w:rsidP="00DE7645">
            <w:pPr>
              <w:jc w:val="both"/>
              <w:rPr>
                <w:rFonts w:cstheme="minorHAnsi"/>
                <w:sz w:val="24"/>
                <w:szCs w:val="24"/>
                <w:lang w:val="fr-BE"/>
              </w:rPr>
            </w:pPr>
          </w:p>
        </w:tc>
      </w:tr>
      <w:tr w:rsidR="00637054" w:rsidRPr="002A14A1" w14:paraId="280BA678" w14:textId="77777777" w:rsidTr="00637054">
        <w:tc>
          <w:tcPr>
            <w:tcW w:w="5000" w:type="pct"/>
          </w:tcPr>
          <w:p w14:paraId="31FACE5B" w14:textId="57A0BE0B" w:rsidR="00637054" w:rsidRPr="00655BC8" w:rsidRDefault="00637054" w:rsidP="00DE7645">
            <w:pPr>
              <w:jc w:val="both"/>
              <w:rPr>
                <w:sz w:val="24"/>
                <w:szCs w:val="24"/>
                <w:rFonts w:cstheme="minorHAnsi"/>
              </w:rPr>
            </w:pPr>
            <w:r>
              <w:rPr>
                <w:sz w:val="24"/>
              </w:rPr>
              <w:t xml:space="preserve">1. pe îmbrăcămintea sportivă a jucătorilor sau a echipelor sportive ale cluburilor profesionale;</w:t>
            </w:r>
          </w:p>
          <w:p w14:paraId="64D059A3" w14:textId="77777777" w:rsidR="00637054" w:rsidRPr="00655BC8" w:rsidRDefault="00637054" w:rsidP="00DE7645">
            <w:pPr>
              <w:jc w:val="both"/>
              <w:rPr>
                <w:rFonts w:cstheme="minorHAnsi"/>
                <w:b/>
                <w:sz w:val="24"/>
                <w:szCs w:val="24"/>
                <w:lang w:val="fr-BE"/>
              </w:rPr>
            </w:pPr>
          </w:p>
        </w:tc>
      </w:tr>
      <w:tr w:rsidR="00637054" w:rsidRPr="002A14A1" w14:paraId="4A46AF27" w14:textId="77777777" w:rsidTr="00637054">
        <w:tc>
          <w:tcPr>
            <w:tcW w:w="5000" w:type="pct"/>
          </w:tcPr>
          <w:p w14:paraId="64CE3DCF" w14:textId="3579AF17" w:rsidR="00637054" w:rsidRPr="00004DEC" w:rsidRDefault="00637054" w:rsidP="00DE7645">
            <w:pPr>
              <w:jc w:val="both"/>
              <w:rPr>
                <w:sz w:val="24"/>
                <w:rFonts w:cstheme="minorHAnsi"/>
              </w:rPr>
            </w:pPr>
            <w:r>
              <w:rPr>
                <w:sz w:val="24"/>
              </w:rPr>
              <w:t xml:space="preserve">2. în locul în care se joacă sportul profesionist.</w:t>
            </w:r>
            <w:r>
              <w:rPr>
                <w:sz w:val="24"/>
              </w:rPr>
              <w:t xml:space="preserve">  </w:t>
            </w:r>
          </w:p>
          <w:p w14:paraId="4B59ACCA" w14:textId="13A2BA35" w:rsidR="00637054" w:rsidRPr="00004DEC" w:rsidRDefault="00637054" w:rsidP="00DE7645">
            <w:pPr>
              <w:jc w:val="both"/>
              <w:rPr>
                <w:rFonts w:cstheme="minorHAnsi"/>
                <w:sz w:val="24"/>
                <w:szCs w:val="24"/>
                <w:lang w:val="fr-BE"/>
              </w:rPr>
            </w:pPr>
          </w:p>
        </w:tc>
      </w:tr>
      <w:tr w:rsidR="00637054" w:rsidRPr="002A14A1" w14:paraId="64F09F5D" w14:textId="77777777" w:rsidTr="00637054">
        <w:tc>
          <w:tcPr>
            <w:tcW w:w="5000" w:type="pct"/>
          </w:tcPr>
          <w:p w14:paraId="73729D3A" w14:textId="391AF240" w:rsidR="00637054" w:rsidRDefault="00637054" w:rsidP="008F136E">
            <w:pPr>
              <w:jc w:val="both"/>
              <w:rPr>
                <w:sz w:val="24"/>
                <w:rFonts w:cstheme="minorHAnsi"/>
              </w:rPr>
            </w:pPr>
            <w:r>
              <w:rPr>
                <w:sz w:val="24"/>
              </w:rPr>
              <w:t xml:space="preserve">Publicitatea pentru jocurile de noroc menționată la alineatul (1) punctul 2 se aplică tuturor titularilor de licențe relevanți și nu depășește 20 % din suprafața totală dedicată tuturor anunțurilor publicitare, ocupând cel mult 70 m².</w:t>
            </w:r>
            <w:r>
              <w:rPr>
                <w:sz w:val="24"/>
              </w:rPr>
              <w:t xml:space="preserve"> </w:t>
            </w:r>
          </w:p>
          <w:p w14:paraId="1770FEEE" w14:textId="00C67C04" w:rsidR="00637054" w:rsidRPr="00D85DA8" w:rsidRDefault="00637054" w:rsidP="008F136E">
            <w:pPr>
              <w:jc w:val="both"/>
              <w:rPr>
                <w:rFonts w:cstheme="minorHAnsi"/>
                <w:sz w:val="24"/>
                <w:lang w:val="fr-BE"/>
              </w:rPr>
            </w:pPr>
          </w:p>
        </w:tc>
      </w:tr>
      <w:tr w:rsidR="00637054" w:rsidRPr="002A14A1" w14:paraId="3D3979E6" w14:textId="77777777" w:rsidTr="00637054">
        <w:tc>
          <w:tcPr>
            <w:tcW w:w="5000" w:type="pct"/>
          </w:tcPr>
          <w:p w14:paraId="67FBD971" w14:textId="2A763557" w:rsidR="00637054" w:rsidRDefault="00637054" w:rsidP="00680A7C">
            <w:pPr>
              <w:jc w:val="both"/>
              <w:rPr>
                <w:sz w:val="24"/>
                <w:rFonts w:cstheme="minorHAnsi"/>
              </w:rPr>
            </w:pPr>
            <w:r>
              <w:rPr>
                <w:sz w:val="24"/>
              </w:rPr>
              <w:t xml:space="preserve">(2)</w:t>
            </w:r>
            <w:r>
              <w:rPr>
                <w:sz w:val="24"/>
              </w:rPr>
              <w:t xml:space="preserve"> </w:t>
            </w:r>
            <w:r>
              <w:rPr>
                <w:sz w:val="24"/>
              </w:rPr>
              <w:t xml:space="preserve">Titularii de licențe menționați la articolul 1 pot difuza mesaje de sponsorizare utilizând marca sau sigla proprie sau ambele pentru următoarele evenimente:</w:t>
            </w:r>
          </w:p>
          <w:p w14:paraId="766C8BBB" w14:textId="795C60D6" w:rsidR="00637054" w:rsidRPr="006C70D4" w:rsidRDefault="00637054" w:rsidP="00680A7C">
            <w:pPr>
              <w:jc w:val="both"/>
              <w:rPr>
                <w:rFonts w:cstheme="minorHAnsi"/>
                <w:sz w:val="24"/>
                <w:lang w:val="fr-BE"/>
              </w:rPr>
            </w:pPr>
          </w:p>
        </w:tc>
      </w:tr>
      <w:tr w:rsidR="00637054" w:rsidRPr="002A14A1" w14:paraId="44E18DCF" w14:textId="77777777" w:rsidTr="00637054">
        <w:tc>
          <w:tcPr>
            <w:tcW w:w="5000" w:type="pct"/>
          </w:tcPr>
          <w:p w14:paraId="1270BA37" w14:textId="77777777" w:rsidR="00637054" w:rsidRDefault="00637054" w:rsidP="008F136E">
            <w:pPr>
              <w:jc w:val="both"/>
              <w:rPr>
                <w:sz w:val="24"/>
                <w:rFonts w:cstheme="minorHAnsi"/>
              </w:rPr>
            </w:pPr>
            <w:r>
              <w:rPr>
                <w:sz w:val="24"/>
              </w:rPr>
              <w:t xml:space="preserve">1. turnee sportive internaționale și europene;</w:t>
            </w:r>
          </w:p>
          <w:p w14:paraId="5FC93420" w14:textId="304C8638" w:rsidR="00D03240" w:rsidRPr="006C70D4" w:rsidRDefault="00D03240" w:rsidP="008F136E">
            <w:pPr>
              <w:jc w:val="both"/>
              <w:rPr>
                <w:rFonts w:cstheme="minorHAnsi"/>
                <w:sz w:val="24"/>
                <w:lang w:val="fr-BE"/>
              </w:rPr>
            </w:pPr>
          </w:p>
        </w:tc>
      </w:tr>
      <w:tr w:rsidR="00637054" w:rsidRPr="0060188E" w14:paraId="5028C4BF" w14:textId="77777777" w:rsidTr="00637054">
        <w:tc>
          <w:tcPr>
            <w:tcW w:w="5000" w:type="pct"/>
          </w:tcPr>
          <w:p w14:paraId="2D953541" w14:textId="59CC45BC" w:rsidR="00637054" w:rsidRPr="006C70D4" w:rsidRDefault="00637054" w:rsidP="00FA48D5">
            <w:pPr>
              <w:jc w:val="both"/>
              <w:rPr>
                <w:sz w:val="24"/>
                <w:rFonts w:cstheme="minorHAnsi"/>
              </w:rPr>
            </w:pPr>
            <w:r>
              <w:rPr>
                <w:sz w:val="24"/>
              </w:rPr>
              <w:t xml:space="preserve">2.</w:t>
            </w:r>
            <w:r>
              <w:rPr>
                <w:sz w:val="24"/>
              </w:rPr>
              <w:t xml:space="preserve"> </w:t>
            </w:r>
            <w:r>
              <w:rPr>
                <w:sz w:val="24"/>
              </w:rPr>
              <w:t xml:space="preserve">turnee sportive desfășurate în Belgia.</w:t>
            </w:r>
            <w:r>
              <w:rPr>
                <w:sz w:val="24"/>
              </w:rPr>
              <w:t xml:space="preserve"> </w:t>
            </w:r>
          </w:p>
        </w:tc>
      </w:tr>
      <w:tr w:rsidR="00637054" w:rsidRPr="0060188E" w14:paraId="02BAACFA" w14:textId="77777777" w:rsidTr="00637054">
        <w:tc>
          <w:tcPr>
            <w:tcW w:w="5000" w:type="pct"/>
          </w:tcPr>
          <w:p w14:paraId="695BD301" w14:textId="77777777" w:rsidR="00637054" w:rsidRPr="007F5CDD" w:rsidRDefault="00637054" w:rsidP="008F136E">
            <w:pPr>
              <w:jc w:val="both"/>
              <w:rPr>
                <w:rFonts w:cstheme="minorHAnsi"/>
                <w:sz w:val="24"/>
                <w:lang w:val="fr-BE"/>
              </w:rPr>
            </w:pPr>
          </w:p>
        </w:tc>
      </w:tr>
      <w:tr w:rsidR="00637054" w:rsidRPr="002A14A1" w14:paraId="0C87A995" w14:textId="77777777" w:rsidTr="00637054">
        <w:tc>
          <w:tcPr>
            <w:tcW w:w="5000" w:type="pct"/>
          </w:tcPr>
          <w:p w14:paraId="3AB13DB9" w14:textId="183ED575" w:rsidR="00637054" w:rsidRDefault="00637054" w:rsidP="00E35DC8">
            <w:pPr>
              <w:jc w:val="both"/>
              <w:rPr>
                <w:sz w:val="24"/>
                <w:rFonts w:cstheme="minorHAnsi"/>
              </w:rPr>
            </w:pPr>
            <w:r>
              <w:rPr>
                <w:sz w:val="24"/>
              </w:rPr>
              <w:t xml:space="preserve">Orice distribuire a unui mesaj de sponsorizare trebuie să îndeplinească următoarele condiții:</w:t>
            </w:r>
          </w:p>
          <w:p w14:paraId="52D9E734" w14:textId="648C3F84" w:rsidR="00637054" w:rsidRPr="00E35DC8" w:rsidRDefault="00637054" w:rsidP="00E35DC8">
            <w:pPr>
              <w:jc w:val="both"/>
              <w:rPr>
                <w:rFonts w:cstheme="minorHAnsi"/>
                <w:sz w:val="24"/>
                <w:lang w:val="fr-BE"/>
              </w:rPr>
            </w:pPr>
          </w:p>
        </w:tc>
      </w:tr>
      <w:tr w:rsidR="00637054" w:rsidRPr="002A14A1" w14:paraId="425383D9" w14:textId="77777777" w:rsidTr="00637054">
        <w:tc>
          <w:tcPr>
            <w:tcW w:w="5000" w:type="pct"/>
          </w:tcPr>
          <w:p w14:paraId="3C99C470" w14:textId="7DD01578" w:rsidR="00637054" w:rsidRDefault="00637054" w:rsidP="00E35DC8">
            <w:pPr>
              <w:jc w:val="both"/>
              <w:rPr>
                <w:sz w:val="24"/>
                <w:rFonts w:cstheme="minorHAnsi"/>
              </w:rPr>
            </w:pPr>
            <w:r>
              <w:rPr>
                <w:sz w:val="24"/>
              </w:rPr>
              <w:t xml:space="preserve">1. durata mesajelor de sponsorizare nu trebuie să depășească 5 secunde;</w:t>
            </w:r>
          </w:p>
          <w:p w14:paraId="317721AC" w14:textId="5F5E685C" w:rsidR="00637054" w:rsidRPr="00E35DC8" w:rsidRDefault="00637054" w:rsidP="00E35DC8">
            <w:pPr>
              <w:jc w:val="both"/>
              <w:rPr>
                <w:rFonts w:cstheme="minorHAnsi"/>
                <w:sz w:val="24"/>
                <w:lang w:val="fr-BE"/>
              </w:rPr>
            </w:pPr>
          </w:p>
        </w:tc>
      </w:tr>
      <w:tr w:rsidR="00637054" w:rsidRPr="002A14A1" w14:paraId="05E6B2A9" w14:textId="77777777" w:rsidTr="00637054">
        <w:tc>
          <w:tcPr>
            <w:tcW w:w="5000" w:type="pct"/>
          </w:tcPr>
          <w:p w14:paraId="7211DB8B" w14:textId="77777777" w:rsidR="00637054" w:rsidRDefault="00637054" w:rsidP="00E35DC8">
            <w:pPr>
              <w:jc w:val="both"/>
              <w:rPr>
                <w:sz w:val="24"/>
                <w:rFonts w:cstheme="minorHAnsi"/>
              </w:rPr>
            </w:pPr>
            <w:r>
              <w:rPr>
                <w:sz w:val="24"/>
              </w:rPr>
              <w:t xml:space="preserve">2. numărul de mesaje de sponsorizare pe oră nu este mai mare de două;</w:t>
            </w:r>
          </w:p>
          <w:p w14:paraId="39261B00" w14:textId="7B54D6F0" w:rsidR="00637054" w:rsidRPr="00E35DC8" w:rsidRDefault="00637054" w:rsidP="00E35DC8">
            <w:pPr>
              <w:jc w:val="both"/>
              <w:rPr>
                <w:rFonts w:cstheme="minorHAnsi"/>
                <w:sz w:val="24"/>
                <w:lang w:val="fr-BE"/>
              </w:rPr>
            </w:pPr>
          </w:p>
        </w:tc>
      </w:tr>
      <w:tr w:rsidR="00637054" w:rsidRPr="002A14A1" w14:paraId="14D88A5D" w14:textId="77777777" w:rsidTr="00637054">
        <w:tc>
          <w:tcPr>
            <w:tcW w:w="5000" w:type="pct"/>
          </w:tcPr>
          <w:p w14:paraId="5C07085C" w14:textId="437F0703" w:rsidR="00637054" w:rsidRPr="00E35DC8" w:rsidRDefault="00637054" w:rsidP="00E0379D">
            <w:pPr>
              <w:jc w:val="both"/>
              <w:rPr>
                <w:sz w:val="24"/>
                <w:rFonts w:cstheme="minorHAnsi"/>
              </w:rPr>
            </w:pPr>
            <w:r>
              <w:rPr>
                <w:sz w:val="24"/>
              </w:rPr>
              <w:t xml:space="preserve">3. mesajul de sponsorizare se transmite în perioada de cincisprezece minute care precedă începutul și perioada de cincisprezece minute de la raportarea în direct a competițiilor sportive, adică în perioada cuprinsă între începerea efectivă a competiției sportive în cauză difuzată în direct până la sfârșitul efectiv al competiției sportive respective.</w:t>
            </w:r>
            <w:r>
              <w:rPr>
                <w:sz w:val="24"/>
              </w:rPr>
              <w:t xml:space="preserve"> </w:t>
            </w:r>
          </w:p>
        </w:tc>
      </w:tr>
      <w:tr w:rsidR="00637054" w:rsidRPr="002A14A1" w14:paraId="43484952" w14:textId="77777777" w:rsidTr="00637054">
        <w:tc>
          <w:tcPr>
            <w:tcW w:w="5000" w:type="pct"/>
          </w:tcPr>
          <w:p w14:paraId="189C67D6" w14:textId="77777777" w:rsidR="00637054" w:rsidRPr="00A7455B" w:rsidRDefault="00637054" w:rsidP="008F136E">
            <w:pPr>
              <w:jc w:val="both"/>
              <w:rPr>
                <w:rFonts w:cstheme="minorHAnsi"/>
                <w:sz w:val="24"/>
                <w:lang w:val="fr-BE"/>
              </w:rPr>
            </w:pPr>
          </w:p>
        </w:tc>
      </w:tr>
      <w:tr w:rsidR="00637054" w:rsidRPr="002A14A1" w14:paraId="3A5DE4F2" w14:textId="77777777" w:rsidTr="00637054">
        <w:tc>
          <w:tcPr>
            <w:tcW w:w="5000" w:type="pct"/>
          </w:tcPr>
          <w:p w14:paraId="6C19EF9B" w14:textId="4310350D" w:rsidR="00637054" w:rsidRPr="00004DEC" w:rsidRDefault="00637054" w:rsidP="00DE7645">
            <w:pPr>
              <w:jc w:val="both"/>
              <w:rPr>
                <w:sz w:val="24"/>
                <w:szCs w:val="24"/>
                <w:rFonts w:cstheme="minorHAnsi"/>
              </w:rPr>
            </w:pPr>
            <w:r>
              <w:rPr>
                <w:sz w:val="24"/>
                <w:b/>
              </w:rPr>
              <w:t xml:space="preserve">Articolul 7</w:t>
            </w:r>
            <w:r>
              <w:rPr>
                <w:sz w:val="24"/>
                <w:b/>
              </w:rPr>
              <w:t xml:space="preserve"> </w:t>
            </w:r>
            <w:r>
              <w:rPr>
                <w:sz w:val="24"/>
              </w:rPr>
              <w:t xml:space="preserve">Fără a aduce atingere dispozițiilor regionale și municipale aplicabile, titularii de licențe din clasele B, F1 și F2 pot face publicitate utilizându-și marca sau sigla sau ambele, pe fațada unității lor de jocuri de noroc.</w:t>
            </w:r>
            <w:r>
              <w:rPr>
                <w:sz w:val="24"/>
              </w:rPr>
              <w:t xml:space="preserve"> </w:t>
            </w:r>
            <w:r>
              <w:rPr>
                <w:sz w:val="24"/>
              </w:rPr>
              <w:t xml:space="preserve">În cazul în care unitatea de jocuri de noroc are mai mult de o fațadă, publicitatea este limitată la o singură fațadă.</w:t>
            </w:r>
            <w:r>
              <w:rPr>
                <w:sz w:val="24"/>
              </w:rPr>
              <w:t xml:space="preserve"> </w:t>
            </w:r>
            <w:r>
              <w:rPr>
                <w:sz w:val="24"/>
              </w:rPr>
              <w:t xml:space="preserve">Materialul publicitar instalat poate ocupa maximum 30 % din suprafața totală a fațadei și nu poate depăși 20 m².</w:t>
            </w:r>
          </w:p>
          <w:p w14:paraId="3793C0F2" w14:textId="7C943EE6" w:rsidR="00637054" w:rsidRPr="00004DEC" w:rsidRDefault="00637054" w:rsidP="00DE7645">
            <w:pPr>
              <w:jc w:val="both"/>
              <w:rPr>
                <w:rFonts w:cstheme="minorHAnsi"/>
                <w:b/>
                <w:sz w:val="24"/>
                <w:szCs w:val="24"/>
                <w:lang w:val="fr-BE"/>
              </w:rPr>
            </w:pPr>
          </w:p>
        </w:tc>
      </w:tr>
      <w:tr w:rsidR="00637054" w:rsidRPr="002A14A1" w14:paraId="7353C4A0" w14:textId="77777777" w:rsidTr="00637054">
        <w:tc>
          <w:tcPr>
            <w:tcW w:w="5000" w:type="pct"/>
          </w:tcPr>
          <w:p w14:paraId="4D77430A" w14:textId="77777777" w:rsidR="00637054" w:rsidRDefault="00637054" w:rsidP="00DE7645">
            <w:pPr>
              <w:jc w:val="both"/>
              <w:rPr>
                <w:rFonts w:cstheme="minorHAnsi"/>
                <w:b/>
                <w:sz w:val="24"/>
                <w:szCs w:val="24"/>
                <w:lang w:val="fr-FR"/>
              </w:rPr>
            </w:pPr>
          </w:p>
        </w:tc>
      </w:tr>
      <w:tr w:rsidR="00637054" w:rsidRPr="002A14A1" w14:paraId="381FC3B0" w14:textId="77777777" w:rsidTr="00637054">
        <w:tc>
          <w:tcPr>
            <w:tcW w:w="5000" w:type="pct"/>
          </w:tcPr>
          <w:p w14:paraId="5DF26BD5" w14:textId="7B61391C" w:rsidR="00637054" w:rsidRPr="00004DEC" w:rsidRDefault="00637054" w:rsidP="002C53B9">
            <w:pPr>
              <w:jc w:val="both"/>
              <w:rPr>
                <w:sz w:val="24"/>
                <w:szCs w:val="24"/>
                <w:rFonts w:cstheme="minorHAnsi"/>
              </w:rPr>
            </w:pPr>
            <w:r>
              <w:rPr>
                <w:sz w:val="24"/>
                <w:b/>
              </w:rPr>
              <w:t xml:space="preserve">Articolul 8.</w:t>
            </w:r>
            <w:r>
              <w:rPr>
                <w:sz w:val="24"/>
              </w:rPr>
              <w:t xml:space="preserve"> </w:t>
            </w:r>
            <w:r>
              <w:rPr>
                <w:sz w:val="24"/>
              </w:rPr>
              <w:t xml:space="preserve">Titularii de licențe din clasele A, B, F1 și F2 pot face publicitate pentru ei înșiși în cadrul unității lor de jocuri de noroc și numai pentru produsele de jocuri de noroc pe care le oferă în cadrul unității lor de jocuri de noroc.</w:t>
            </w:r>
            <w:r>
              <w:rPr>
                <w:sz w:val="24"/>
              </w:rPr>
              <w:t xml:space="preserve"> </w:t>
            </w:r>
          </w:p>
        </w:tc>
      </w:tr>
      <w:tr w:rsidR="00637054" w:rsidRPr="002A14A1" w14:paraId="701D3F64" w14:textId="77777777" w:rsidTr="00637054">
        <w:tc>
          <w:tcPr>
            <w:tcW w:w="5000" w:type="pct"/>
          </w:tcPr>
          <w:p w14:paraId="0A72C5DC" w14:textId="5863D3B1" w:rsidR="00637054" w:rsidRPr="001F5921" w:rsidRDefault="00637054" w:rsidP="00DE7645">
            <w:pPr>
              <w:jc w:val="both"/>
              <w:rPr>
                <w:rFonts w:cstheme="minorHAnsi"/>
                <w:sz w:val="24"/>
                <w:szCs w:val="24"/>
                <w:lang w:val="fr-BE"/>
              </w:rPr>
            </w:pPr>
          </w:p>
        </w:tc>
      </w:tr>
      <w:tr w:rsidR="00637054" w:rsidRPr="002A14A1" w14:paraId="41D98745" w14:textId="77777777" w:rsidTr="00637054">
        <w:tc>
          <w:tcPr>
            <w:tcW w:w="5000" w:type="pct"/>
          </w:tcPr>
          <w:p w14:paraId="423D39A7" w14:textId="6BA37B24" w:rsidR="00637054" w:rsidRPr="00B040B9" w:rsidRDefault="00637054" w:rsidP="00727B43">
            <w:pPr>
              <w:jc w:val="both"/>
              <w:rPr>
                <w:sz w:val="24"/>
                <w:szCs w:val="24"/>
                <w:rFonts w:cstheme="minorHAnsi"/>
              </w:rPr>
            </w:pPr>
            <w:r>
              <w:rPr>
                <w:sz w:val="24"/>
                <w:b/>
              </w:rPr>
              <w:t xml:space="preserve">Articolul 9.</w:t>
            </w:r>
            <w:r>
              <w:rPr>
                <w:sz w:val="24"/>
              </w:rPr>
              <w:t xml:space="preserve"> </w:t>
            </w:r>
            <w:r>
              <w:rPr>
                <w:sz w:val="24"/>
              </w:rPr>
              <w:t xml:space="preserve">Titularii de licențe menționați la articolul 1 pot face publicitate prin plasarea unui produs în programe de televiziune înregistrate în străinătate, cu excepția cazului în care aceste programe sunt destinate în mod specific pieței belgiene.</w:t>
            </w:r>
            <w:r>
              <w:rPr>
                <w:sz w:val="24"/>
              </w:rPr>
              <w:t xml:space="preserve"> </w:t>
            </w:r>
            <w:r>
              <w:rPr>
                <w:sz w:val="24"/>
              </w:rPr>
              <w:t xml:space="preserve">Plasarea de produse acoperă orice formă de comunicare comercială audiovizuală care constă în includerea sau referirea la un produs, serviciu sau marcă, prin includerea acestuia într-un program sau conținut creat de utilizator în schimbul unei plăți sau al unei alte contraprestații.</w:t>
            </w:r>
            <w:r>
              <w:rPr>
                <w:sz w:val="24"/>
              </w:rPr>
              <w:t xml:space="preserve"> </w:t>
            </w:r>
          </w:p>
        </w:tc>
      </w:tr>
      <w:tr w:rsidR="00637054" w:rsidRPr="002A14A1" w14:paraId="6E6E778F" w14:textId="77777777" w:rsidTr="00637054">
        <w:tc>
          <w:tcPr>
            <w:tcW w:w="5000" w:type="pct"/>
          </w:tcPr>
          <w:p w14:paraId="7C449754" w14:textId="72D08070" w:rsidR="00637054" w:rsidRDefault="00637054" w:rsidP="00DE7645">
            <w:pPr>
              <w:jc w:val="both"/>
              <w:rPr>
                <w:rFonts w:cstheme="minorHAnsi"/>
                <w:sz w:val="24"/>
                <w:szCs w:val="24"/>
                <w:lang w:val="fr-BE"/>
              </w:rPr>
            </w:pPr>
          </w:p>
        </w:tc>
      </w:tr>
      <w:tr w:rsidR="00637054" w:rsidRPr="002A14A1" w14:paraId="61949342" w14:textId="77777777" w:rsidTr="00637054">
        <w:tc>
          <w:tcPr>
            <w:tcW w:w="5000" w:type="pct"/>
          </w:tcPr>
          <w:p w14:paraId="1E634681" w14:textId="530F10D8" w:rsidR="00637054" w:rsidRPr="007E74AA" w:rsidRDefault="00637054" w:rsidP="00ED3441">
            <w:pPr>
              <w:jc w:val="both"/>
              <w:rPr>
                <w:sz w:val="24"/>
                <w:szCs w:val="24"/>
                <w:rFonts w:cstheme="minorHAnsi"/>
              </w:rPr>
            </w:pPr>
            <w:r>
              <w:rPr>
                <w:sz w:val="24"/>
                <w:b/>
              </w:rPr>
              <w:t xml:space="preserve">Articolul 10</w:t>
            </w:r>
            <w:r>
              <w:rPr>
                <w:sz w:val="24"/>
              </w:rPr>
              <w:t xml:space="preserve"> </w:t>
            </w:r>
            <w:r>
              <w:rPr>
                <w:sz w:val="24"/>
              </w:rPr>
              <w:t xml:space="preserve">Titularii de licențe menționați la articolul 1 pot face publicitate pentru ei înșiși utilizându-și marca sau sigla sau ambele, cu ajutorul instrumentelor societății informaționale numai prin intermediul unui program de publicitate prin care titularul de licență poate face publicitate pe o pagină cu rezultatele căutării, după introducerea termenilor de căutare referitori la jocurile de noroc, și în care publicitatea poate fi considerată drept rezultat al căutării, deoarece publicitatea este plasată în partea de sus a paginii în schimbul achitării unei taxe.</w:t>
            </w:r>
          </w:p>
        </w:tc>
      </w:tr>
      <w:tr w:rsidR="00637054" w:rsidRPr="002A14A1" w14:paraId="514D7191" w14:textId="77777777" w:rsidTr="00637054">
        <w:tc>
          <w:tcPr>
            <w:tcW w:w="5000" w:type="pct"/>
          </w:tcPr>
          <w:p w14:paraId="52D85BFA" w14:textId="77777777" w:rsidR="00637054" w:rsidRPr="007E74AA" w:rsidRDefault="00637054" w:rsidP="00DE7645">
            <w:pPr>
              <w:rPr>
                <w:rFonts w:cstheme="minorHAnsi"/>
                <w:sz w:val="24"/>
                <w:szCs w:val="24"/>
                <w:lang w:val="fr-BE"/>
              </w:rPr>
            </w:pPr>
          </w:p>
        </w:tc>
      </w:tr>
      <w:tr w:rsidR="00637054" w:rsidRPr="002A14A1" w14:paraId="37F6025D" w14:textId="77777777" w:rsidTr="00637054">
        <w:tc>
          <w:tcPr>
            <w:tcW w:w="5000" w:type="pct"/>
          </w:tcPr>
          <w:p w14:paraId="6B08496E" w14:textId="4AB44307" w:rsidR="00637054" w:rsidRPr="007E74AA" w:rsidRDefault="00637054" w:rsidP="00B709FE">
            <w:pPr>
              <w:jc w:val="both"/>
              <w:rPr>
                <w:sz w:val="24"/>
                <w:szCs w:val="24"/>
                <w:rFonts w:cstheme="minorHAnsi"/>
              </w:rPr>
            </w:pPr>
            <w:r>
              <w:rPr>
                <w:sz w:val="24"/>
                <w:b/>
              </w:rPr>
              <w:t xml:space="preserve">Articolul 11</w:t>
            </w:r>
            <w:r>
              <w:rPr>
                <w:sz w:val="24"/>
              </w:rPr>
              <w:t xml:space="preserve"> </w:t>
            </w:r>
            <w:r>
              <w:rPr>
                <w:sz w:val="24"/>
              </w:rPr>
              <w:t xml:space="preserve">Titularii de licențe menționați la articolul 1 pot face publicitate pentru ei înșiși sau pentru produsele de jocuri de noroc pe care le oferă pe propriul lor site și cu condiția ca:</w:t>
            </w:r>
            <w:r>
              <w:rPr>
                <w:sz w:val="24"/>
              </w:rPr>
              <w:t xml:space="preserve"> </w:t>
            </w:r>
          </w:p>
        </w:tc>
      </w:tr>
      <w:tr w:rsidR="00637054" w:rsidRPr="002A14A1" w14:paraId="5E54C4F4" w14:textId="77777777" w:rsidTr="00637054">
        <w:tc>
          <w:tcPr>
            <w:tcW w:w="5000" w:type="pct"/>
          </w:tcPr>
          <w:p w14:paraId="18B7CD89" w14:textId="62DC1A47" w:rsidR="00637054" w:rsidRDefault="00637054" w:rsidP="00DE7645">
            <w:pPr>
              <w:jc w:val="both"/>
              <w:rPr>
                <w:rFonts w:cstheme="minorHAnsi"/>
                <w:sz w:val="24"/>
                <w:szCs w:val="24"/>
                <w:lang w:val="fr-BE"/>
              </w:rPr>
            </w:pPr>
          </w:p>
        </w:tc>
      </w:tr>
      <w:tr w:rsidR="00637054" w:rsidRPr="002A14A1" w14:paraId="6CE546CD" w14:textId="77777777" w:rsidTr="00637054">
        <w:tc>
          <w:tcPr>
            <w:tcW w:w="5000" w:type="pct"/>
          </w:tcPr>
          <w:p w14:paraId="16A256B6" w14:textId="602EF583" w:rsidR="00637054" w:rsidRPr="00677925" w:rsidRDefault="00637054" w:rsidP="000C21F2">
            <w:pPr>
              <w:rPr>
                <w:sz w:val="24"/>
                <w:szCs w:val="24"/>
                <w:rFonts w:cstheme="minorHAnsi"/>
              </w:rPr>
            </w:pPr>
            <w:r>
              <w:rPr>
                <w:sz w:val="24"/>
              </w:rPr>
              <w:t xml:space="preserve">1. interacțiunea să nu fie permisă;</w:t>
            </w:r>
          </w:p>
        </w:tc>
      </w:tr>
      <w:tr w:rsidR="00637054" w:rsidRPr="002A14A1" w14:paraId="38220C68" w14:textId="77777777" w:rsidTr="00637054">
        <w:tc>
          <w:tcPr>
            <w:tcW w:w="5000" w:type="pct"/>
          </w:tcPr>
          <w:p w14:paraId="698BED78" w14:textId="401E40B0" w:rsidR="00637054" w:rsidRPr="00677925" w:rsidRDefault="00637054" w:rsidP="007F0AE8">
            <w:pPr>
              <w:rPr>
                <w:rFonts w:cstheme="minorHAnsi"/>
                <w:sz w:val="24"/>
                <w:szCs w:val="24"/>
                <w:lang w:val="fr-FR"/>
              </w:rPr>
            </w:pPr>
          </w:p>
        </w:tc>
      </w:tr>
      <w:tr w:rsidR="00637054" w:rsidRPr="002A14A1" w14:paraId="0FB00ED2" w14:textId="77777777" w:rsidTr="00637054">
        <w:tc>
          <w:tcPr>
            <w:tcW w:w="5000" w:type="pct"/>
          </w:tcPr>
          <w:p w14:paraId="6E961BA9" w14:textId="6984E800" w:rsidR="00637054" w:rsidRDefault="00637054" w:rsidP="008D3453">
            <w:pPr>
              <w:rPr>
                <w:sz w:val="24"/>
                <w:szCs w:val="24"/>
                <w:rFonts w:cstheme="minorHAnsi"/>
              </w:rPr>
            </w:pPr>
            <w:r>
              <w:rPr>
                <w:sz w:val="24"/>
              </w:rPr>
              <w:t xml:space="preserve">2.orice compensație oferită unei părți terțe pentru publicitate să nu fie permisă;</w:t>
            </w:r>
          </w:p>
        </w:tc>
      </w:tr>
      <w:tr w:rsidR="00637054" w:rsidRPr="002A14A1" w14:paraId="538B04A6" w14:textId="77777777" w:rsidTr="00637054">
        <w:tc>
          <w:tcPr>
            <w:tcW w:w="5000" w:type="pct"/>
          </w:tcPr>
          <w:p w14:paraId="22CD5602" w14:textId="496BC241" w:rsidR="00637054" w:rsidRDefault="00637054" w:rsidP="008D3453">
            <w:pPr>
              <w:rPr>
                <w:sz w:val="24"/>
                <w:szCs w:val="24"/>
                <w:rFonts w:cstheme="minorHAnsi"/>
              </w:rPr>
            </w:pPr>
            <w:r>
              <w:rPr>
                <w:sz w:val="24"/>
              </w:rPr>
              <w:t xml:space="preserve">3. durata reclamei în care se utilizează imagini în mișcare să nu depășească 5 secunde.</w:t>
            </w:r>
            <w:r>
              <w:rPr>
                <w:sz w:val="24"/>
              </w:rPr>
              <w:t xml:space="preserve"> </w:t>
            </w:r>
          </w:p>
          <w:p w14:paraId="72201322" w14:textId="5D3AD32A" w:rsidR="00637054" w:rsidRDefault="00637054" w:rsidP="008D3453">
            <w:pPr>
              <w:rPr>
                <w:rFonts w:cstheme="minorHAnsi"/>
                <w:sz w:val="24"/>
                <w:szCs w:val="24"/>
                <w:lang w:val="fr-BE"/>
              </w:rPr>
            </w:pPr>
          </w:p>
        </w:tc>
      </w:tr>
      <w:tr w:rsidR="00637054" w:rsidRPr="002A14A1" w14:paraId="21882BCF" w14:textId="77777777" w:rsidTr="00637054">
        <w:tc>
          <w:tcPr>
            <w:tcW w:w="5000" w:type="pct"/>
          </w:tcPr>
          <w:p w14:paraId="6975E371" w14:textId="241A54E9" w:rsidR="00637054" w:rsidRDefault="00637054" w:rsidP="007F0AE8">
            <w:pPr>
              <w:jc w:val="both"/>
              <w:rPr>
                <w:sz w:val="24"/>
                <w:szCs w:val="24"/>
                <w:rFonts w:cstheme="minorHAnsi"/>
              </w:rPr>
            </w:pPr>
            <w:r>
              <w:rPr>
                <w:sz w:val="24"/>
                <w:b/>
              </w:rPr>
              <w:t xml:space="preserve">Articolul 12</w:t>
            </w:r>
            <w:r>
              <w:rPr>
                <w:sz w:val="24"/>
              </w:rPr>
              <w:t xml:space="preserve"> </w:t>
            </w:r>
            <w:r>
              <w:rPr>
                <w:sz w:val="24"/>
              </w:rPr>
              <w:t xml:space="preserve">Titularii de licențe menționați la articolul 1 pot face publicitate produselor de jocuri de noroc pe care le oferă numai în conturile pe care le dețin pe platformele de partajare de conținut online și cu condiția ca:</w:t>
            </w:r>
            <w:r>
              <w:rPr>
                <w:sz w:val="24"/>
              </w:rPr>
              <w:t xml:space="preserve"> </w:t>
            </w:r>
          </w:p>
          <w:p w14:paraId="363EC7EA" w14:textId="7B0AD40D" w:rsidR="00637054" w:rsidRPr="007E74AA" w:rsidRDefault="00637054" w:rsidP="007F0AE8">
            <w:pPr>
              <w:jc w:val="both"/>
              <w:rPr>
                <w:rFonts w:cstheme="minorHAnsi"/>
                <w:sz w:val="24"/>
                <w:szCs w:val="24"/>
                <w:lang w:val="fr-BE"/>
              </w:rPr>
            </w:pPr>
          </w:p>
        </w:tc>
      </w:tr>
      <w:tr w:rsidR="00637054" w:rsidRPr="002A14A1" w14:paraId="03633D8F" w14:textId="77777777" w:rsidTr="00637054">
        <w:tc>
          <w:tcPr>
            <w:tcW w:w="5000" w:type="pct"/>
          </w:tcPr>
          <w:p w14:paraId="03CDA5EE" w14:textId="0F406179" w:rsidR="00637054" w:rsidRPr="00DF406E" w:rsidRDefault="00637054" w:rsidP="007F0AE8">
            <w:pPr>
              <w:jc w:val="both"/>
              <w:rPr>
                <w:b/>
                <w:sz w:val="24"/>
                <w:szCs w:val="24"/>
                <w:rFonts w:cstheme="minorHAnsi"/>
              </w:rPr>
            </w:pPr>
            <w:r>
              <w:rPr>
                <w:sz w:val="24"/>
              </w:rPr>
              <w:t xml:space="preserve">1. interacțiunea să nu fie permisă;</w:t>
            </w:r>
          </w:p>
        </w:tc>
      </w:tr>
      <w:tr w:rsidR="00637054" w:rsidRPr="002A14A1" w14:paraId="21C27E1D" w14:textId="77777777" w:rsidTr="00637054">
        <w:tc>
          <w:tcPr>
            <w:tcW w:w="5000" w:type="pct"/>
          </w:tcPr>
          <w:p w14:paraId="040DD574" w14:textId="77777777" w:rsidR="00637054" w:rsidRPr="002B763F" w:rsidRDefault="00637054" w:rsidP="007F0AE8">
            <w:pPr>
              <w:jc w:val="both"/>
              <w:rPr>
                <w:rFonts w:cstheme="minorHAnsi"/>
                <w:sz w:val="24"/>
                <w:szCs w:val="24"/>
                <w:lang w:val="fr-BE"/>
              </w:rPr>
            </w:pPr>
          </w:p>
        </w:tc>
      </w:tr>
      <w:tr w:rsidR="00637054" w:rsidRPr="002A14A1" w14:paraId="7887BA41" w14:textId="77777777" w:rsidTr="00637054">
        <w:tc>
          <w:tcPr>
            <w:tcW w:w="5000" w:type="pct"/>
          </w:tcPr>
          <w:p w14:paraId="3010332B" w14:textId="6A1CEAD7" w:rsidR="00637054" w:rsidRDefault="00637054" w:rsidP="007F0AE8">
            <w:pPr>
              <w:jc w:val="both"/>
              <w:rPr>
                <w:sz w:val="24"/>
                <w:szCs w:val="24"/>
                <w:rFonts w:cstheme="minorHAnsi"/>
              </w:rPr>
            </w:pPr>
            <w:r>
              <w:rPr>
                <w:sz w:val="24"/>
              </w:rPr>
              <w:t xml:space="preserve">2.orice compensație oferită unei părți terțe pentru publicitate să nu fie permisă;</w:t>
            </w:r>
          </w:p>
        </w:tc>
      </w:tr>
      <w:tr w:rsidR="00637054" w:rsidRPr="002A14A1" w14:paraId="08A555FE" w14:textId="77777777" w:rsidTr="00637054">
        <w:tc>
          <w:tcPr>
            <w:tcW w:w="5000" w:type="pct"/>
          </w:tcPr>
          <w:p w14:paraId="3D1924CB" w14:textId="08333D28" w:rsidR="00637054" w:rsidRDefault="00637054" w:rsidP="00A279D5">
            <w:pPr>
              <w:rPr>
                <w:sz w:val="24"/>
                <w:szCs w:val="24"/>
                <w:rFonts w:cstheme="minorHAnsi"/>
              </w:rPr>
            </w:pPr>
            <w:r>
              <w:rPr>
                <w:sz w:val="24"/>
              </w:rPr>
              <w:t xml:space="preserve">3. durata reclamei în care se utilizează imagini în mișcare să nu depășească 5 secunde.</w:t>
            </w:r>
            <w:r>
              <w:rPr>
                <w:sz w:val="24"/>
              </w:rPr>
              <w:t xml:space="preserve"> </w:t>
            </w:r>
          </w:p>
        </w:tc>
      </w:tr>
      <w:tr w:rsidR="00637054" w:rsidRPr="002A14A1" w14:paraId="186CE138" w14:textId="77777777" w:rsidTr="00637054">
        <w:tc>
          <w:tcPr>
            <w:tcW w:w="5000" w:type="pct"/>
          </w:tcPr>
          <w:p w14:paraId="573B4903" w14:textId="77777777" w:rsidR="00637054" w:rsidRPr="007E74AA" w:rsidRDefault="00637054" w:rsidP="007F0AE8">
            <w:pPr>
              <w:jc w:val="both"/>
              <w:rPr>
                <w:rFonts w:cstheme="minorHAnsi"/>
                <w:sz w:val="24"/>
                <w:szCs w:val="24"/>
                <w:lang w:val="fr-BE"/>
              </w:rPr>
            </w:pPr>
          </w:p>
        </w:tc>
      </w:tr>
      <w:tr w:rsidR="00637054" w:rsidRPr="002A14A1" w14:paraId="0277C3FE" w14:textId="77777777" w:rsidTr="00637054">
        <w:tc>
          <w:tcPr>
            <w:tcW w:w="5000" w:type="pct"/>
          </w:tcPr>
          <w:p w14:paraId="5E17E015" w14:textId="4A6E9DF8" w:rsidR="00637054" w:rsidRDefault="00637054" w:rsidP="007F0AE8">
            <w:pPr>
              <w:rPr>
                <w:b/>
                <w:sz w:val="24"/>
                <w:szCs w:val="24"/>
                <w:rFonts w:cstheme="minorHAnsi"/>
              </w:rPr>
            </w:pPr>
            <w:r>
              <w:rPr>
                <w:b/>
                <w:sz w:val="24"/>
              </w:rPr>
              <w:t xml:space="preserve">Capitolul 3.</w:t>
            </w:r>
            <w:r>
              <w:rPr>
                <w:b/>
                <w:sz w:val="24"/>
              </w:rPr>
              <w:t xml:space="preserve"> </w:t>
            </w:r>
            <w:r>
              <w:rPr>
                <w:b/>
                <w:sz w:val="24"/>
              </w:rPr>
              <w:t xml:space="preserve">–</w:t>
            </w:r>
            <w:r>
              <w:rPr>
                <w:b/>
                <w:sz w:val="24"/>
              </w:rPr>
              <w:t xml:space="preserve"> </w:t>
            </w:r>
            <w:r>
              <w:rPr>
                <w:b/>
                <w:sz w:val="24"/>
              </w:rPr>
              <w:t xml:space="preserve">Dispoziții generale privind publicitatea autorizată</w:t>
            </w:r>
          </w:p>
          <w:p w14:paraId="1B435DF2" w14:textId="77777777" w:rsidR="00637054" w:rsidRPr="00B96D41" w:rsidRDefault="00637054" w:rsidP="007F0AE8">
            <w:pPr>
              <w:rPr>
                <w:rFonts w:cstheme="minorHAnsi"/>
                <w:sz w:val="24"/>
                <w:szCs w:val="24"/>
                <w:lang w:val="fr-BE"/>
              </w:rPr>
            </w:pPr>
          </w:p>
        </w:tc>
      </w:tr>
      <w:tr w:rsidR="00637054" w:rsidRPr="002A14A1" w14:paraId="518D3E4A" w14:textId="77777777" w:rsidTr="00637054">
        <w:tc>
          <w:tcPr>
            <w:tcW w:w="5000" w:type="pct"/>
          </w:tcPr>
          <w:p w14:paraId="1C3F89CB" w14:textId="6C2F2035" w:rsidR="00637054" w:rsidRPr="0041737C" w:rsidRDefault="00637054" w:rsidP="00B32109">
            <w:pPr>
              <w:jc w:val="both"/>
              <w:rPr>
                <w:sz w:val="24"/>
                <w:szCs w:val="24"/>
                <w:rFonts w:cstheme="minorHAnsi"/>
              </w:rPr>
            </w:pPr>
            <w:r>
              <w:rPr>
                <w:sz w:val="24"/>
                <w:b/>
              </w:rPr>
              <w:t xml:space="preserve">Articolul 13</w:t>
            </w:r>
            <w:r>
              <w:rPr>
                <w:sz w:val="24"/>
              </w:rPr>
              <w:t xml:space="preserve"> </w:t>
            </w:r>
            <w:r>
              <w:rPr>
                <w:sz w:val="24"/>
              </w:rPr>
              <w:t xml:space="preserve">Publicitatea este limitată la jocurile de noroc permise de Legea privind jocurile de noroc.</w:t>
            </w:r>
          </w:p>
          <w:p w14:paraId="5AB44A24" w14:textId="77777777" w:rsidR="00637054" w:rsidRPr="0041737C" w:rsidRDefault="00637054" w:rsidP="007F0AE8">
            <w:pPr>
              <w:rPr>
                <w:rFonts w:cstheme="minorHAnsi"/>
                <w:sz w:val="24"/>
                <w:szCs w:val="24"/>
                <w:lang w:val="fr-BE"/>
              </w:rPr>
            </w:pPr>
          </w:p>
        </w:tc>
      </w:tr>
      <w:tr w:rsidR="00637054" w:rsidRPr="002A14A1" w14:paraId="00E7AA53" w14:textId="77777777" w:rsidTr="00637054">
        <w:tc>
          <w:tcPr>
            <w:tcW w:w="5000" w:type="pct"/>
          </w:tcPr>
          <w:p w14:paraId="4E58FF28" w14:textId="271D7E54" w:rsidR="00637054" w:rsidRPr="002E182A" w:rsidRDefault="00637054" w:rsidP="007F0AE8">
            <w:pPr>
              <w:jc w:val="both"/>
              <w:rPr>
                <w:sz w:val="24"/>
                <w:szCs w:val="24"/>
                <w:rFonts w:cstheme="minorHAnsi"/>
              </w:rPr>
            </w:pPr>
            <w:r>
              <w:rPr>
                <w:sz w:val="24"/>
                <w:b/>
              </w:rPr>
              <w:t xml:space="preserve">Articolul 14</w:t>
            </w:r>
            <w:r>
              <w:rPr>
                <w:sz w:val="24"/>
              </w:rPr>
              <w:t xml:space="preserve"> </w:t>
            </w:r>
            <w:r>
              <w:rPr>
                <w:sz w:val="24"/>
              </w:rPr>
              <w:t xml:space="preserve">În conformitate cu condițiile menționate în capitolul 2, un titular de licență menționat la articolul 1 poate face publicitate pentru el însuși</w:t>
            </w:r>
            <w:r>
              <w:t xml:space="preserve"> </w:t>
            </w:r>
            <w:r>
              <w:rPr>
                <w:sz w:val="24"/>
              </w:rPr>
              <w:t xml:space="preserve">sau pentru jocurile de noroc oferite de el sau pentru ambele.</w:t>
            </w:r>
            <w:r>
              <w:rPr>
                <w:sz w:val="24"/>
              </w:rPr>
              <w:t xml:space="preserve"> </w:t>
            </w:r>
          </w:p>
          <w:p w14:paraId="01D5C4B3" w14:textId="77777777" w:rsidR="00637054" w:rsidRPr="00B96D41" w:rsidRDefault="00637054" w:rsidP="007F0AE8">
            <w:pPr>
              <w:rPr>
                <w:rFonts w:cstheme="minorHAnsi"/>
                <w:sz w:val="24"/>
                <w:szCs w:val="24"/>
                <w:lang w:val="fr-BE"/>
              </w:rPr>
            </w:pPr>
          </w:p>
        </w:tc>
      </w:tr>
      <w:tr w:rsidR="00637054" w:rsidRPr="002A14A1" w14:paraId="587C69CD" w14:textId="77777777" w:rsidTr="00637054">
        <w:tc>
          <w:tcPr>
            <w:tcW w:w="5000" w:type="pct"/>
          </w:tcPr>
          <w:p w14:paraId="708C7BF5" w14:textId="33A56697" w:rsidR="00637054" w:rsidRPr="00B96D41" w:rsidRDefault="00637054" w:rsidP="0041737C">
            <w:pPr>
              <w:jc w:val="both"/>
              <w:rPr>
                <w:sz w:val="24"/>
                <w:szCs w:val="24"/>
                <w:rFonts w:cstheme="minorHAnsi"/>
              </w:rPr>
            </w:pPr>
            <w:r>
              <w:rPr>
                <w:sz w:val="24"/>
                <w:b/>
              </w:rPr>
              <w:t xml:space="preserve">Articolul 15</w:t>
            </w:r>
            <w:r>
              <w:rPr>
                <w:sz w:val="24"/>
              </w:rPr>
              <w:t xml:space="preserve"> </w:t>
            </w:r>
            <w:r>
              <w:rPr>
                <w:sz w:val="24"/>
              </w:rPr>
              <w:t xml:space="preserve">Publicitatea nu poate fi direcționată în mod specific către grupurile vulnerabile din punct de vedere social.</w:t>
            </w:r>
            <w:r>
              <w:rPr>
                <w:sz w:val="24"/>
              </w:rPr>
              <w:t xml:space="preserve">  </w:t>
            </w:r>
            <w:r>
              <w:rPr>
                <w:sz w:val="24"/>
              </w:rPr>
              <w:t xml:space="preserve">Grupurile vulnerabile din punct de vedere social includ persoanele care nu îndeplinesc cerințele privind vârsta minimă și toate celelalte persoane care intră sub incidența articolului 54 din Legea privind jocurile de noroc, precum și persoanele care prezintă semne ale unui comportament riscant cauzat de jocurile de noroc.</w:t>
            </w:r>
          </w:p>
        </w:tc>
      </w:tr>
      <w:tr w:rsidR="00637054" w:rsidRPr="002A14A1" w14:paraId="06B91643" w14:textId="77777777" w:rsidTr="00637054">
        <w:tc>
          <w:tcPr>
            <w:tcW w:w="5000" w:type="pct"/>
          </w:tcPr>
          <w:p w14:paraId="1EB7A81D" w14:textId="77777777" w:rsidR="00637054" w:rsidRPr="002E182A" w:rsidRDefault="00637054" w:rsidP="007F0AE8">
            <w:pPr>
              <w:rPr>
                <w:rFonts w:cstheme="minorHAnsi"/>
                <w:sz w:val="24"/>
                <w:szCs w:val="24"/>
                <w:lang w:val="fr-BE"/>
              </w:rPr>
            </w:pPr>
          </w:p>
        </w:tc>
      </w:tr>
      <w:tr w:rsidR="00637054" w:rsidRPr="002A14A1" w14:paraId="5C7960DB" w14:textId="77777777" w:rsidTr="00637054">
        <w:tc>
          <w:tcPr>
            <w:tcW w:w="5000" w:type="pct"/>
          </w:tcPr>
          <w:p w14:paraId="3691F064" w14:textId="7EB0C211" w:rsidR="00637054" w:rsidRPr="002E182A" w:rsidRDefault="00637054" w:rsidP="007F0AE8">
            <w:pPr>
              <w:jc w:val="both"/>
              <w:rPr>
                <w:sz w:val="24"/>
                <w:szCs w:val="24"/>
                <w:rFonts w:cstheme="minorHAnsi"/>
              </w:rPr>
            </w:pPr>
            <w:r>
              <w:rPr>
                <w:sz w:val="24"/>
                <w:b/>
              </w:rPr>
              <w:t xml:space="preserve">Articolul 16</w:t>
            </w:r>
            <w:r>
              <w:rPr>
                <w:sz w:val="24"/>
              </w:rPr>
              <w:t xml:space="preserve"> </w:t>
            </w:r>
            <w:r>
              <w:rPr>
                <w:sz w:val="24"/>
              </w:rPr>
              <w:t xml:space="preserve">Publicitatea nu poate fi personalizată.</w:t>
            </w:r>
            <w:r>
              <w:rPr>
                <w:sz w:val="24"/>
              </w:rPr>
              <w:t xml:space="preserve"> </w:t>
            </w:r>
          </w:p>
          <w:p w14:paraId="0FC6E62F" w14:textId="2E27726F" w:rsidR="00637054" w:rsidRPr="007E74AA" w:rsidRDefault="00637054" w:rsidP="007F0AE8">
            <w:pPr>
              <w:rPr>
                <w:rFonts w:cstheme="minorHAnsi"/>
                <w:b/>
                <w:sz w:val="24"/>
                <w:szCs w:val="24"/>
                <w:lang w:val="fr-BE"/>
              </w:rPr>
            </w:pPr>
          </w:p>
        </w:tc>
      </w:tr>
      <w:tr w:rsidR="00637054" w:rsidRPr="002A14A1" w14:paraId="19DCBCCF" w14:textId="77777777" w:rsidTr="00637054">
        <w:tc>
          <w:tcPr>
            <w:tcW w:w="5000" w:type="pct"/>
          </w:tcPr>
          <w:p w14:paraId="25811281" w14:textId="715B2DB6" w:rsidR="00637054" w:rsidRPr="00656902" w:rsidRDefault="00637054" w:rsidP="00656902">
            <w:pPr>
              <w:jc w:val="both"/>
              <w:rPr>
                <w:sz w:val="24"/>
                <w:szCs w:val="24"/>
                <w:rFonts w:cstheme="minorHAnsi"/>
              </w:rPr>
            </w:pPr>
            <w:r>
              <w:rPr>
                <w:sz w:val="24"/>
                <w:b/>
              </w:rPr>
              <w:t xml:space="preserve">Articolul 17</w:t>
            </w:r>
            <w:r>
              <w:rPr>
                <w:sz w:val="24"/>
              </w:rPr>
              <w:t xml:space="preserve"> </w:t>
            </w:r>
            <w:r>
              <w:rPr>
                <w:sz w:val="24"/>
              </w:rPr>
              <w:t xml:space="preserve">Cu excepția logo-urilor deja existente la data publicării prezentului decret, publicitatea nu poate reprezenta persoane fizice sau caractere fictive.</w:t>
            </w:r>
          </w:p>
          <w:p w14:paraId="202DD8A4" w14:textId="7A9CFB3C" w:rsidR="00637054" w:rsidRPr="00AB0123" w:rsidRDefault="00637054" w:rsidP="006D4102">
            <w:pPr>
              <w:jc w:val="both"/>
              <w:rPr>
                <w:rFonts w:cstheme="minorHAnsi"/>
                <w:b/>
                <w:sz w:val="24"/>
                <w:szCs w:val="24"/>
                <w:lang w:val="fr-BE"/>
              </w:rPr>
            </w:pPr>
          </w:p>
        </w:tc>
      </w:tr>
      <w:tr w:rsidR="00637054" w:rsidRPr="002A14A1" w14:paraId="02477C77" w14:textId="77777777" w:rsidTr="00637054">
        <w:tc>
          <w:tcPr>
            <w:tcW w:w="5000" w:type="pct"/>
          </w:tcPr>
          <w:p w14:paraId="4A16583D" w14:textId="560B3DAB" w:rsidR="00637054" w:rsidRPr="00656902" w:rsidRDefault="00637054" w:rsidP="006D4102">
            <w:pPr>
              <w:jc w:val="both"/>
              <w:rPr>
                <w:sz w:val="24"/>
                <w:szCs w:val="24"/>
                <w:rFonts w:cstheme="minorHAnsi"/>
              </w:rPr>
            </w:pPr>
            <w:r>
              <w:rPr>
                <w:sz w:val="24"/>
              </w:rPr>
              <w:t xml:space="preserve">Publicitatea nu poate folosi vocea unor persoane celebre sau a unor personaje de ficțiune celebre.</w:t>
            </w:r>
          </w:p>
          <w:p w14:paraId="4526F310" w14:textId="77777777" w:rsidR="00637054" w:rsidRPr="007E74AA" w:rsidRDefault="00637054" w:rsidP="007F0AE8">
            <w:pPr>
              <w:jc w:val="both"/>
              <w:rPr>
                <w:rFonts w:cstheme="minorHAnsi"/>
                <w:b/>
                <w:sz w:val="24"/>
                <w:szCs w:val="24"/>
                <w:lang w:val="fr-BE"/>
              </w:rPr>
            </w:pPr>
          </w:p>
        </w:tc>
      </w:tr>
      <w:tr w:rsidR="00637054" w:rsidRPr="002A14A1" w14:paraId="018C85D0" w14:textId="77777777" w:rsidTr="00637054">
        <w:tc>
          <w:tcPr>
            <w:tcW w:w="5000" w:type="pct"/>
          </w:tcPr>
          <w:p w14:paraId="1A59C94E" w14:textId="551393F3" w:rsidR="00637054" w:rsidRPr="007E74AA" w:rsidRDefault="00637054" w:rsidP="0041737C">
            <w:pPr>
              <w:jc w:val="both"/>
              <w:rPr>
                <w:sz w:val="24"/>
                <w:szCs w:val="24"/>
                <w:rFonts w:cstheme="minorHAnsi"/>
              </w:rPr>
            </w:pPr>
            <w:r>
              <w:rPr>
                <w:sz w:val="24"/>
                <w:b/>
              </w:rPr>
              <w:t xml:space="preserve">Articolul 18</w:t>
            </w:r>
            <w:r>
              <w:rPr>
                <w:sz w:val="24"/>
              </w:rPr>
              <w:t xml:space="preserve"> </w:t>
            </w:r>
            <w:r>
              <w:rPr>
                <w:sz w:val="24"/>
              </w:rPr>
              <w:t xml:space="preserve">Publicitatea pentru promovarea jocurilor de noroc operate de titularii de licențe menționați la articolul 1 este permisă numai în cazul în care conținutul acesteia:</w:t>
            </w:r>
          </w:p>
        </w:tc>
      </w:tr>
      <w:tr w:rsidR="00637054" w:rsidRPr="002A14A1" w14:paraId="402C8149" w14:textId="77777777" w:rsidTr="00637054">
        <w:tc>
          <w:tcPr>
            <w:tcW w:w="5000" w:type="pct"/>
          </w:tcPr>
          <w:p w14:paraId="01BCB9B2" w14:textId="77777777" w:rsidR="00637054" w:rsidRPr="00677925" w:rsidRDefault="00637054" w:rsidP="007F0AE8">
            <w:pPr>
              <w:jc w:val="both"/>
              <w:rPr>
                <w:rFonts w:cstheme="minorHAnsi"/>
                <w:b/>
                <w:sz w:val="24"/>
                <w:szCs w:val="24"/>
                <w:lang w:val="fr-FR"/>
              </w:rPr>
            </w:pPr>
          </w:p>
        </w:tc>
      </w:tr>
      <w:tr w:rsidR="00637054" w:rsidRPr="002A14A1" w14:paraId="6B006075" w14:textId="77777777" w:rsidTr="00637054">
        <w:tc>
          <w:tcPr>
            <w:tcW w:w="5000" w:type="pct"/>
          </w:tcPr>
          <w:p w14:paraId="7153902F" w14:textId="62A85996" w:rsidR="00637054" w:rsidRPr="00AB0123" w:rsidRDefault="00637054" w:rsidP="007F0AE8">
            <w:pPr>
              <w:jc w:val="both"/>
              <w:rPr>
                <w:bCs/>
                <w:sz w:val="24"/>
                <w:szCs w:val="24"/>
              </w:rPr>
            </w:pPr>
            <w:r>
              <w:rPr>
                <w:sz w:val="24"/>
              </w:rPr>
              <w:t xml:space="preserve">1. nu include nicio declarație nefondată cu privire la câștigurile pe care jucătorii se pot aștepta să le obțină;</w:t>
            </w:r>
          </w:p>
          <w:p w14:paraId="3E7CC55D" w14:textId="7A7DDB50" w:rsidR="00637054" w:rsidRPr="00AB0123" w:rsidRDefault="00637054" w:rsidP="007F0AE8">
            <w:pPr>
              <w:rPr>
                <w:sz w:val="24"/>
                <w:szCs w:val="24"/>
                <w:lang w:val="fr-BE"/>
              </w:rPr>
            </w:pPr>
          </w:p>
        </w:tc>
      </w:tr>
      <w:tr w:rsidR="00637054" w:rsidRPr="002A14A1" w14:paraId="63424FF8" w14:textId="77777777" w:rsidTr="00637054">
        <w:tc>
          <w:tcPr>
            <w:tcW w:w="5000" w:type="pct"/>
          </w:tcPr>
          <w:p w14:paraId="78F4D2A7" w14:textId="03190BFA" w:rsidR="00637054" w:rsidRPr="00D0053D" w:rsidRDefault="00637054" w:rsidP="007F0AE8">
            <w:pPr>
              <w:jc w:val="both"/>
              <w:rPr>
                <w:bCs/>
                <w:sz w:val="24"/>
                <w:szCs w:val="24"/>
              </w:rPr>
            </w:pPr>
            <w:r>
              <w:rPr>
                <w:sz w:val="24"/>
              </w:rPr>
              <w:t xml:space="preserve">2. nu încurajează jocul iresponsabil și abuziv;</w:t>
            </w:r>
          </w:p>
        </w:tc>
      </w:tr>
      <w:tr w:rsidR="00637054" w:rsidRPr="002A14A1" w14:paraId="29622D58" w14:textId="77777777" w:rsidTr="00637054">
        <w:tc>
          <w:tcPr>
            <w:tcW w:w="5000" w:type="pct"/>
          </w:tcPr>
          <w:p w14:paraId="78ACB064" w14:textId="66BD2B12" w:rsidR="00637054" w:rsidRPr="00A73CA8" w:rsidRDefault="00637054" w:rsidP="007F0AE8">
            <w:pPr>
              <w:jc w:val="both"/>
              <w:rPr>
                <w:sz w:val="24"/>
                <w:szCs w:val="24"/>
              </w:rPr>
            </w:pPr>
            <w:r>
              <w:rPr>
                <w:sz w:val="24"/>
              </w:rPr>
              <w:t xml:space="preserve">3. nu sugerează faptul că obținerea unui câștig depinde de cunoașterea jocului sau de abilitățile jucătorului;</w:t>
            </w:r>
          </w:p>
          <w:p w14:paraId="13F7ED95" w14:textId="0B31F95A" w:rsidR="00637054" w:rsidRPr="00A73CA8" w:rsidRDefault="00637054" w:rsidP="007F0AE8">
            <w:pPr>
              <w:jc w:val="both"/>
              <w:rPr>
                <w:b/>
                <w:sz w:val="24"/>
                <w:szCs w:val="24"/>
                <w:lang w:val="fr-BE"/>
              </w:rPr>
            </w:pPr>
          </w:p>
        </w:tc>
      </w:tr>
      <w:tr w:rsidR="00637054" w:rsidRPr="002A14A1" w14:paraId="343E4EF9" w14:textId="77777777" w:rsidTr="00637054">
        <w:tc>
          <w:tcPr>
            <w:tcW w:w="5000" w:type="pct"/>
          </w:tcPr>
          <w:p w14:paraId="4F1304D8" w14:textId="77777777" w:rsidR="00637054" w:rsidRDefault="00637054" w:rsidP="007F0AE8">
            <w:pPr>
              <w:jc w:val="both"/>
              <w:rPr>
                <w:bCs/>
                <w:sz w:val="24"/>
                <w:szCs w:val="24"/>
              </w:rPr>
            </w:pPr>
            <w:r>
              <w:rPr>
                <w:sz w:val="24"/>
              </w:rPr>
              <w:t xml:space="preserve">4. nu laudă persoanele care joacă și nici nu îi critică pe cei care nu joacă;</w:t>
            </w:r>
          </w:p>
          <w:p w14:paraId="22FF391A" w14:textId="537CE405" w:rsidR="00D03240" w:rsidRPr="00A73CA8" w:rsidRDefault="00D03240" w:rsidP="007F0AE8">
            <w:pPr>
              <w:jc w:val="both"/>
              <w:rPr>
                <w:bCs/>
                <w:sz w:val="24"/>
                <w:szCs w:val="24"/>
                <w:lang w:val="fr-BE"/>
              </w:rPr>
            </w:pPr>
          </w:p>
        </w:tc>
      </w:tr>
      <w:tr w:rsidR="00637054" w:rsidRPr="002A14A1" w14:paraId="08D7A78A" w14:textId="77777777" w:rsidTr="00637054">
        <w:tc>
          <w:tcPr>
            <w:tcW w:w="5000" w:type="pct"/>
          </w:tcPr>
          <w:p w14:paraId="27ADA69D" w14:textId="77777777" w:rsidR="00637054" w:rsidRDefault="00637054" w:rsidP="007F0AE8">
            <w:pPr>
              <w:jc w:val="both"/>
              <w:rPr>
                <w:bCs/>
                <w:sz w:val="24"/>
                <w:szCs w:val="24"/>
              </w:rPr>
            </w:pPr>
            <w:r>
              <w:rPr>
                <w:sz w:val="24"/>
              </w:rPr>
              <w:t xml:space="preserve">5. nu pune presiune asupra unei persoane dacă aceasta nu dorește să participe la joc;</w:t>
            </w:r>
          </w:p>
          <w:p w14:paraId="7FF5840B" w14:textId="79446F27" w:rsidR="00D03240" w:rsidRPr="007E74AA" w:rsidRDefault="00D03240" w:rsidP="007F0AE8">
            <w:pPr>
              <w:jc w:val="both"/>
              <w:rPr>
                <w:bCs/>
                <w:sz w:val="24"/>
                <w:szCs w:val="24"/>
                <w:lang w:val="fr-BE"/>
              </w:rPr>
            </w:pPr>
          </w:p>
        </w:tc>
      </w:tr>
      <w:tr w:rsidR="00637054" w:rsidRPr="002A14A1" w14:paraId="5E65C738" w14:textId="77777777" w:rsidTr="00637054">
        <w:tc>
          <w:tcPr>
            <w:tcW w:w="5000" w:type="pct"/>
          </w:tcPr>
          <w:p w14:paraId="4A0AFCB0" w14:textId="5169151E" w:rsidR="00637054" w:rsidRDefault="00637054" w:rsidP="007F0AE8">
            <w:pPr>
              <w:jc w:val="both"/>
              <w:rPr>
                <w:bCs/>
                <w:sz w:val="24"/>
                <w:szCs w:val="24"/>
              </w:rPr>
            </w:pPr>
            <w:r>
              <w:rPr>
                <w:sz w:val="24"/>
              </w:rPr>
              <w:t xml:space="preserve">6. nu sugerează că jocul constituie o alternativă la muncă și economii, o modalitate de îmbogățire mai rapidă sau o soluție la problemele financiare;</w:t>
            </w:r>
          </w:p>
          <w:p w14:paraId="283A4495" w14:textId="72031D3F" w:rsidR="00637054" w:rsidRPr="00847174" w:rsidRDefault="00637054" w:rsidP="007F0AE8">
            <w:pPr>
              <w:jc w:val="both"/>
              <w:rPr>
                <w:bCs/>
                <w:sz w:val="24"/>
                <w:szCs w:val="24"/>
                <w:lang w:val="fr-BE"/>
              </w:rPr>
            </w:pPr>
          </w:p>
        </w:tc>
      </w:tr>
      <w:tr w:rsidR="00637054" w:rsidRPr="002A14A1" w14:paraId="2D4CC637" w14:textId="77777777" w:rsidTr="00637054">
        <w:tc>
          <w:tcPr>
            <w:tcW w:w="5000" w:type="pct"/>
          </w:tcPr>
          <w:p w14:paraId="6C2046E6" w14:textId="5B80B610" w:rsidR="00637054" w:rsidRPr="00B84C58" w:rsidRDefault="00637054" w:rsidP="007F0AE8">
            <w:pPr>
              <w:jc w:val="both"/>
              <w:rPr>
                <w:sz w:val="24"/>
                <w:szCs w:val="24"/>
              </w:rPr>
            </w:pPr>
            <w:r>
              <w:rPr>
                <w:sz w:val="24"/>
              </w:rPr>
              <w:t xml:space="preserve">7. nu stabilește o legătură între jocurile de noroc și succesul social, financiar și sexual;</w:t>
            </w:r>
          </w:p>
        </w:tc>
      </w:tr>
      <w:tr w:rsidR="00637054" w:rsidRPr="002A14A1" w14:paraId="3ECB2439" w14:textId="77777777" w:rsidTr="00637054">
        <w:tc>
          <w:tcPr>
            <w:tcW w:w="5000" w:type="pct"/>
          </w:tcPr>
          <w:p w14:paraId="4A0BB929" w14:textId="34CAAAFA" w:rsidR="00637054" w:rsidRPr="009620B3" w:rsidRDefault="00637054" w:rsidP="007F0AE8">
            <w:pPr>
              <w:jc w:val="both"/>
              <w:rPr>
                <w:bCs/>
                <w:sz w:val="24"/>
                <w:szCs w:val="24"/>
                <w:lang w:val="fr-BE"/>
              </w:rPr>
            </w:pPr>
          </w:p>
        </w:tc>
      </w:tr>
      <w:tr w:rsidR="00637054" w:rsidRPr="002A14A1" w14:paraId="3F7C09CD" w14:textId="77777777" w:rsidTr="00637054">
        <w:tc>
          <w:tcPr>
            <w:tcW w:w="5000" w:type="pct"/>
          </w:tcPr>
          <w:p w14:paraId="42E6581E" w14:textId="675736BC" w:rsidR="00637054" w:rsidRPr="007E74AA" w:rsidRDefault="00637054" w:rsidP="007F0AE8">
            <w:pPr>
              <w:jc w:val="both"/>
              <w:rPr>
                <w:sz w:val="24"/>
                <w:szCs w:val="24"/>
              </w:rPr>
            </w:pPr>
            <w:r>
              <w:rPr>
                <w:sz w:val="24"/>
              </w:rPr>
              <w:t xml:space="preserve">8. nu pune în scenă situații în care persoanele joacă sau pariază și, în același timp, consumă produse alcoolice sau tutun;</w:t>
            </w:r>
          </w:p>
          <w:p w14:paraId="19CF444D" w14:textId="77777777" w:rsidR="00637054" w:rsidRPr="007E74AA" w:rsidRDefault="00637054" w:rsidP="007F0AE8">
            <w:pPr>
              <w:jc w:val="both"/>
              <w:rPr>
                <w:bCs/>
                <w:sz w:val="24"/>
                <w:szCs w:val="24"/>
                <w:lang w:val="fr-BE"/>
              </w:rPr>
            </w:pPr>
          </w:p>
        </w:tc>
      </w:tr>
      <w:tr w:rsidR="00637054" w:rsidRPr="002A14A1" w14:paraId="1C8B3F7E" w14:textId="77777777" w:rsidTr="00637054">
        <w:tc>
          <w:tcPr>
            <w:tcW w:w="5000" w:type="pct"/>
          </w:tcPr>
          <w:p w14:paraId="4BDDAE33" w14:textId="77777777" w:rsidR="00637054" w:rsidRDefault="00637054" w:rsidP="007F0AE8">
            <w:pPr>
              <w:jc w:val="both"/>
              <w:rPr>
                <w:bCs/>
                <w:sz w:val="24"/>
                <w:szCs w:val="24"/>
              </w:rPr>
            </w:pPr>
            <w:r>
              <w:rPr>
                <w:sz w:val="24"/>
              </w:rPr>
              <w:t xml:space="preserve">9. nu promovează și nu se asociază cu reclame care oferă împrumuturi care pot fi obținute în scopul practicării jocurilor de noroc;</w:t>
            </w:r>
          </w:p>
          <w:p w14:paraId="612D2903" w14:textId="37C7B2E3" w:rsidR="00D03240" w:rsidRPr="007E74AA" w:rsidRDefault="00D03240" w:rsidP="007F0AE8">
            <w:pPr>
              <w:jc w:val="both"/>
              <w:rPr>
                <w:bCs/>
                <w:sz w:val="24"/>
                <w:szCs w:val="24"/>
                <w:lang w:val="fr-BE"/>
              </w:rPr>
            </w:pPr>
          </w:p>
        </w:tc>
      </w:tr>
      <w:tr w:rsidR="00637054" w:rsidRPr="002A14A1" w14:paraId="133ACB37" w14:textId="77777777" w:rsidTr="00637054">
        <w:tc>
          <w:tcPr>
            <w:tcW w:w="5000" w:type="pct"/>
          </w:tcPr>
          <w:p w14:paraId="0EEC1DAA" w14:textId="0461AFD5" w:rsidR="00637054" w:rsidRDefault="00637054" w:rsidP="00727B43">
            <w:pPr>
              <w:jc w:val="both"/>
              <w:rPr>
                <w:bCs/>
                <w:sz w:val="24"/>
                <w:szCs w:val="24"/>
              </w:rPr>
            </w:pPr>
            <w:r>
              <w:rPr>
                <w:sz w:val="24"/>
              </w:rPr>
              <w:t xml:space="preserve">10.</w:t>
            </w:r>
            <w:r>
              <w:t xml:space="preserve"> </w:t>
            </w:r>
            <w:r>
              <w:rPr>
                <w:sz w:val="24"/>
              </w:rPr>
              <w:t xml:space="preserve">nu utilizează desene sau tehnici de comercializare care se referă la personaje, imagini sau expresii populare sau la modă legate de persoanele menționate la articolul 15.</w:t>
            </w:r>
          </w:p>
        </w:tc>
      </w:tr>
      <w:tr w:rsidR="00637054" w:rsidRPr="002A14A1" w14:paraId="21631103" w14:textId="77777777" w:rsidTr="00637054">
        <w:tc>
          <w:tcPr>
            <w:tcW w:w="5000" w:type="pct"/>
          </w:tcPr>
          <w:p w14:paraId="65F5CA69" w14:textId="77777777" w:rsidR="00637054" w:rsidRPr="00B62CC5" w:rsidRDefault="00637054" w:rsidP="007F0AE8">
            <w:pPr>
              <w:pStyle w:val="Paragraphedeliste"/>
              <w:ind w:left="0"/>
              <w:jc w:val="both"/>
              <w:rPr>
                <w:rFonts w:asciiTheme="minorHAnsi" w:eastAsiaTheme="minorHAnsi" w:hAnsiTheme="minorHAnsi" w:cstheme="minorBidi"/>
                <w:bCs/>
                <w:sz w:val="24"/>
                <w:lang w:val="fr-BE"/>
              </w:rPr>
            </w:pPr>
          </w:p>
        </w:tc>
      </w:tr>
      <w:tr w:rsidR="00637054" w:rsidRPr="002A14A1" w14:paraId="4DBFBE49" w14:textId="77777777" w:rsidTr="00637054">
        <w:tc>
          <w:tcPr>
            <w:tcW w:w="5000" w:type="pct"/>
          </w:tcPr>
          <w:p w14:paraId="1ADC75FC" w14:textId="39648A87" w:rsidR="00637054" w:rsidRDefault="00637054" w:rsidP="007F0AE8">
            <w:pPr>
              <w:jc w:val="both"/>
              <w:rPr>
                <w:sz w:val="24"/>
              </w:rPr>
            </w:pPr>
            <w:r>
              <w:rPr>
                <w:sz w:val="24"/>
                <w:b/>
              </w:rPr>
              <w:t xml:space="preserve">Articolul 19</w:t>
            </w:r>
            <w:r>
              <w:rPr>
                <w:sz w:val="24"/>
              </w:rPr>
              <w:t xml:space="preserve"> </w:t>
            </w:r>
            <w:r>
              <w:rPr>
                <w:sz w:val="24"/>
              </w:rPr>
              <w:t xml:space="preserve">Publicitatea în favoarea jocurilor de noroc operate de titularii de licențe menționați la articolul 1 include indicația privind vârsta minimă necesară pentru a participa la astfel de jocuri de noroc.</w:t>
            </w:r>
            <w:r>
              <w:rPr>
                <w:sz w:val="24"/>
              </w:rPr>
              <w:t xml:space="preserve"> </w:t>
            </w:r>
            <w:r>
              <w:rPr>
                <w:sz w:val="24"/>
              </w:rPr>
              <w:t xml:space="preserve">Ministrul Justiției, după consultarea Consiliului Superior al Sănătății, stabilește condițiile pe care trebuie să le respecte această indicație privind vârsta.</w:t>
            </w:r>
          </w:p>
          <w:p w14:paraId="1622BD2A" w14:textId="74D139E5" w:rsidR="00637054" w:rsidRPr="008925BB" w:rsidRDefault="00637054" w:rsidP="007F0AE8">
            <w:pPr>
              <w:jc w:val="both"/>
              <w:rPr>
                <w:bCs/>
                <w:sz w:val="24"/>
                <w:szCs w:val="24"/>
                <w:lang w:val="fr-BE"/>
              </w:rPr>
            </w:pPr>
          </w:p>
        </w:tc>
      </w:tr>
      <w:tr w:rsidR="00637054" w:rsidRPr="002A14A1" w14:paraId="37D748A0" w14:textId="77777777" w:rsidTr="00637054">
        <w:tc>
          <w:tcPr>
            <w:tcW w:w="5000" w:type="pct"/>
          </w:tcPr>
          <w:p w14:paraId="7F2E8CAA" w14:textId="429BE955" w:rsidR="00637054" w:rsidRPr="000B5CBC" w:rsidRDefault="00637054" w:rsidP="0041737C">
            <w:pPr>
              <w:jc w:val="both"/>
              <w:rPr>
                <w:bCs/>
                <w:sz w:val="24"/>
                <w:szCs w:val="24"/>
                <w:highlight w:val="yellow"/>
              </w:rPr>
            </w:pPr>
            <w:r>
              <w:rPr>
                <w:sz w:val="24"/>
                <w:b/>
              </w:rPr>
              <w:t xml:space="preserve">Articolul 20</w:t>
            </w:r>
            <w:r>
              <w:rPr>
                <w:sz w:val="24"/>
              </w:rPr>
              <w:t xml:space="preserve">  </w:t>
            </w:r>
            <w:r>
              <w:rPr>
                <w:sz w:val="24"/>
              </w:rPr>
              <w:t xml:space="preserve">Indiferent de mediul utilizat, fiecare reclamă pentru jocuri de noroc conține un mesaj de prevenire.</w:t>
            </w:r>
            <w:r>
              <w:rPr>
                <w:sz w:val="24"/>
              </w:rPr>
              <w:t xml:space="preserve">  </w:t>
            </w:r>
            <w:r>
              <w:rPr>
                <w:sz w:val="24"/>
              </w:rPr>
              <w:t xml:space="preserve">Ministrul Justiției, după consultarea Consiliului Superior al Sănătății, stabilește condițiile pe care trebuie să le respecte acest mesaj de prevenire.</w:t>
            </w:r>
          </w:p>
        </w:tc>
      </w:tr>
      <w:tr w:rsidR="00637054" w:rsidRPr="002A14A1" w14:paraId="5BE9BFAE" w14:textId="77777777" w:rsidTr="00637054">
        <w:tc>
          <w:tcPr>
            <w:tcW w:w="5000" w:type="pct"/>
          </w:tcPr>
          <w:p w14:paraId="472E7275" w14:textId="27D330EE" w:rsidR="00637054" w:rsidRPr="00A8498A" w:rsidRDefault="00637054" w:rsidP="007F0AE8">
            <w:pPr>
              <w:jc w:val="both"/>
              <w:rPr>
                <w:bCs/>
                <w:sz w:val="24"/>
                <w:szCs w:val="24"/>
                <w:lang w:val="fr-BE"/>
              </w:rPr>
            </w:pPr>
          </w:p>
        </w:tc>
      </w:tr>
      <w:tr w:rsidR="00637054" w:rsidRPr="00A8498A" w14:paraId="0218A407" w14:textId="77777777" w:rsidTr="00637054">
        <w:tc>
          <w:tcPr>
            <w:tcW w:w="5000" w:type="pct"/>
          </w:tcPr>
          <w:p w14:paraId="3F983D45" w14:textId="77777777" w:rsidR="00637054" w:rsidRDefault="00637054" w:rsidP="007F0AE8">
            <w:pPr>
              <w:jc w:val="both"/>
              <w:rPr>
                <w:b/>
                <w:bCs/>
                <w:sz w:val="24"/>
                <w:szCs w:val="24"/>
              </w:rPr>
            </w:pPr>
            <w:r>
              <w:rPr>
                <w:b/>
                <w:sz w:val="24"/>
              </w:rPr>
              <w:t xml:space="preserve">Capitolul 4 – Dispoziții finale</w:t>
            </w:r>
          </w:p>
          <w:p w14:paraId="03E84E83" w14:textId="3424E1E6" w:rsidR="00637054" w:rsidRPr="00AF4B6C" w:rsidRDefault="00637054" w:rsidP="007F0AE8">
            <w:pPr>
              <w:jc w:val="both"/>
              <w:rPr>
                <w:b/>
                <w:bCs/>
                <w:sz w:val="24"/>
                <w:szCs w:val="24"/>
                <w:lang w:val="fr-BE"/>
              </w:rPr>
            </w:pPr>
          </w:p>
        </w:tc>
      </w:tr>
      <w:tr w:rsidR="00637054" w:rsidRPr="002A14A1" w14:paraId="76C5F82E" w14:textId="77777777" w:rsidTr="00637054">
        <w:tc>
          <w:tcPr>
            <w:tcW w:w="5000" w:type="pct"/>
          </w:tcPr>
          <w:p w14:paraId="421D3D50" w14:textId="4DB737C1" w:rsidR="00637054" w:rsidRDefault="00637054" w:rsidP="00727B43">
            <w:pPr>
              <w:jc w:val="both"/>
              <w:rPr>
                <w:sz w:val="24"/>
                <w:szCs w:val="24"/>
                <w:rFonts w:cstheme="minorHAnsi"/>
              </w:rPr>
            </w:pPr>
            <w:r>
              <w:rPr>
                <w:sz w:val="24"/>
                <w:b/>
              </w:rPr>
              <w:t xml:space="preserve">Articolul 21</w:t>
            </w:r>
            <w:r>
              <w:rPr>
                <w:sz w:val="24"/>
              </w:rPr>
              <w:t xml:space="preserve"> </w:t>
            </w:r>
            <w:r>
              <w:rPr>
                <w:sz w:val="24"/>
              </w:rPr>
              <w:t xml:space="preserve">Titularul de licență prevăzut la articolul 1 răspunde pentru nerespectarea dispozițiilor prezentului decret.</w:t>
            </w:r>
          </w:p>
        </w:tc>
      </w:tr>
      <w:tr w:rsidR="00637054" w:rsidRPr="002A14A1" w14:paraId="05AF8FE5" w14:textId="77777777" w:rsidTr="00637054">
        <w:tc>
          <w:tcPr>
            <w:tcW w:w="5000" w:type="pct"/>
          </w:tcPr>
          <w:p w14:paraId="676E1885" w14:textId="77777777" w:rsidR="00637054" w:rsidRPr="000B5CBC" w:rsidRDefault="00637054" w:rsidP="007F0AE8">
            <w:pPr>
              <w:jc w:val="both"/>
              <w:rPr>
                <w:rFonts w:cstheme="minorHAnsi"/>
                <w:sz w:val="24"/>
                <w:szCs w:val="24"/>
                <w:lang w:val="fr-BE"/>
              </w:rPr>
            </w:pPr>
          </w:p>
        </w:tc>
      </w:tr>
      <w:tr w:rsidR="00637054" w:rsidRPr="002A14A1" w14:paraId="35826547" w14:textId="77777777" w:rsidTr="00637054">
        <w:tc>
          <w:tcPr>
            <w:tcW w:w="5000" w:type="pct"/>
          </w:tcPr>
          <w:p w14:paraId="5D4830BB" w14:textId="0C7CD615" w:rsidR="00637054" w:rsidRPr="00A8498A" w:rsidRDefault="00637054" w:rsidP="002D1BC8">
            <w:pPr>
              <w:jc w:val="both"/>
              <w:rPr>
                <w:bCs/>
                <w:sz w:val="24"/>
                <w:szCs w:val="24"/>
              </w:rPr>
            </w:pPr>
            <w:r>
              <w:rPr>
                <w:sz w:val="24"/>
              </w:rPr>
              <w:t xml:space="preserve">În plus față de titularul de licență prevăzut la articolul 1, persoana responsabilă pentru conținut, proprietarul sau administratorul mediului de difuzare, persoana responsabilă pentru locul de destinație și orice altă parte terță care nu respectă dispozițiile prezentului decret pot fi, de asemenea, trase la răspundere.</w:t>
            </w:r>
            <w:r>
              <w:rPr>
                <w:sz w:val="24"/>
              </w:rPr>
              <w:t xml:space="preserve"> </w:t>
            </w:r>
          </w:p>
        </w:tc>
      </w:tr>
      <w:tr w:rsidR="00637054" w:rsidRPr="002A14A1" w14:paraId="0A08B815" w14:textId="77777777" w:rsidTr="00637054">
        <w:tc>
          <w:tcPr>
            <w:tcW w:w="5000" w:type="pct"/>
          </w:tcPr>
          <w:p w14:paraId="521851D8" w14:textId="19EA05C3" w:rsidR="00637054" w:rsidRPr="00A8498A" w:rsidRDefault="00637054" w:rsidP="007F0AE8">
            <w:pPr>
              <w:jc w:val="both"/>
              <w:rPr>
                <w:rFonts w:cstheme="minorHAnsi"/>
                <w:sz w:val="24"/>
                <w:szCs w:val="24"/>
                <w:lang w:val="fr-BE"/>
              </w:rPr>
            </w:pPr>
          </w:p>
        </w:tc>
      </w:tr>
      <w:tr w:rsidR="00637054" w:rsidRPr="002A14A1" w14:paraId="50DDFE95" w14:textId="77777777" w:rsidTr="00637054">
        <w:tc>
          <w:tcPr>
            <w:tcW w:w="5000" w:type="pct"/>
          </w:tcPr>
          <w:p w14:paraId="03683C4D" w14:textId="61674173" w:rsidR="00637054" w:rsidRPr="00A8498A" w:rsidRDefault="00637054" w:rsidP="007F0AE8">
            <w:pPr>
              <w:pStyle w:val="Paragraphedeliste"/>
              <w:ind w:left="0"/>
              <w:jc w:val="both"/>
              <w:rPr>
                <w:sz w:val="24"/>
                <w:lang w:val="fr-BE"/>
              </w:rPr>
            </w:pPr>
          </w:p>
        </w:tc>
      </w:tr>
      <w:tr w:rsidR="00637054" w:rsidRPr="00C955EB" w14:paraId="5487744A" w14:textId="77777777" w:rsidTr="00637054">
        <w:tc>
          <w:tcPr>
            <w:tcW w:w="5000" w:type="pct"/>
            <w:shd w:val="clear" w:color="auto" w:fill="auto"/>
          </w:tcPr>
          <w:p w14:paraId="4DB8A4D4" w14:textId="77777777" w:rsidR="00637054" w:rsidRDefault="00637054" w:rsidP="007F0AE8">
            <w:pPr>
              <w:jc w:val="both"/>
              <w:rPr>
                <w:b/>
                <w:sz w:val="24"/>
                <w:szCs w:val="24"/>
                <w:rFonts w:cstheme="minorHAnsi"/>
              </w:rPr>
            </w:pPr>
            <w:r>
              <w:rPr>
                <w:b/>
                <w:sz w:val="24"/>
              </w:rPr>
              <w:t xml:space="preserve">Capitolul 5.</w:t>
            </w:r>
            <w:r>
              <w:rPr>
                <w:b/>
                <w:sz w:val="24"/>
              </w:rPr>
              <w:t xml:space="preserve"> </w:t>
            </w:r>
            <w:r>
              <w:rPr>
                <w:b/>
                <w:sz w:val="24"/>
              </w:rPr>
              <w:t xml:space="preserve">-</w:t>
            </w:r>
            <w:r>
              <w:rPr>
                <w:b/>
                <w:sz w:val="24"/>
              </w:rPr>
              <w:t xml:space="preserve"> </w:t>
            </w:r>
            <w:r>
              <w:rPr>
                <w:b/>
                <w:sz w:val="24"/>
              </w:rPr>
              <w:t xml:space="preserve">Dispoziții de abrogare</w:t>
            </w:r>
          </w:p>
          <w:p w14:paraId="49B23426" w14:textId="2BD3C102" w:rsidR="00637054" w:rsidRPr="00C955EB" w:rsidRDefault="00637054" w:rsidP="007F0AE8">
            <w:pPr>
              <w:jc w:val="both"/>
              <w:rPr>
                <w:rFonts w:cstheme="minorHAnsi"/>
                <w:b/>
                <w:sz w:val="24"/>
                <w:szCs w:val="24"/>
                <w:lang w:val="nl-BE"/>
              </w:rPr>
            </w:pPr>
          </w:p>
        </w:tc>
      </w:tr>
      <w:tr w:rsidR="00637054" w:rsidRPr="002A14A1" w14:paraId="74EA5916" w14:textId="77777777" w:rsidTr="00637054">
        <w:tc>
          <w:tcPr>
            <w:tcW w:w="5000" w:type="pct"/>
          </w:tcPr>
          <w:p w14:paraId="3CC025F2" w14:textId="7910490C" w:rsidR="00637054" w:rsidRDefault="00637054" w:rsidP="0060188E">
            <w:pPr>
              <w:jc w:val="both"/>
              <w:rPr>
                <w:b/>
                <w:bCs/>
                <w:sz w:val="24"/>
              </w:rPr>
            </w:pPr>
            <w:r>
              <w:rPr>
                <w:sz w:val="24"/>
                <w:b/>
              </w:rPr>
              <w:t xml:space="preserve">Articolul 22 </w:t>
            </w:r>
            <w:r>
              <w:rPr>
                <w:sz w:val="24"/>
              </w:rPr>
              <w:t xml:space="preserve">Articolul 6 alineatul (1) și articolul 2 alineatul (2) din prezentul decret se abrogă de la 1 ianuarie 2025.</w:t>
            </w:r>
            <w:r>
              <w:rPr>
                <w:sz w:val="24"/>
              </w:rPr>
              <w:t xml:space="preserve"> </w:t>
            </w:r>
          </w:p>
          <w:p w14:paraId="16F29FD4" w14:textId="77777777" w:rsidR="00637054" w:rsidRPr="008B66B6" w:rsidRDefault="00637054" w:rsidP="003836D0">
            <w:pPr>
              <w:jc w:val="both"/>
              <w:rPr>
                <w:b/>
                <w:bCs/>
                <w:sz w:val="24"/>
                <w:lang w:val="fr-BE"/>
              </w:rPr>
            </w:pPr>
          </w:p>
        </w:tc>
      </w:tr>
      <w:tr w:rsidR="00637054" w:rsidRPr="002A14A1" w14:paraId="3174D572" w14:textId="77777777" w:rsidTr="00637054">
        <w:tc>
          <w:tcPr>
            <w:tcW w:w="5000" w:type="pct"/>
          </w:tcPr>
          <w:p w14:paraId="170EE506" w14:textId="2A342D2F" w:rsidR="00637054" w:rsidRPr="008B66B6" w:rsidRDefault="00637054" w:rsidP="0041737C">
            <w:pPr>
              <w:jc w:val="both"/>
              <w:rPr>
                <w:bCs/>
                <w:sz w:val="24"/>
              </w:rPr>
            </w:pPr>
            <w:r>
              <w:rPr>
                <w:sz w:val="24"/>
                <w:b/>
              </w:rPr>
              <w:t xml:space="preserve">Articolul 23</w:t>
            </w:r>
            <w:r>
              <w:rPr>
                <w:sz w:val="24"/>
              </w:rPr>
              <w:t xml:space="preserve"> Articolele 1-5 și 7-11 din Decretul regal din 28 octombrie 2018 privind condițiile pentru jocurile de noroc și pariurile care utilizează instrumente ale societății informaționale se abrogă.</w:t>
            </w:r>
            <w:r>
              <w:rPr>
                <w:sz w:val="24"/>
              </w:rPr>
              <w:t xml:space="preserve"> </w:t>
            </w:r>
          </w:p>
        </w:tc>
      </w:tr>
      <w:tr w:rsidR="00637054" w:rsidRPr="002A14A1" w14:paraId="62179B40" w14:textId="77777777" w:rsidTr="00637054">
        <w:tc>
          <w:tcPr>
            <w:tcW w:w="5000" w:type="pct"/>
          </w:tcPr>
          <w:p w14:paraId="61B46F1D" w14:textId="00F0EC79" w:rsidR="00637054" w:rsidRPr="003836D0" w:rsidRDefault="00637054" w:rsidP="003836D0">
            <w:pPr>
              <w:rPr>
                <w:rFonts w:cstheme="minorHAnsi"/>
                <w:sz w:val="24"/>
                <w:szCs w:val="24"/>
                <w:lang w:val="fr-BE"/>
              </w:rPr>
            </w:pPr>
          </w:p>
        </w:tc>
      </w:tr>
      <w:tr w:rsidR="00637054" w:rsidRPr="005008F2" w14:paraId="3DA60347" w14:textId="77777777" w:rsidTr="00637054">
        <w:tc>
          <w:tcPr>
            <w:tcW w:w="5000" w:type="pct"/>
            <w:shd w:val="clear" w:color="auto" w:fill="auto"/>
          </w:tcPr>
          <w:p w14:paraId="17E1E1C5" w14:textId="7B8790FF" w:rsidR="00637054" w:rsidRDefault="00637054" w:rsidP="003836D0">
            <w:pPr>
              <w:jc w:val="both"/>
              <w:rPr>
                <w:b/>
                <w:sz w:val="24"/>
                <w:szCs w:val="24"/>
                <w:rFonts w:cstheme="minorHAnsi"/>
              </w:rPr>
            </w:pPr>
            <w:r>
              <w:rPr>
                <w:b/>
                <w:sz w:val="24"/>
              </w:rPr>
              <w:t xml:space="preserve">Capitolul 6.</w:t>
            </w:r>
            <w:r>
              <w:rPr>
                <w:b/>
                <w:sz w:val="24"/>
              </w:rPr>
              <w:t xml:space="preserve">  </w:t>
            </w:r>
            <w:r>
              <w:rPr>
                <w:b/>
                <w:sz w:val="24"/>
              </w:rPr>
              <w:t xml:space="preserve">-</w:t>
            </w:r>
            <w:r>
              <w:rPr>
                <w:b/>
                <w:sz w:val="24"/>
              </w:rPr>
              <w:t xml:space="preserve"> </w:t>
            </w:r>
            <w:r>
              <w:rPr>
                <w:b/>
                <w:sz w:val="24"/>
              </w:rPr>
              <w:t xml:space="preserve">Dispoziție tranzitorie</w:t>
            </w:r>
            <w:r>
              <w:rPr>
                <w:b/>
                <w:sz w:val="24"/>
              </w:rPr>
              <w:t xml:space="preserve"> </w:t>
            </w:r>
          </w:p>
          <w:p w14:paraId="7A1974E2" w14:textId="51574A72" w:rsidR="00637054" w:rsidRPr="00DC078A" w:rsidRDefault="00637054" w:rsidP="003836D0">
            <w:pPr>
              <w:jc w:val="both"/>
              <w:rPr>
                <w:rFonts w:cstheme="minorHAnsi"/>
                <w:b/>
                <w:sz w:val="24"/>
                <w:szCs w:val="24"/>
                <w:lang w:val="fr-BE"/>
              </w:rPr>
            </w:pPr>
          </w:p>
        </w:tc>
      </w:tr>
      <w:tr w:rsidR="00637054" w:rsidRPr="002A14A1" w14:paraId="40F5A559" w14:textId="77777777" w:rsidTr="00637054">
        <w:tc>
          <w:tcPr>
            <w:tcW w:w="5000" w:type="pct"/>
          </w:tcPr>
          <w:p w14:paraId="3151501D" w14:textId="0D940E3E" w:rsidR="00637054" w:rsidRDefault="002A14A1" w:rsidP="003836D0">
            <w:pPr>
              <w:jc w:val="both"/>
              <w:rPr>
                <w:sz w:val="24"/>
                <w:szCs w:val="24"/>
                <w:rFonts w:cstheme="minorHAnsi"/>
              </w:rPr>
            </w:pPr>
            <w:r>
              <w:rPr>
                <w:sz w:val="24"/>
                <w:b/>
              </w:rPr>
              <w:t xml:space="preserve">Articolul 24</w:t>
            </w:r>
            <w:r>
              <w:rPr>
                <w:sz w:val="24"/>
              </w:rPr>
              <w:t xml:space="preserve"> </w:t>
            </w:r>
            <w:r>
              <w:rPr>
                <w:sz w:val="24"/>
              </w:rPr>
              <w:t xml:space="preserve">Contractele de publicitate încheiate înainte de 10 mai 2022 între titularii de licențe menționați la articolul 1 și agențiile de publicitate rămân valabile în aceleași condiții până la 1 octombrie 2023, cu condiția ca titularii de licențe să respecte articolele 13-20 din prezentul decret.</w:t>
            </w:r>
            <w:r>
              <w:rPr>
                <w:sz w:val="24"/>
              </w:rPr>
              <w:t xml:space="preserve">  </w:t>
            </w:r>
          </w:p>
          <w:p w14:paraId="34B93A12" w14:textId="23208314" w:rsidR="00637054" w:rsidRPr="000B5CBC" w:rsidRDefault="00637054" w:rsidP="003836D0">
            <w:pPr>
              <w:jc w:val="both"/>
              <w:rPr>
                <w:rFonts w:cstheme="minorHAnsi"/>
                <w:sz w:val="24"/>
                <w:szCs w:val="24"/>
                <w:lang w:val="fr-BE"/>
              </w:rPr>
            </w:pPr>
          </w:p>
        </w:tc>
      </w:tr>
      <w:tr w:rsidR="00637054" w:rsidRPr="002A14A1" w14:paraId="6596A8C7" w14:textId="77777777" w:rsidTr="00637054">
        <w:tc>
          <w:tcPr>
            <w:tcW w:w="5000" w:type="pct"/>
          </w:tcPr>
          <w:p w14:paraId="2DAF4BAD" w14:textId="15C4B51D" w:rsidR="00637054" w:rsidRDefault="00637054" w:rsidP="00E94FAC">
            <w:pPr>
              <w:jc w:val="both"/>
              <w:rPr>
                <w:sz w:val="24"/>
                <w:szCs w:val="24"/>
                <w:rFonts w:cstheme="minorHAnsi"/>
              </w:rPr>
            </w:pPr>
            <w:r>
              <w:rPr>
                <w:sz w:val="24"/>
                <w:b/>
              </w:rPr>
              <w:t xml:space="preserve">Articolul 25</w:t>
            </w:r>
            <w:r>
              <w:rPr>
                <w:sz w:val="24"/>
              </w:rPr>
              <w:t xml:space="preserve"> </w:t>
            </w:r>
            <w:r>
              <w:rPr>
                <w:sz w:val="24"/>
              </w:rPr>
              <w:t xml:space="preserve">În lipsa unei decizii a ministrului justiției, la data intrării în vigoare a prezentului decret, cu privire la condițiile pe care trebuie să le respecte indicația privind vârsta și mesajul de prevenire prevăzute la articolele 19 și 20, dimensiunea literelor indicației privind vârsta și a mesajului de prevenire trebuie să fie de cel puțin 4 % din dimensiunea spațiului publicitar și să aibă o valoare minimă de 7 puncte, dar nu mai mică de un sfert din dimensiunea celor mai mari caractere utilizate în materialul publicitar.</w:t>
            </w:r>
          </w:p>
          <w:p w14:paraId="61B7DC98" w14:textId="22D0573C" w:rsidR="00637054" w:rsidRPr="00E94FAC" w:rsidRDefault="00637054" w:rsidP="00E94FAC">
            <w:pPr>
              <w:jc w:val="both"/>
              <w:rPr>
                <w:rFonts w:cstheme="minorHAnsi"/>
                <w:sz w:val="24"/>
                <w:szCs w:val="24"/>
                <w:lang w:val="fr-BE"/>
              </w:rPr>
            </w:pPr>
          </w:p>
        </w:tc>
      </w:tr>
      <w:tr w:rsidR="00637054" w:rsidRPr="00E94FAC" w14:paraId="4BB99413" w14:textId="77777777" w:rsidTr="00637054">
        <w:tc>
          <w:tcPr>
            <w:tcW w:w="5000" w:type="pct"/>
          </w:tcPr>
          <w:p w14:paraId="04A1BC18" w14:textId="6C176603" w:rsidR="00637054" w:rsidRPr="007A2C4B" w:rsidRDefault="00637054" w:rsidP="003836D0">
            <w:pPr>
              <w:jc w:val="both"/>
              <w:rPr>
                <w:b/>
                <w:sz w:val="24"/>
                <w:szCs w:val="24"/>
                <w:rFonts w:cstheme="minorHAnsi"/>
              </w:rPr>
            </w:pPr>
            <w:r>
              <w:rPr>
                <w:b/>
                <w:sz w:val="24"/>
              </w:rPr>
              <w:t xml:space="preserve">Capitolul 7.</w:t>
            </w:r>
            <w:r>
              <w:rPr>
                <w:b/>
                <w:sz w:val="24"/>
              </w:rPr>
              <w:t xml:space="preserve"> </w:t>
            </w:r>
            <w:r>
              <w:rPr>
                <w:b/>
                <w:sz w:val="24"/>
              </w:rPr>
              <w:t xml:space="preserve">-</w:t>
            </w:r>
            <w:r>
              <w:rPr>
                <w:b/>
                <w:sz w:val="24"/>
              </w:rPr>
              <w:t xml:space="preserve"> </w:t>
            </w:r>
            <w:r>
              <w:rPr>
                <w:b/>
                <w:sz w:val="24"/>
              </w:rPr>
              <w:t xml:space="preserve">Dispoziție finală</w:t>
            </w:r>
          </w:p>
        </w:tc>
      </w:tr>
      <w:tr w:rsidR="00637054" w:rsidRPr="00E94FAC" w14:paraId="55E7FBD3" w14:textId="77777777" w:rsidTr="00637054">
        <w:tc>
          <w:tcPr>
            <w:tcW w:w="5000" w:type="pct"/>
            <w:shd w:val="clear" w:color="auto" w:fill="auto"/>
          </w:tcPr>
          <w:p w14:paraId="0B083BBA" w14:textId="56FF4804" w:rsidR="00637054" w:rsidRPr="007A2C4B" w:rsidRDefault="00637054" w:rsidP="003836D0">
            <w:pPr>
              <w:jc w:val="both"/>
              <w:rPr>
                <w:rFonts w:cstheme="minorHAnsi"/>
                <w:sz w:val="24"/>
                <w:szCs w:val="24"/>
                <w:lang w:val="nl-BE"/>
              </w:rPr>
            </w:pPr>
          </w:p>
        </w:tc>
      </w:tr>
      <w:tr w:rsidR="00637054" w:rsidRPr="002A14A1" w14:paraId="3DA6F8E1" w14:textId="77777777" w:rsidTr="00637054">
        <w:tc>
          <w:tcPr>
            <w:tcW w:w="5000" w:type="pct"/>
            <w:shd w:val="clear" w:color="auto" w:fill="auto"/>
          </w:tcPr>
          <w:p w14:paraId="5CEAFADE" w14:textId="6355FDC8" w:rsidR="00637054" w:rsidRPr="007E74AA" w:rsidRDefault="00637054" w:rsidP="00E94FAC">
            <w:pPr>
              <w:jc w:val="both"/>
              <w:rPr>
                <w:sz w:val="24"/>
                <w:szCs w:val="24"/>
                <w:rFonts w:cstheme="minorHAnsi"/>
              </w:rPr>
            </w:pPr>
            <w:r>
              <w:rPr>
                <w:sz w:val="24"/>
                <w:b/>
              </w:rPr>
              <w:t xml:space="preserve">Articolul 26</w:t>
            </w:r>
            <w:r>
              <w:rPr>
                <w:sz w:val="24"/>
              </w:rPr>
              <w:t xml:space="preserve"> </w:t>
            </w:r>
            <w:r>
              <w:rPr>
                <w:sz w:val="24"/>
              </w:rPr>
              <w:t xml:space="preserve">Ministrul economiei, ministrul finanțelor, ministrul sănătății publice, ministrul justiției, ministrul afacerilor interne răspund, fiecare în ceea ce îl privește, pentru executarea prezentului decret.</w:t>
            </w:r>
          </w:p>
        </w:tc>
      </w:tr>
      <w:tr w:rsidR="00637054" w:rsidRPr="002A14A1" w14:paraId="7ABBACC0" w14:textId="77777777" w:rsidTr="00637054">
        <w:tc>
          <w:tcPr>
            <w:tcW w:w="5000" w:type="pct"/>
            <w:shd w:val="clear" w:color="auto" w:fill="auto"/>
          </w:tcPr>
          <w:p w14:paraId="1A84FBC6" w14:textId="77777777" w:rsidR="00637054" w:rsidRPr="007E74AA" w:rsidRDefault="00637054" w:rsidP="003836D0">
            <w:pPr>
              <w:jc w:val="both"/>
              <w:rPr>
                <w:rFonts w:cstheme="minorHAnsi"/>
                <w:sz w:val="24"/>
                <w:szCs w:val="24"/>
                <w:lang w:val="fr-BE"/>
              </w:rPr>
            </w:pPr>
          </w:p>
        </w:tc>
      </w:tr>
    </w:tbl>
    <w:p w14:paraId="0944663F" w14:textId="77777777" w:rsidR="006A06A1" w:rsidRPr="006A06A1" w:rsidRDefault="006A06A1">
      <w:pPr>
        <w:rPr>
          <w:lang w:val="fr-BE"/>
        </w:rPr>
      </w:pPr>
    </w:p>
    <w:sectPr w:rsidR="006A06A1" w:rsidRPr="006A06A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CD970" w14:textId="77777777" w:rsidR="00010F86" w:rsidRDefault="00010F86" w:rsidP="008167FE">
      <w:pPr>
        <w:spacing w:after="0" w:line="240" w:lineRule="auto"/>
      </w:pPr>
      <w:r>
        <w:separator/>
      </w:r>
    </w:p>
  </w:endnote>
  <w:endnote w:type="continuationSeparator" w:id="0">
    <w:p w14:paraId="6D609CB8" w14:textId="77777777" w:rsidR="00010F86" w:rsidRDefault="00010F86" w:rsidP="008167FE">
      <w:pPr>
        <w:spacing w:after="0" w:line="240" w:lineRule="auto"/>
      </w:pPr>
      <w:r>
        <w:continuationSeparator/>
      </w:r>
    </w:p>
  </w:endnote>
  <w:endnote w:type="continuationNotice" w:id="1">
    <w:p w14:paraId="15D2AAA0" w14:textId="77777777" w:rsidR="00010F86" w:rsidRDefault="00010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3021696"/>
      <w:docPartObj>
        <w:docPartGallery w:val="Page Numbers (Bottom of Page)"/>
        <w:docPartUnique/>
      </w:docPartObj>
    </w:sdtPr>
    <w:sdtEndPr/>
    <w:sdtContent>
      <w:p w14:paraId="4A2790D5" w14:textId="77777777" w:rsidR="00435ADB" w:rsidRDefault="00435ADB">
        <w:pPr>
          <w:pStyle w:val="Pieddepage"/>
          <w:jc w:val="center"/>
        </w:pPr>
        <w:r>
          <w:fldChar w:fldCharType="begin"/>
        </w:r>
        <w:r>
          <w:instrText>PAGE   \* MERGEFORMAT</w:instrText>
        </w:r>
        <w:r>
          <w:fldChar w:fldCharType="separate"/>
        </w:r>
        <w:r w:rsidR="002A14A1" w:rsidRPr="002A14A1">
          <w:t>6</w:t>
        </w:r>
        <w:r>
          <w:fldChar w:fldCharType="end"/>
        </w:r>
      </w:p>
    </w:sdtContent>
  </w:sdt>
  <w:p w14:paraId="6AEC0A47" w14:textId="77777777" w:rsidR="00435ADB" w:rsidRDefault="00435A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FCEAB" w14:textId="77777777" w:rsidR="00010F86" w:rsidRDefault="00010F86" w:rsidP="008167FE">
      <w:pPr>
        <w:spacing w:after="0" w:line="240" w:lineRule="auto"/>
      </w:pPr>
      <w:r>
        <w:separator/>
      </w:r>
    </w:p>
  </w:footnote>
  <w:footnote w:type="continuationSeparator" w:id="0">
    <w:p w14:paraId="6B7E2A0E" w14:textId="77777777" w:rsidR="00010F86" w:rsidRDefault="00010F86" w:rsidP="008167FE">
      <w:pPr>
        <w:spacing w:after="0" w:line="240" w:lineRule="auto"/>
      </w:pPr>
      <w:r>
        <w:continuationSeparator/>
      </w:r>
    </w:p>
  </w:footnote>
  <w:footnote w:type="continuationNotice" w:id="1">
    <w:p w14:paraId="0C558EE9" w14:textId="77777777" w:rsidR="00010F86" w:rsidRDefault="00010F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7507C"/>
    <w:multiLevelType w:val="hybridMultilevel"/>
    <w:tmpl w:val="A700388A"/>
    <w:lvl w:ilvl="0" w:tplc="3490C65E">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A5CA5"/>
    <w:multiLevelType w:val="hybridMultilevel"/>
    <w:tmpl w:val="CE2E68CA"/>
    <w:lvl w:ilvl="0" w:tplc="A08CA2D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81646A3"/>
    <w:multiLevelType w:val="hybridMultilevel"/>
    <w:tmpl w:val="6B728724"/>
    <w:lvl w:ilvl="0" w:tplc="956CC2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C64C8"/>
    <w:multiLevelType w:val="hybridMultilevel"/>
    <w:tmpl w:val="E388536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85E5A19"/>
    <w:multiLevelType w:val="hybridMultilevel"/>
    <w:tmpl w:val="CF7A13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01295E"/>
    <w:multiLevelType w:val="hybridMultilevel"/>
    <w:tmpl w:val="E0A249B8"/>
    <w:lvl w:ilvl="0" w:tplc="83946590">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E5ED1"/>
    <w:multiLevelType w:val="hybridMultilevel"/>
    <w:tmpl w:val="2C0E9D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EE3D03"/>
    <w:multiLevelType w:val="hybridMultilevel"/>
    <w:tmpl w:val="000047CE"/>
    <w:lvl w:ilvl="0" w:tplc="F184E17C">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8B56687"/>
    <w:multiLevelType w:val="hybridMultilevel"/>
    <w:tmpl w:val="5064694E"/>
    <w:lvl w:ilvl="0" w:tplc="2F8C639A">
      <w:start w:val="1"/>
      <w:numFmt w:val="bullet"/>
      <w:lvlText w:val=""/>
      <w:lvlJc w:val="left"/>
      <w:pPr>
        <w:ind w:left="720" w:hanging="360"/>
      </w:pPr>
      <w:rPr>
        <w:rFonts w:ascii="Symbol" w:hAnsi="Symbol" w:hint="default"/>
      </w:rPr>
    </w:lvl>
    <w:lvl w:ilvl="1" w:tplc="43B272EA">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C630560"/>
    <w:multiLevelType w:val="hybridMultilevel"/>
    <w:tmpl w:val="DFE4AE76"/>
    <w:lvl w:ilvl="0" w:tplc="1BEA3244">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0D75A8F"/>
    <w:multiLevelType w:val="hybridMultilevel"/>
    <w:tmpl w:val="C812E900"/>
    <w:lvl w:ilvl="0" w:tplc="2F8C639A">
      <w:start w:val="1"/>
      <w:numFmt w:val="bullet"/>
      <w:lvlText w:val=""/>
      <w:lvlJc w:val="left"/>
      <w:pPr>
        <w:ind w:left="720" w:hanging="360"/>
      </w:pPr>
      <w:rPr>
        <w:rFonts w:ascii="Symbol" w:hAnsi="Symbol" w:hint="default"/>
      </w:rPr>
    </w:lvl>
    <w:lvl w:ilvl="1" w:tplc="43B272EA">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1984357"/>
    <w:multiLevelType w:val="hybridMultilevel"/>
    <w:tmpl w:val="50CE6316"/>
    <w:lvl w:ilvl="0" w:tplc="5D8C5E2C">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3546A0D"/>
    <w:multiLevelType w:val="hybridMultilevel"/>
    <w:tmpl w:val="21C60154"/>
    <w:lvl w:ilvl="0" w:tplc="3E3E47AC">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63784950"/>
    <w:multiLevelType w:val="hybridMultilevel"/>
    <w:tmpl w:val="2C0E9D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C77E75"/>
    <w:multiLevelType w:val="hybridMultilevel"/>
    <w:tmpl w:val="469E6904"/>
    <w:lvl w:ilvl="0" w:tplc="4FE432CC">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C5F1F"/>
    <w:multiLevelType w:val="hybridMultilevel"/>
    <w:tmpl w:val="904EA432"/>
    <w:lvl w:ilvl="0" w:tplc="2F8C639A">
      <w:start w:val="1"/>
      <w:numFmt w:val="bullet"/>
      <w:lvlText w:val=""/>
      <w:lvlJc w:val="left"/>
      <w:pPr>
        <w:ind w:left="720" w:hanging="360"/>
      </w:pPr>
      <w:rPr>
        <w:rFonts w:ascii="Symbol" w:hAnsi="Symbol" w:hint="default"/>
      </w:rPr>
    </w:lvl>
    <w:lvl w:ilvl="1" w:tplc="43B272EA">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6266ADA"/>
    <w:multiLevelType w:val="hybridMultilevel"/>
    <w:tmpl w:val="50C61B78"/>
    <w:lvl w:ilvl="0" w:tplc="4860EB4C">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13"/>
  </w:num>
  <w:num w:numId="5">
    <w:abstractNumId w:val="6"/>
  </w:num>
  <w:num w:numId="6">
    <w:abstractNumId w:val="14"/>
  </w:num>
  <w:num w:numId="7">
    <w:abstractNumId w:val="4"/>
  </w:num>
  <w:num w:numId="8">
    <w:abstractNumId w:val="0"/>
  </w:num>
  <w:num w:numId="9">
    <w:abstractNumId w:val="5"/>
  </w:num>
  <w:num w:numId="10">
    <w:abstractNumId w:val="7"/>
  </w:num>
  <w:num w:numId="11">
    <w:abstractNumId w:val="16"/>
  </w:num>
  <w:num w:numId="12">
    <w:abstractNumId w:val="11"/>
  </w:num>
  <w:num w:numId="13">
    <w:abstractNumId w:val="9"/>
  </w:num>
  <w:num w:numId="14">
    <w:abstractNumId w:val="1"/>
  </w:num>
  <w:num w:numId="15">
    <w:abstractNumId w:val="2"/>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dirty"/>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6A1"/>
    <w:rsid w:val="00002C0F"/>
    <w:rsid w:val="00003DEC"/>
    <w:rsid w:val="0000446B"/>
    <w:rsid w:val="00004DEC"/>
    <w:rsid w:val="00006AE9"/>
    <w:rsid w:val="00010D29"/>
    <w:rsid w:val="00010F86"/>
    <w:rsid w:val="00034B44"/>
    <w:rsid w:val="00034D6D"/>
    <w:rsid w:val="00040BF6"/>
    <w:rsid w:val="000424FF"/>
    <w:rsid w:val="00045033"/>
    <w:rsid w:val="0004602E"/>
    <w:rsid w:val="00047629"/>
    <w:rsid w:val="00050C53"/>
    <w:rsid w:val="00052661"/>
    <w:rsid w:val="00052875"/>
    <w:rsid w:val="0006254F"/>
    <w:rsid w:val="00062C70"/>
    <w:rsid w:val="00064258"/>
    <w:rsid w:val="00082665"/>
    <w:rsid w:val="0008523C"/>
    <w:rsid w:val="00091B53"/>
    <w:rsid w:val="00091C0D"/>
    <w:rsid w:val="000A2FA2"/>
    <w:rsid w:val="000A5176"/>
    <w:rsid w:val="000B1494"/>
    <w:rsid w:val="000B1D97"/>
    <w:rsid w:val="000B5CBC"/>
    <w:rsid w:val="000C21F2"/>
    <w:rsid w:val="000C34D5"/>
    <w:rsid w:val="000C65D7"/>
    <w:rsid w:val="000D108E"/>
    <w:rsid w:val="000D3BBA"/>
    <w:rsid w:val="000D446B"/>
    <w:rsid w:val="000D5484"/>
    <w:rsid w:val="000D7B7D"/>
    <w:rsid w:val="000E2D45"/>
    <w:rsid w:val="000F2C18"/>
    <w:rsid w:val="000F4A55"/>
    <w:rsid w:val="0010261B"/>
    <w:rsid w:val="001033EE"/>
    <w:rsid w:val="00106577"/>
    <w:rsid w:val="00110AC4"/>
    <w:rsid w:val="001113B9"/>
    <w:rsid w:val="001175C6"/>
    <w:rsid w:val="001262BB"/>
    <w:rsid w:val="00137969"/>
    <w:rsid w:val="00140A4C"/>
    <w:rsid w:val="00140C7E"/>
    <w:rsid w:val="001504F2"/>
    <w:rsid w:val="001521C9"/>
    <w:rsid w:val="001603AD"/>
    <w:rsid w:val="00165872"/>
    <w:rsid w:val="00170D90"/>
    <w:rsid w:val="00174355"/>
    <w:rsid w:val="00177E75"/>
    <w:rsid w:val="0018748B"/>
    <w:rsid w:val="001A433E"/>
    <w:rsid w:val="001A7176"/>
    <w:rsid w:val="001B12F9"/>
    <w:rsid w:val="001B4EB8"/>
    <w:rsid w:val="001B7E04"/>
    <w:rsid w:val="001C03C7"/>
    <w:rsid w:val="001C0A17"/>
    <w:rsid w:val="001C1088"/>
    <w:rsid w:val="001C59F7"/>
    <w:rsid w:val="001D1F7B"/>
    <w:rsid w:val="001D377A"/>
    <w:rsid w:val="001D3CF1"/>
    <w:rsid w:val="001E3AA8"/>
    <w:rsid w:val="001F5921"/>
    <w:rsid w:val="00201A8A"/>
    <w:rsid w:val="002042BC"/>
    <w:rsid w:val="002070D5"/>
    <w:rsid w:val="00207684"/>
    <w:rsid w:val="002239CF"/>
    <w:rsid w:val="002258C4"/>
    <w:rsid w:val="00227818"/>
    <w:rsid w:val="00227C24"/>
    <w:rsid w:val="00233AC4"/>
    <w:rsid w:val="0023647D"/>
    <w:rsid w:val="002365A6"/>
    <w:rsid w:val="00237B64"/>
    <w:rsid w:val="00243EDA"/>
    <w:rsid w:val="00247672"/>
    <w:rsid w:val="00252460"/>
    <w:rsid w:val="00252B3F"/>
    <w:rsid w:val="00255AC9"/>
    <w:rsid w:val="00261F19"/>
    <w:rsid w:val="0026661F"/>
    <w:rsid w:val="00270A39"/>
    <w:rsid w:val="0027149E"/>
    <w:rsid w:val="002944FF"/>
    <w:rsid w:val="0029715B"/>
    <w:rsid w:val="002A14A1"/>
    <w:rsid w:val="002A3D30"/>
    <w:rsid w:val="002A6372"/>
    <w:rsid w:val="002A7BD6"/>
    <w:rsid w:val="002B1358"/>
    <w:rsid w:val="002B763F"/>
    <w:rsid w:val="002C30F0"/>
    <w:rsid w:val="002C53B9"/>
    <w:rsid w:val="002D0835"/>
    <w:rsid w:val="002D1987"/>
    <w:rsid w:val="002D1BC8"/>
    <w:rsid w:val="002D27AF"/>
    <w:rsid w:val="002D4C7F"/>
    <w:rsid w:val="002E182A"/>
    <w:rsid w:val="002E25EF"/>
    <w:rsid w:val="002E30BD"/>
    <w:rsid w:val="002F1E7C"/>
    <w:rsid w:val="002F2B32"/>
    <w:rsid w:val="0030082A"/>
    <w:rsid w:val="00303984"/>
    <w:rsid w:val="0030743B"/>
    <w:rsid w:val="0031496D"/>
    <w:rsid w:val="003168A6"/>
    <w:rsid w:val="00320022"/>
    <w:rsid w:val="003269D5"/>
    <w:rsid w:val="00327678"/>
    <w:rsid w:val="003410F5"/>
    <w:rsid w:val="00347034"/>
    <w:rsid w:val="00354C9F"/>
    <w:rsid w:val="003571B5"/>
    <w:rsid w:val="003652FD"/>
    <w:rsid w:val="00365B70"/>
    <w:rsid w:val="00370A50"/>
    <w:rsid w:val="00372493"/>
    <w:rsid w:val="00372D8B"/>
    <w:rsid w:val="003738EE"/>
    <w:rsid w:val="00374CA2"/>
    <w:rsid w:val="0038091D"/>
    <w:rsid w:val="003836D0"/>
    <w:rsid w:val="003840CB"/>
    <w:rsid w:val="00387B4F"/>
    <w:rsid w:val="003933AD"/>
    <w:rsid w:val="00394C3B"/>
    <w:rsid w:val="003A2D48"/>
    <w:rsid w:val="003A5A20"/>
    <w:rsid w:val="003A7108"/>
    <w:rsid w:val="003A7F46"/>
    <w:rsid w:val="003B242E"/>
    <w:rsid w:val="003B7019"/>
    <w:rsid w:val="003C56BA"/>
    <w:rsid w:val="003C7A6B"/>
    <w:rsid w:val="003D05A8"/>
    <w:rsid w:val="003D0F18"/>
    <w:rsid w:val="003D43BB"/>
    <w:rsid w:val="003D6ADE"/>
    <w:rsid w:val="003D7AB1"/>
    <w:rsid w:val="003E383E"/>
    <w:rsid w:val="003E5FB5"/>
    <w:rsid w:val="003F04A7"/>
    <w:rsid w:val="003F07A4"/>
    <w:rsid w:val="003F5316"/>
    <w:rsid w:val="00410BEA"/>
    <w:rsid w:val="00412795"/>
    <w:rsid w:val="0041462F"/>
    <w:rsid w:val="004156C1"/>
    <w:rsid w:val="0041737C"/>
    <w:rsid w:val="00420D1E"/>
    <w:rsid w:val="004319C6"/>
    <w:rsid w:val="00433B41"/>
    <w:rsid w:val="00435ADB"/>
    <w:rsid w:val="0044149E"/>
    <w:rsid w:val="00444F53"/>
    <w:rsid w:val="0045325F"/>
    <w:rsid w:val="00453BFC"/>
    <w:rsid w:val="00457579"/>
    <w:rsid w:val="004625DC"/>
    <w:rsid w:val="0046769A"/>
    <w:rsid w:val="0048382E"/>
    <w:rsid w:val="00485A8A"/>
    <w:rsid w:val="0049181C"/>
    <w:rsid w:val="004A1A98"/>
    <w:rsid w:val="004A5201"/>
    <w:rsid w:val="004C0138"/>
    <w:rsid w:val="004C02E3"/>
    <w:rsid w:val="004C0EC5"/>
    <w:rsid w:val="004C2F2D"/>
    <w:rsid w:val="004D2E50"/>
    <w:rsid w:val="004D53FD"/>
    <w:rsid w:val="004E026B"/>
    <w:rsid w:val="004E6AE2"/>
    <w:rsid w:val="004F39A8"/>
    <w:rsid w:val="004F3D9B"/>
    <w:rsid w:val="004F63A3"/>
    <w:rsid w:val="005008F2"/>
    <w:rsid w:val="0050170B"/>
    <w:rsid w:val="00513BFA"/>
    <w:rsid w:val="00525E3E"/>
    <w:rsid w:val="00527B0C"/>
    <w:rsid w:val="00534525"/>
    <w:rsid w:val="00540FD7"/>
    <w:rsid w:val="005439C9"/>
    <w:rsid w:val="0055043A"/>
    <w:rsid w:val="00552BD9"/>
    <w:rsid w:val="00557B05"/>
    <w:rsid w:val="00557D5F"/>
    <w:rsid w:val="00562118"/>
    <w:rsid w:val="00563E48"/>
    <w:rsid w:val="00565AE3"/>
    <w:rsid w:val="005715B3"/>
    <w:rsid w:val="00573302"/>
    <w:rsid w:val="00585212"/>
    <w:rsid w:val="00585A56"/>
    <w:rsid w:val="0059276C"/>
    <w:rsid w:val="00594EC3"/>
    <w:rsid w:val="005A04E2"/>
    <w:rsid w:val="005A1CD2"/>
    <w:rsid w:val="005A3A7C"/>
    <w:rsid w:val="005B0DC6"/>
    <w:rsid w:val="005B47FA"/>
    <w:rsid w:val="005B5618"/>
    <w:rsid w:val="005C4E46"/>
    <w:rsid w:val="005C5BD3"/>
    <w:rsid w:val="005E1567"/>
    <w:rsid w:val="005E3CB1"/>
    <w:rsid w:val="005E6B3A"/>
    <w:rsid w:val="005F3029"/>
    <w:rsid w:val="00600B07"/>
    <w:rsid w:val="0060188E"/>
    <w:rsid w:val="00601FB0"/>
    <w:rsid w:val="006218D1"/>
    <w:rsid w:val="00622171"/>
    <w:rsid w:val="00622E21"/>
    <w:rsid w:val="00623822"/>
    <w:rsid w:val="006247E8"/>
    <w:rsid w:val="00624BF7"/>
    <w:rsid w:val="00637054"/>
    <w:rsid w:val="00641527"/>
    <w:rsid w:val="006415C0"/>
    <w:rsid w:val="006462D3"/>
    <w:rsid w:val="006545E8"/>
    <w:rsid w:val="00655BC8"/>
    <w:rsid w:val="00655D04"/>
    <w:rsid w:val="00656902"/>
    <w:rsid w:val="0066079F"/>
    <w:rsid w:val="00662F94"/>
    <w:rsid w:val="00666117"/>
    <w:rsid w:val="00666489"/>
    <w:rsid w:val="0066689D"/>
    <w:rsid w:val="006713C4"/>
    <w:rsid w:val="00676493"/>
    <w:rsid w:val="00677925"/>
    <w:rsid w:val="00680A7C"/>
    <w:rsid w:val="006836F7"/>
    <w:rsid w:val="006A06A1"/>
    <w:rsid w:val="006A2E28"/>
    <w:rsid w:val="006A330A"/>
    <w:rsid w:val="006A56E8"/>
    <w:rsid w:val="006A6251"/>
    <w:rsid w:val="006A7FA8"/>
    <w:rsid w:val="006B0E2A"/>
    <w:rsid w:val="006C249E"/>
    <w:rsid w:val="006C70D4"/>
    <w:rsid w:val="006C7FA6"/>
    <w:rsid w:val="006D3BBD"/>
    <w:rsid w:val="006D3D08"/>
    <w:rsid w:val="006D4102"/>
    <w:rsid w:val="006D42BA"/>
    <w:rsid w:val="006E1756"/>
    <w:rsid w:val="006E30FF"/>
    <w:rsid w:val="006F007C"/>
    <w:rsid w:val="006F2AE7"/>
    <w:rsid w:val="006F2B94"/>
    <w:rsid w:val="00706625"/>
    <w:rsid w:val="00711E3D"/>
    <w:rsid w:val="007154E2"/>
    <w:rsid w:val="00721F3F"/>
    <w:rsid w:val="00723EE3"/>
    <w:rsid w:val="00725E4D"/>
    <w:rsid w:val="00727B43"/>
    <w:rsid w:val="00732622"/>
    <w:rsid w:val="007476BF"/>
    <w:rsid w:val="00754954"/>
    <w:rsid w:val="00756A5A"/>
    <w:rsid w:val="007608DF"/>
    <w:rsid w:val="00766F79"/>
    <w:rsid w:val="00780F61"/>
    <w:rsid w:val="00782E00"/>
    <w:rsid w:val="00786297"/>
    <w:rsid w:val="007878D2"/>
    <w:rsid w:val="007A2C4B"/>
    <w:rsid w:val="007A5227"/>
    <w:rsid w:val="007A62DA"/>
    <w:rsid w:val="007B05AC"/>
    <w:rsid w:val="007B79F4"/>
    <w:rsid w:val="007C0407"/>
    <w:rsid w:val="007C516C"/>
    <w:rsid w:val="007C71FF"/>
    <w:rsid w:val="007D62B4"/>
    <w:rsid w:val="007E54AF"/>
    <w:rsid w:val="007E74AA"/>
    <w:rsid w:val="007F0AE8"/>
    <w:rsid w:val="007F58CF"/>
    <w:rsid w:val="007F5CDD"/>
    <w:rsid w:val="00806076"/>
    <w:rsid w:val="00807600"/>
    <w:rsid w:val="008167FE"/>
    <w:rsid w:val="00817500"/>
    <w:rsid w:val="00820D1C"/>
    <w:rsid w:val="0082694D"/>
    <w:rsid w:val="008269C7"/>
    <w:rsid w:val="008271C0"/>
    <w:rsid w:val="00836272"/>
    <w:rsid w:val="008372E4"/>
    <w:rsid w:val="00847174"/>
    <w:rsid w:val="008515A1"/>
    <w:rsid w:val="00855112"/>
    <w:rsid w:val="0085563A"/>
    <w:rsid w:val="00860172"/>
    <w:rsid w:val="0086661F"/>
    <w:rsid w:val="00884BC8"/>
    <w:rsid w:val="008925BB"/>
    <w:rsid w:val="00896A4D"/>
    <w:rsid w:val="00897CB3"/>
    <w:rsid w:val="008A0626"/>
    <w:rsid w:val="008A0F1C"/>
    <w:rsid w:val="008A2E9D"/>
    <w:rsid w:val="008A5EFA"/>
    <w:rsid w:val="008B1831"/>
    <w:rsid w:val="008B3528"/>
    <w:rsid w:val="008B3C69"/>
    <w:rsid w:val="008B66B6"/>
    <w:rsid w:val="008B6CAD"/>
    <w:rsid w:val="008C2454"/>
    <w:rsid w:val="008C30FF"/>
    <w:rsid w:val="008C6BB4"/>
    <w:rsid w:val="008D3453"/>
    <w:rsid w:val="008D5BF3"/>
    <w:rsid w:val="008D7F74"/>
    <w:rsid w:val="008E0012"/>
    <w:rsid w:val="008E2CDA"/>
    <w:rsid w:val="008F136E"/>
    <w:rsid w:val="008F3EFC"/>
    <w:rsid w:val="009015E1"/>
    <w:rsid w:val="0091012C"/>
    <w:rsid w:val="009164BC"/>
    <w:rsid w:val="00916E0F"/>
    <w:rsid w:val="009435AF"/>
    <w:rsid w:val="009531BA"/>
    <w:rsid w:val="009567CA"/>
    <w:rsid w:val="00956D17"/>
    <w:rsid w:val="009603F7"/>
    <w:rsid w:val="009620B3"/>
    <w:rsid w:val="00965BED"/>
    <w:rsid w:val="00970D05"/>
    <w:rsid w:val="00972D8D"/>
    <w:rsid w:val="0097518D"/>
    <w:rsid w:val="0097719C"/>
    <w:rsid w:val="00983BFF"/>
    <w:rsid w:val="009847B5"/>
    <w:rsid w:val="00986C41"/>
    <w:rsid w:val="0099100B"/>
    <w:rsid w:val="009928A3"/>
    <w:rsid w:val="009A7B7A"/>
    <w:rsid w:val="009B6670"/>
    <w:rsid w:val="009C2871"/>
    <w:rsid w:val="009C511D"/>
    <w:rsid w:val="009C5FEB"/>
    <w:rsid w:val="009C7F27"/>
    <w:rsid w:val="009D0B5A"/>
    <w:rsid w:val="009D4B9C"/>
    <w:rsid w:val="009E3F1F"/>
    <w:rsid w:val="009F2FDB"/>
    <w:rsid w:val="009F38E5"/>
    <w:rsid w:val="00A1073E"/>
    <w:rsid w:val="00A216EF"/>
    <w:rsid w:val="00A2546B"/>
    <w:rsid w:val="00A26E5A"/>
    <w:rsid w:val="00A279D5"/>
    <w:rsid w:val="00A32685"/>
    <w:rsid w:val="00A32A30"/>
    <w:rsid w:val="00A36111"/>
    <w:rsid w:val="00A3670F"/>
    <w:rsid w:val="00A4230E"/>
    <w:rsid w:val="00A44E5D"/>
    <w:rsid w:val="00A51060"/>
    <w:rsid w:val="00A570CF"/>
    <w:rsid w:val="00A619D7"/>
    <w:rsid w:val="00A67E9B"/>
    <w:rsid w:val="00A70BF1"/>
    <w:rsid w:val="00A71531"/>
    <w:rsid w:val="00A73CA8"/>
    <w:rsid w:val="00A7455B"/>
    <w:rsid w:val="00A74CAA"/>
    <w:rsid w:val="00A7764A"/>
    <w:rsid w:val="00A828AB"/>
    <w:rsid w:val="00A8498A"/>
    <w:rsid w:val="00A874EB"/>
    <w:rsid w:val="00A87AD8"/>
    <w:rsid w:val="00A9164E"/>
    <w:rsid w:val="00A93E04"/>
    <w:rsid w:val="00A94376"/>
    <w:rsid w:val="00A96195"/>
    <w:rsid w:val="00AB0123"/>
    <w:rsid w:val="00AC5B6F"/>
    <w:rsid w:val="00AD1C5F"/>
    <w:rsid w:val="00AD203D"/>
    <w:rsid w:val="00AD22DA"/>
    <w:rsid w:val="00AD25BE"/>
    <w:rsid w:val="00AE288F"/>
    <w:rsid w:val="00AE2B94"/>
    <w:rsid w:val="00AE7956"/>
    <w:rsid w:val="00AF349C"/>
    <w:rsid w:val="00AF41DE"/>
    <w:rsid w:val="00AF4B6C"/>
    <w:rsid w:val="00AF78EC"/>
    <w:rsid w:val="00B040B9"/>
    <w:rsid w:val="00B05139"/>
    <w:rsid w:val="00B07288"/>
    <w:rsid w:val="00B1265A"/>
    <w:rsid w:val="00B1741B"/>
    <w:rsid w:val="00B20286"/>
    <w:rsid w:val="00B21FB6"/>
    <w:rsid w:val="00B22AB1"/>
    <w:rsid w:val="00B26D44"/>
    <w:rsid w:val="00B32109"/>
    <w:rsid w:val="00B32DE8"/>
    <w:rsid w:val="00B34508"/>
    <w:rsid w:val="00B37AE9"/>
    <w:rsid w:val="00B4224D"/>
    <w:rsid w:val="00B43B92"/>
    <w:rsid w:val="00B540DB"/>
    <w:rsid w:val="00B608D5"/>
    <w:rsid w:val="00B62337"/>
    <w:rsid w:val="00B62CC5"/>
    <w:rsid w:val="00B64762"/>
    <w:rsid w:val="00B64845"/>
    <w:rsid w:val="00B709FE"/>
    <w:rsid w:val="00B72EF8"/>
    <w:rsid w:val="00B84C58"/>
    <w:rsid w:val="00B8715E"/>
    <w:rsid w:val="00B9257D"/>
    <w:rsid w:val="00B96D41"/>
    <w:rsid w:val="00B97EA3"/>
    <w:rsid w:val="00BA30AB"/>
    <w:rsid w:val="00BA325D"/>
    <w:rsid w:val="00BA612A"/>
    <w:rsid w:val="00BB1224"/>
    <w:rsid w:val="00BB18D2"/>
    <w:rsid w:val="00BB4D5B"/>
    <w:rsid w:val="00BB7EDD"/>
    <w:rsid w:val="00BC311E"/>
    <w:rsid w:val="00BC57AC"/>
    <w:rsid w:val="00BD48A0"/>
    <w:rsid w:val="00BD62D0"/>
    <w:rsid w:val="00BE05CD"/>
    <w:rsid w:val="00BE22B5"/>
    <w:rsid w:val="00BE48B5"/>
    <w:rsid w:val="00BF2387"/>
    <w:rsid w:val="00BF6540"/>
    <w:rsid w:val="00BF7681"/>
    <w:rsid w:val="00C04BB1"/>
    <w:rsid w:val="00C0595D"/>
    <w:rsid w:val="00C13133"/>
    <w:rsid w:val="00C13767"/>
    <w:rsid w:val="00C166DA"/>
    <w:rsid w:val="00C20308"/>
    <w:rsid w:val="00C279A1"/>
    <w:rsid w:val="00C30280"/>
    <w:rsid w:val="00C37DEE"/>
    <w:rsid w:val="00C402B9"/>
    <w:rsid w:val="00C4642F"/>
    <w:rsid w:val="00C52AA2"/>
    <w:rsid w:val="00C662F8"/>
    <w:rsid w:val="00C6707E"/>
    <w:rsid w:val="00C6791D"/>
    <w:rsid w:val="00C83B7F"/>
    <w:rsid w:val="00C84C83"/>
    <w:rsid w:val="00C903DB"/>
    <w:rsid w:val="00C9188B"/>
    <w:rsid w:val="00C930E4"/>
    <w:rsid w:val="00C93252"/>
    <w:rsid w:val="00C955EB"/>
    <w:rsid w:val="00CA4840"/>
    <w:rsid w:val="00CA48EB"/>
    <w:rsid w:val="00CB11AB"/>
    <w:rsid w:val="00CB1507"/>
    <w:rsid w:val="00CB3667"/>
    <w:rsid w:val="00CB37E2"/>
    <w:rsid w:val="00CB5A2A"/>
    <w:rsid w:val="00CC1953"/>
    <w:rsid w:val="00CC7969"/>
    <w:rsid w:val="00CD051F"/>
    <w:rsid w:val="00CD4BD1"/>
    <w:rsid w:val="00CD5C9F"/>
    <w:rsid w:val="00CE0C2A"/>
    <w:rsid w:val="00CE2C46"/>
    <w:rsid w:val="00CF56D5"/>
    <w:rsid w:val="00CF7209"/>
    <w:rsid w:val="00D0053D"/>
    <w:rsid w:val="00D03240"/>
    <w:rsid w:val="00D10449"/>
    <w:rsid w:val="00D41642"/>
    <w:rsid w:val="00D50D72"/>
    <w:rsid w:val="00D53847"/>
    <w:rsid w:val="00D616B7"/>
    <w:rsid w:val="00D704D9"/>
    <w:rsid w:val="00D74EC1"/>
    <w:rsid w:val="00D767A6"/>
    <w:rsid w:val="00D84E30"/>
    <w:rsid w:val="00D85DA8"/>
    <w:rsid w:val="00D86290"/>
    <w:rsid w:val="00D907CE"/>
    <w:rsid w:val="00D9220D"/>
    <w:rsid w:val="00D95B90"/>
    <w:rsid w:val="00DA1462"/>
    <w:rsid w:val="00DB0C8F"/>
    <w:rsid w:val="00DB1324"/>
    <w:rsid w:val="00DB20C5"/>
    <w:rsid w:val="00DB5DD0"/>
    <w:rsid w:val="00DC078A"/>
    <w:rsid w:val="00DC3D7D"/>
    <w:rsid w:val="00DD4F1A"/>
    <w:rsid w:val="00DE0AD9"/>
    <w:rsid w:val="00DE0E16"/>
    <w:rsid w:val="00DE195C"/>
    <w:rsid w:val="00DE2EC5"/>
    <w:rsid w:val="00DE3C11"/>
    <w:rsid w:val="00DE7645"/>
    <w:rsid w:val="00DF406E"/>
    <w:rsid w:val="00DF63D8"/>
    <w:rsid w:val="00E00ED5"/>
    <w:rsid w:val="00E01C08"/>
    <w:rsid w:val="00E02E25"/>
    <w:rsid w:val="00E0379D"/>
    <w:rsid w:val="00E049B9"/>
    <w:rsid w:val="00E04CA6"/>
    <w:rsid w:val="00E07774"/>
    <w:rsid w:val="00E07C2E"/>
    <w:rsid w:val="00E13A83"/>
    <w:rsid w:val="00E20163"/>
    <w:rsid w:val="00E32137"/>
    <w:rsid w:val="00E341AE"/>
    <w:rsid w:val="00E35DC8"/>
    <w:rsid w:val="00E43152"/>
    <w:rsid w:val="00E45310"/>
    <w:rsid w:val="00E4531D"/>
    <w:rsid w:val="00E47537"/>
    <w:rsid w:val="00E47765"/>
    <w:rsid w:val="00E509C7"/>
    <w:rsid w:val="00E51855"/>
    <w:rsid w:val="00E54587"/>
    <w:rsid w:val="00E55D8C"/>
    <w:rsid w:val="00E57FF5"/>
    <w:rsid w:val="00E71BEE"/>
    <w:rsid w:val="00E75151"/>
    <w:rsid w:val="00E75378"/>
    <w:rsid w:val="00E77E67"/>
    <w:rsid w:val="00E8154E"/>
    <w:rsid w:val="00E94FAC"/>
    <w:rsid w:val="00E976DD"/>
    <w:rsid w:val="00EB2FCF"/>
    <w:rsid w:val="00EB5608"/>
    <w:rsid w:val="00EC5877"/>
    <w:rsid w:val="00ED315A"/>
    <w:rsid w:val="00ED3441"/>
    <w:rsid w:val="00EF4809"/>
    <w:rsid w:val="00EF7AC2"/>
    <w:rsid w:val="00F060B8"/>
    <w:rsid w:val="00F11180"/>
    <w:rsid w:val="00F1255A"/>
    <w:rsid w:val="00F13B40"/>
    <w:rsid w:val="00F14109"/>
    <w:rsid w:val="00F15CB0"/>
    <w:rsid w:val="00F24D27"/>
    <w:rsid w:val="00F2740A"/>
    <w:rsid w:val="00F307B7"/>
    <w:rsid w:val="00F40E20"/>
    <w:rsid w:val="00F4357B"/>
    <w:rsid w:val="00F43BC4"/>
    <w:rsid w:val="00F45E0D"/>
    <w:rsid w:val="00F4631A"/>
    <w:rsid w:val="00F47723"/>
    <w:rsid w:val="00F529EA"/>
    <w:rsid w:val="00F544D5"/>
    <w:rsid w:val="00F54EE7"/>
    <w:rsid w:val="00F6048A"/>
    <w:rsid w:val="00F66F35"/>
    <w:rsid w:val="00F772CA"/>
    <w:rsid w:val="00F9153E"/>
    <w:rsid w:val="00F942DC"/>
    <w:rsid w:val="00F965A8"/>
    <w:rsid w:val="00F97D97"/>
    <w:rsid w:val="00FA1FAE"/>
    <w:rsid w:val="00FA48D5"/>
    <w:rsid w:val="00FB0293"/>
    <w:rsid w:val="00FB3246"/>
    <w:rsid w:val="00FC3AD1"/>
    <w:rsid w:val="00FC3FFE"/>
    <w:rsid w:val="00FC5391"/>
    <w:rsid w:val="00FD132E"/>
    <w:rsid w:val="00FD7054"/>
    <w:rsid w:val="00FE6B89"/>
    <w:rsid w:val="00FF68C8"/>
    <w:rsid w:val="07213187"/>
    <w:rsid w:val="07BE2207"/>
    <w:rsid w:val="0DC94E8F"/>
    <w:rsid w:val="1129F322"/>
    <w:rsid w:val="148FC890"/>
    <w:rsid w:val="1EA64262"/>
    <w:rsid w:val="1F82CCFC"/>
    <w:rsid w:val="20398EC0"/>
    <w:rsid w:val="21EE53B2"/>
    <w:rsid w:val="280C651D"/>
    <w:rsid w:val="2F2EB70A"/>
    <w:rsid w:val="31C0118A"/>
    <w:rsid w:val="36064246"/>
    <w:rsid w:val="3B5FD96C"/>
    <w:rsid w:val="4F3CB477"/>
    <w:rsid w:val="515169B5"/>
    <w:rsid w:val="522E2720"/>
    <w:rsid w:val="523383F5"/>
    <w:rsid w:val="5460FCE9"/>
    <w:rsid w:val="560E9F99"/>
    <w:rsid w:val="5C587617"/>
    <w:rsid w:val="617A34AF"/>
    <w:rsid w:val="65030F09"/>
    <w:rsid w:val="6D1DCA8C"/>
    <w:rsid w:val="6FAFED96"/>
    <w:rsid w:val="6FC131A2"/>
    <w:rsid w:val="73D52BEC"/>
    <w:rsid w:val="7FF8D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356A"/>
  <w15:chartTrackingRefBased/>
  <w15:docId w15:val="{B7BD3F96-5A19-43AE-A16F-A402264E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qFormat/>
    <w:rsid w:val="006A06A1"/>
    <w:pPr>
      <w:keepNext/>
      <w:spacing w:after="0" w:line="240" w:lineRule="auto"/>
      <w:outlineLvl w:val="4"/>
    </w:pPr>
    <w:rPr>
      <w:rFonts w:ascii="Times New Roman" w:eastAsia="Times New Roman" w:hAnsi="Times New Roman" w:cs="Times New Roman"/>
      <w:b/>
      <w:bCs/>
      <w:sz w:val="24"/>
      <w:szCs w:val="20"/>
      <w:u w:val="single"/>
      <w:lang w:val="ro-RO"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A0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6A06A1"/>
    <w:pPr>
      <w:spacing w:after="0" w:line="240" w:lineRule="auto"/>
      <w:jc w:val="center"/>
    </w:pPr>
    <w:rPr>
      <w:rFonts w:ascii="Times New Roman" w:eastAsia="Times New Roman" w:hAnsi="Times New Roman" w:cs="Times New Roman"/>
      <w:sz w:val="24"/>
      <w:szCs w:val="24"/>
      <w:lang w:val="ro-RO" w:eastAsia="nl-NL"/>
    </w:rPr>
  </w:style>
  <w:style w:type="character" w:customStyle="1" w:styleId="CorpsdetexteCar">
    <w:name w:val="Corps de texte Car"/>
    <w:basedOn w:val="Policepardfaut"/>
    <w:link w:val="Corpsdetexte"/>
    <w:rsid w:val="006A06A1"/>
    <w:rPr>
      <w:rFonts w:ascii="Times New Roman" w:eastAsia="Times New Roman" w:hAnsi="Times New Roman" w:cs="Times New Roman"/>
      <w:sz w:val="24"/>
      <w:szCs w:val="24"/>
      <w:lang w:val="ro-RO" w:eastAsia="nl-NL"/>
    </w:rPr>
  </w:style>
  <w:style w:type="character" w:customStyle="1" w:styleId="Titre5Car">
    <w:name w:val="Titre 5 Car"/>
    <w:basedOn w:val="Policepardfaut"/>
    <w:link w:val="Titre5"/>
    <w:rsid w:val="006A06A1"/>
    <w:rPr>
      <w:rFonts w:ascii="Times New Roman" w:eastAsia="Times New Roman" w:hAnsi="Times New Roman" w:cs="Times New Roman"/>
      <w:b/>
      <w:bCs/>
      <w:sz w:val="24"/>
      <w:szCs w:val="20"/>
      <w:u w:val="single"/>
      <w:lang w:val="ro-RO" w:eastAsia="nl-NL"/>
    </w:rPr>
  </w:style>
  <w:style w:type="paragraph" w:styleId="En-tte">
    <w:name w:val="header"/>
    <w:basedOn w:val="Normal"/>
    <w:link w:val="En-tteCar"/>
    <w:uiPriority w:val="99"/>
    <w:unhideWhenUsed/>
    <w:rsid w:val="008167FE"/>
    <w:pPr>
      <w:tabs>
        <w:tab w:val="center" w:pos="4513"/>
        <w:tab w:val="right" w:pos="9026"/>
      </w:tabs>
      <w:spacing w:after="0" w:line="240" w:lineRule="auto"/>
    </w:pPr>
  </w:style>
  <w:style w:type="character" w:customStyle="1" w:styleId="En-tteCar">
    <w:name w:val="En-tête Car"/>
    <w:basedOn w:val="Policepardfaut"/>
    <w:link w:val="En-tte"/>
    <w:uiPriority w:val="99"/>
    <w:rsid w:val="008167FE"/>
  </w:style>
  <w:style w:type="paragraph" w:styleId="Pieddepage">
    <w:name w:val="footer"/>
    <w:basedOn w:val="Normal"/>
    <w:link w:val="PieddepageCar"/>
    <w:uiPriority w:val="99"/>
    <w:unhideWhenUsed/>
    <w:rsid w:val="008167F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167FE"/>
  </w:style>
  <w:style w:type="character" w:styleId="Marquedecommentaire">
    <w:name w:val="annotation reference"/>
    <w:basedOn w:val="Policepardfaut"/>
    <w:uiPriority w:val="99"/>
    <w:semiHidden/>
    <w:unhideWhenUsed/>
    <w:rsid w:val="007E74AA"/>
    <w:rPr>
      <w:sz w:val="16"/>
      <w:szCs w:val="16"/>
    </w:rPr>
  </w:style>
  <w:style w:type="paragraph" w:styleId="Commentaire">
    <w:name w:val="annotation text"/>
    <w:basedOn w:val="Normal"/>
    <w:link w:val="CommentaireCar"/>
    <w:uiPriority w:val="99"/>
    <w:unhideWhenUsed/>
    <w:rsid w:val="007E74AA"/>
    <w:pPr>
      <w:spacing w:line="240" w:lineRule="auto"/>
    </w:pPr>
    <w:rPr>
      <w:sz w:val="20"/>
      <w:szCs w:val="20"/>
    </w:rPr>
  </w:style>
  <w:style w:type="character" w:customStyle="1" w:styleId="CommentaireCar">
    <w:name w:val="Commentaire Car"/>
    <w:basedOn w:val="Policepardfaut"/>
    <w:link w:val="Commentaire"/>
    <w:uiPriority w:val="99"/>
    <w:rsid w:val="007E74AA"/>
    <w:rPr>
      <w:sz w:val="20"/>
      <w:szCs w:val="20"/>
    </w:rPr>
  </w:style>
  <w:style w:type="paragraph" w:styleId="Objetducommentaire">
    <w:name w:val="annotation subject"/>
    <w:basedOn w:val="Commentaire"/>
    <w:next w:val="Commentaire"/>
    <w:link w:val="ObjetducommentaireCar"/>
    <w:uiPriority w:val="99"/>
    <w:semiHidden/>
    <w:unhideWhenUsed/>
    <w:rsid w:val="007E74AA"/>
    <w:rPr>
      <w:b/>
      <w:bCs/>
    </w:rPr>
  </w:style>
  <w:style w:type="character" w:customStyle="1" w:styleId="ObjetducommentaireCar">
    <w:name w:val="Objet du commentaire Car"/>
    <w:basedOn w:val="CommentaireCar"/>
    <w:link w:val="Objetducommentaire"/>
    <w:uiPriority w:val="99"/>
    <w:semiHidden/>
    <w:rsid w:val="007E74AA"/>
    <w:rPr>
      <w:b/>
      <w:bCs/>
      <w:sz w:val="20"/>
      <w:szCs w:val="20"/>
    </w:rPr>
  </w:style>
  <w:style w:type="paragraph" w:styleId="Textedebulles">
    <w:name w:val="Balloon Text"/>
    <w:basedOn w:val="Normal"/>
    <w:link w:val="TextedebullesCar"/>
    <w:uiPriority w:val="99"/>
    <w:semiHidden/>
    <w:unhideWhenUsed/>
    <w:rsid w:val="007E74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74AA"/>
    <w:rPr>
      <w:rFonts w:ascii="Segoe UI" w:hAnsi="Segoe UI" w:cs="Segoe UI"/>
      <w:sz w:val="18"/>
      <w:szCs w:val="18"/>
    </w:rPr>
  </w:style>
  <w:style w:type="paragraph" w:styleId="Paragraphedeliste">
    <w:name w:val="List Paragraph"/>
    <w:basedOn w:val="Normal"/>
    <w:uiPriority w:val="34"/>
    <w:qFormat/>
    <w:rsid w:val="007E74A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lang w:val="ro-RO"/>
    </w:rPr>
  </w:style>
  <w:style w:type="character" w:styleId="Lienhypertexte">
    <w:name w:val="Hyperlink"/>
    <w:basedOn w:val="Policepardfaut"/>
    <w:uiPriority w:val="99"/>
    <w:unhideWhenUsed/>
    <w:rsid w:val="008925BB"/>
    <w:rPr>
      <w:color w:val="0000FF"/>
      <w:u w:val="single"/>
    </w:rPr>
  </w:style>
  <w:style w:type="paragraph" w:styleId="Rvision">
    <w:name w:val="Revision"/>
    <w:hidden/>
    <w:uiPriority w:val="99"/>
    <w:semiHidden/>
    <w:rsid w:val="00E049B9"/>
    <w:pPr>
      <w:spacing w:after="0" w:line="240" w:lineRule="auto"/>
    </w:pPr>
  </w:style>
  <w:style w:type="character" w:styleId="Lienhypertextesuivivisit">
    <w:name w:val="FollowedHyperlink"/>
    <w:basedOn w:val="Policepardfaut"/>
    <w:uiPriority w:val="99"/>
    <w:semiHidden/>
    <w:unhideWhenUsed/>
    <w:rsid w:val="007C04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4834">
      <w:bodyDiv w:val="1"/>
      <w:marLeft w:val="0"/>
      <w:marRight w:val="0"/>
      <w:marTop w:val="0"/>
      <w:marBottom w:val="0"/>
      <w:divBdr>
        <w:top w:val="none" w:sz="0" w:space="0" w:color="auto"/>
        <w:left w:val="none" w:sz="0" w:space="0" w:color="auto"/>
        <w:bottom w:val="none" w:sz="0" w:space="0" w:color="auto"/>
        <w:right w:val="none" w:sz="0" w:space="0" w:color="auto"/>
      </w:divBdr>
    </w:div>
    <w:div w:id="519011610">
      <w:bodyDiv w:val="1"/>
      <w:marLeft w:val="0"/>
      <w:marRight w:val="0"/>
      <w:marTop w:val="0"/>
      <w:marBottom w:val="0"/>
      <w:divBdr>
        <w:top w:val="none" w:sz="0" w:space="0" w:color="auto"/>
        <w:left w:val="none" w:sz="0" w:space="0" w:color="auto"/>
        <w:bottom w:val="none" w:sz="0" w:space="0" w:color="auto"/>
        <w:right w:val="none" w:sz="0" w:space="0" w:color="auto"/>
      </w:divBdr>
    </w:div>
    <w:div w:id="193104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FD6516C01467439D4F800C5FA36BEF" ma:contentTypeVersion="10" ma:contentTypeDescription="Crée un document." ma:contentTypeScope="" ma:versionID="13d826f3c0a14789b4d4de5c825de762">
  <xsd:schema xmlns:xsd="http://www.w3.org/2001/XMLSchema" xmlns:xs="http://www.w3.org/2001/XMLSchema" xmlns:p="http://schemas.microsoft.com/office/2006/metadata/properties" xmlns:ns2="c6eeb6d6-785b-4c03-9293-0a1d4609a209" xmlns:ns3="253f6b70-8bd6-4e9b-bcba-c84ff51b180b" targetNamespace="http://schemas.microsoft.com/office/2006/metadata/properties" ma:root="true" ma:fieldsID="946f9716051cdf437a39cf3e46808c5c" ns2:_="" ns3:_="">
    <xsd:import namespace="c6eeb6d6-785b-4c03-9293-0a1d4609a209"/>
    <xsd:import namespace="253f6b70-8bd6-4e9b-bcba-c84ff51b18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eb6d6-785b-4c03-9293-0a1d4609a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3f6b70-8bd6-4e9b-bcba-c84ff51b180b"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40FF6-FFBA-4146-B124-C987F22F0FA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6eeb6d6-785b-4c03-9293-0a1d4609a209"/>
    <ds:schemaRef ds:uri="253f6b70-8bd6-4e9b-bcba-c84ff51b180b"/>
    <ds:schemaRef ds:uri="http://www.w3.org/XML/1998/namespace"/>
    <ds:schemaRef ds:uri="http://purl.org/dc/dcmitype/"/>
  </ds:schemaRefs>
</ds:datastoreItem>
</file>

<file path=customXml/itemProps2.xml><?xml version="1.0" encoding="utf-8"?>
<ds:datastoreItem xmlns:ds="http://schemas.openxmlformats.org/officeDocument/2006/customXml" ds:itemID="{5CF3488D-A5A2-437C-B628-BCF2E44F9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eb6d6-785b-4c03-9293-0a1d4609a209"/>
    <ds:schemaRef ds:uri="253f6b70-8bd6-4e9b-bcba-c84ff51b1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943A4-D47A-4764-B801-84B7FA0B8C30}">
  <ds:schemaRefs>
    <ds:schemaRef ds:uri="http://schemas.microsoft.com/sharepoint/v3/contenttype/forms"/>
  </ds:schemaRefs>
</ds:datastoreItem>
</file>

<file path=customXml/itemProps4.xml><?xml version="1.0" encoding="utf-8"?>
<ds:datastoreItem xmlns:ds="http://schemas.openxmlformats.org/officeDocument/2006/customXml" ds:itemID="{78E32D8C-CCD9-4D18-8279-07616FA4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2098</Words>
  <Characters>11541</Characters>
  <Application>Microsoft Office Word</Application>
  <DocSecurity>4</DocSecurity>
  <Lines>96</Lines>
  <Paragraphs>27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FOD Justitie / SPF Justice</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
  <dc:description/>
  <cp:lastModifiedBy>Laurent Wenkin (FOD Economie - SPF Economie)</cp:lastModifiedBy>
  <cp:revision>2</cp:revision>
  <cp:lastPrinted>2022-04-26T12:53:00Z</cp:lastPrinted>
  <dcterms:created xsi:type="dcterms:W3CDTF">2022-05-08T09:21:00Z</dcterms:created>
  <dcterms:modified xsi:type="dcterms:W3CDTF">2022-05-08T09:21:00Z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0x0101007CFD6516C01467439D4F800C5FA36BEF</vt:lpwstr>
  </property>
</Properties>
</file>