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PROIECT PRINCIPAL DE LEGE</w:t>
      </w:r>
    </w:p>
    <w:p w14:paraId="58D6E3A3" w14:textId="18E2AD2E" w:rsidR="008803E5" w:rsidRPr="00835148" w:rsidRDefault="008803E5" w:rsidP="00883C74">
      <w:pPr>
        <w:pStyle w:val="TOCHeading"/>
        <w:spacing w:before="240"/>
        <w:jc w:val="center"/>
      </w:pPr>
      <w:r>
        <w:t>PARTEA 4A A PROIECTULUI DE LEGE PRIVIND REFORMA ELECTORALĂ 2022</w:t>
      </w:r>
    </w:p>
    <w:p w14:paraId="2B7A6478" w14:textId="04763F9F" w:rsidR="003C524C" w:rsidRPr="00835148" w:rsidRDefault="003C524C" w:rsidP="00883C74">
      <w:pPr>
        <w:pStyle w:val="TOCHeading"/>
        <w:spacing w:before="240" w:after="120"/>
        <w:jc w:val="center"/>
      </w:pPr>
      <w:r>
        <w:t xml:space="preserve">REGLEMENTAREA INFORMAȚIILOR PRIVIND PROCESUL ELECTORAL ONLINE ȘI A COMPORTAMENTULUI DE NATURĂ MANIPULATOARE SAU NEAUTENTICĂ DIN MEDIUL ONLINE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4A5780" w:rsidRDefault="003C524C" w:rsidP="009A3E29">
      <w:pPr>
        <w:jc w:val="center"/>
        <w:rPr>
          <w:rFonts w:ascii="Times New Roman" w:hAnsi="Times New Roman" w:cs="Times New Roman"/>
          <w:sz w:val="20"/>
          <w:szCs w:val="20"/>
          <w:lang w:val="en-IE"/>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Cuprins</w:t>
          </w:r>
        </w:p>
        <w:p w14:paraId="05E1BA33" w14:textId="20E2F09F" w:rsidR="008F5A5A" w:rsidRPr="008F5A5A" w:rsidRDefault="003C524C">
          <w:pPr>
            <w:pStyle w:val="TOC1"/>
            <w:rPr>
              <w:rFonts w:asciiTheme="minorHAnsi" w:eastAsiaTheme="minorEastAsia" w:hAnsiTheme="minorHAnsi" w:cstheme="minorBidi"/>
              <w:b w:val="0"/>
              <w:sz w:val="20"/>
              <w:szCs w:val="20"/>
              <w:lang w:val="en-US"/>
            </w:rPr>
          </w:pPr>
          <w:r w:rsidRPr="008F5A5A">
            <w:rPr>
              <w:b w:val="0"/>
              <w:sz w:val="20"/>
              <w:szCs w:val="20"/>
            </w:rPr>
            <w:fldChar w:fldCharType="begin"/>
          </w:r>
          <w:r w:rsidRPr="008F5A5A">
            <w:rPr>
              <w:b w:val="0"/>
              <w:sz w:val="20"/>
              <w:szCs w:val="20"/>
            </w:rPr>
            <w:instrText xml:space="preserve"> TOC \o "1-3" \h \z \u </w:instrText>
          </w:r>
          <w:r w:rsidRPr="008F5A5A">
            <w:rPr>
              <w:b w:val="0"/>
              <w:sz w:val="20"/>
              <w:szCs w:val="20"/>
            </w:rPr>
            <w:fldChar w:fldCharType="separate"/>
          </w:r>
          <w:hyperlink w:anchor="_Toc106193321" w:history="1">
            <w:r w:rsidR="008F5A5A" w:rsidRPr="008F5A5A">
              <w:rPr>
                <w:rStyle w:val="Hyperlink"/>
                <w:b w:val="0"/>
                <w:sz w:val="20"/>
                <w:szCs w:val="20"/>
              </w:rPr>
              <w:t>Capitolul 1: Observații preliminare</w:t>
            </w:r>
            <w:r w:rsidR="008F5A5A" w:rsidRPr="008F5A5A">
              <w:rPr>
                <w:b w:val="0"/>
                <w:webHidden/>
                <w:sz w:val="20"/>
                <w:szCs w:val="20"/>
              </w:rPr>
              <w:tab/>
            </w:r>
            <w:r w:rsidR="008F5A5A" w:rsidRPr="008F5A5A">
              <w:rPr>
                <w:b w:val="0"/>
                <w:webHidden/>
                <w:sz w:val="20"/>
                <w:szCs w:val="20"/>
              </w:rPr>
              <w:fldChar w:fldCharType="begin"/>
            </w:r>
            <w:r w:rsidR="008F5A5A" w:rsidRPr="008F5A5A">
              <w:rPr>
                <w:b w:val="0"/>
                <w:webHidden/>
                <w:sz w:val="20"/>
                <w:szCs w:val="20"/>
              </w:rPr>
              <w:instrText xml:space="preserve"> PAGEREF _Toc106193321 \h </w:instrText>
            </w:r>
            <w:r w:rsidR="008F5A5A" w:rsidRPr="008F5A5A">
              <w:rPr>
                <w:b w:val="0"/>
                <w:webHidden/>
                <w:sz w:val="20"/>
                <w:szCs w:val="20"/>
              </w:rPr>
            </w:r>
            <w:r w:rsidR="008F5A5A" w:rsidRPr="008F5A5A">
              <w:rPr>
                <w:b w:val="0"/>
                <w:webHidden/>
                <w:sz w:val="20"/>
                <w:szCs w:val="20"/>
              </w:rPr>
              <w:fldChar w:fldCharType="separate"/>
            </w:r>
            <w:r w:rsidR="008F5A5A">
              <w:rPr>
                <w:b w:val="0"/>
                <w:webHidden/>
                <w:sz w:val="20"/>
                <w:szCs w:val="20"/>
              </w:rPr>
              <w:t>3</w:t>
            </w:r>
            <w:r w:rsidR="008F5A5A" w:rsidRPr="008F5A5A">
              <w:rPr>
                <w:b w:val="0"/>
                <w:webHidden/>
                <w:sz w:val="20"/>
                <w:szCs w:val="20"/>
              </w:rPr>
              <w:fldChar w:fldCharType="end"/>
            </w:r>
          </w:hyperlink>
        </w:p>
        <w:p w14:paraId="3FB0E2BC" w14:textId="53641292" w:rsidR="008F5A5A" w:rsidRPr="008F5A5A" w:rsidRDefault="008F5A5A">
          <w:pPr>
            <w:pStyle w:val="TOC1"/>
            <w:rPr>
              <w:rFonts w:asciiTheme="minorHAnsi" w:eastAsiaTheme="minorEastAsia" w:hAnsiTheme="minorHAnsi" w:cstheme="minorBidi"/>
              <w:b w:val="0"/>
              <w:sz w:val="20"/>
              <w:szCs w:val="20"/>
              <w:lang w:val="en-US"/>
            </w:rPr>
          </w:pPr>
          <w:hyperlink w:anchor="_Toc106193322" w:history="1">
            <w:r w:rsidRPr="008F5A5A">
              <w:rPr>
                <w:rStyle w:val="Hyperlink"/>
                <w:b w:val="0"/>
                <w:sz w:val="20"/>
                <w:szCs w:val="20"/>
              </w:rPr>
              <w:t>Titlul 1: Definiții suplimentare pentru partea 4A</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_Toc106193322 \h </w:instrText>
            </w:r>
            <w:r w:rsidRPr="008F5A5A">
              <w:rPr>
                <w:b w:val="0"/>
                <w:webHidden/>
                <w:sz w:val="20"/>
                <w:szCs w:val="20"/>
              </w:rPr>
            </w:r>
            <w:r w:rsidRPr="008F5A5A">
              <w:rPr>
                <w:b w:val="0"/>
                <w:webHidden/>
                <w:sz w:val="20"/>
                <w:szCs w:val="20"/>
              </w:rPr>
              <w:fldChar w:fldCharType="separate"/>
            </w:r>
            <w:r>
              <w:rPr>
                <w:b w:val="0"/>
                <w:webHidden/>
                <w:sz w:val="20"/>
                <w:szCs w:val="20"/>
              </w:rPr>
              <w:t>3</w:t>
            </w:r>
            <w:r w:rsidRPr="008F5A5A">
              <w:rPr>
                <w:b w:val="0"/>
                <w:webHidden/>
                <w:sz w:val="20"/>
                <w:szCs w:val="20"/>
              </w:rPr>
              <w:fldChar w:fldCharType="end"/>
            </w:r>
          </w:hyperlink>
        </w:p>
        <w:p w14:paraId="7FF72693" w14:textId="6669C73D" w:rsidR="008F5A5A" w:rsidRPr="008F5A5A" w:rsidRDefault="008F5A5A">
          <w:pPr>
            <w:pStyle w:val="TOC1"/>
            <w:rPr>
              <w:rFonts w:asciiTheme="minorHAnsi" w:eastAsiaTheme="minorEastAsia" w:hAnsiTheme="minorHAnsi" w:cstheme="minorBidi"/>
              <w:b w:val="0"/>
              <w:sz w:val="20"/>
              <w:szCs w:val="20"/>
              <w:lang w:val="en-US"/>
            </w:rPr>
          </w:pPr>
          <w:hyperlink w:anchor="_Toc106193323" w:history="1">
            <w:r w:rsidRPr="008F5A5A">
              <w:rPr>
                <w:rStyle w:val="Hyperlink"/>
                <w:b w:val="0"/>
                <w:sz w:val="20"/>
                <w:szCs w:val="20"/>
              </w:rPr>
              <w:t>Titlul 2: Funcțiile Comisiei în ceea ce privește informațiile electorale online și comportamentul de natură manipulatoare sau neautentică</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_Toc106193323 \h </w:instrText>
            </w:r>
            <w:r w:rsidRPr="008F5A5A">
              <w:rPr>
                <w:b w:val="0"/>
                <w:webHidden/>
                <w:sz w:val="20"/>
                <w:szCs w:val="20"/>
              </w:rPr>
            </w:r>
            <w:r w:rsidRPr="008F5A5A">
              <w:rPr>
                <w:b w:val="0"/>
                <w:webHidden/>
                <w:sz w:val="20"/>
                <w:szCs w:val="20"/>
              </w:rPr>
              <w:fldChar w:fldCharType="separate"/>
            </w:r>
            <w:r>
              <w:rPr>
                <w:b w:val="0"/>
                <w:webHidden/>
                <w:sz w:val="20"/>
                <w:szCs w:val="20"/>
              </w:rPr>
              <w:t>6</w:t>
            </w:r>
            <w:r w:rsidRPr="008F5A5A">
              <w:rPr>
                <w:b w:val="0"/>
                <w:webHidden/>
                <w:sz w:val="20"/>
                <w:szCs w:val="20"/>
              </w:rPr>
              <w:fldChar w:fldCharType="end"/>
            </w:r>
          </w:hyperlink>
        </w:p>
        <w:p w14:paraId="478FE544" w14:textId="30968C96" w:rsidR="008F5A5A" w:rsidRPr="008F5A5A" w:rsidRDefault="008F5A5A">
          <w:pPr>
            <w:pStyle w:val="TOC1"/>
            <w:rPr>
              <w:rFonts w:asciiTheme="minorHAnsi" w:eastAsiaTheme="minorEastAsia" w:hAnsiTheme="minorHAnsi" w:cstheme="minorBidi"/>
              <w:b w:val="0"/>
              <w:sz w:val="20"/>
              <w:szCs w:val="20"/>
              <w:lang w:val="en-US"/>
            </w:rPr>
          </w:pPr>
          <w:hyperlink w:anchor="_Toc106193324" w:history="1">
            <w:r w:rsidRPr="008F5A5A">
              <w:rPr>
                <w:rStyle w:val="Hyperlink"/>
                <w:b w:val="0"/>
                <w:sz w:val="20"/>
                <w:szCs w:val="20"/>
              </w:rPr>
              <w:t>Titlul 3: Instituirea și rolul Consiliului consultativ</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_Toc106193324 \h </w:instrText>
            </w:r>
            <w:r w:rsidRPr="008F5A5A">
              <w:rPr>
                <w:b w:val="0"/>
                <w:webHidden/>
                <w:sz w:val="20"/>
                <w:szCs w:val="20"/>
              </w:rPr>
            </w:r>
            <w:r w:rsidRPr="008F5A5A">
              <w:rPr>
                <w:b w:val="0"/>
                <w:webHidden/>
                <w:sz w:val="20"/>
                <w:szCs w:val="20"/>
              </w:rPr>
              <w:fldChar w:fldCharType="separate"/>
            </w:r>
            <w:r>
              <w:rPr>
                <w:b w:val="0"/>
                <w:webHidden/>
                <w:sz w:val="20"/>
                <w:szCs w:val="20"/>
              </w:rPr>
              <w:t>6</w:t>
            </w:r>
            <w:r w:rsidRPr="008F5A5A">
              <w:rPr>
                <w:b w:val="0"/>
                <w:webHidden/>
                <w:sz w:val="20"/>
                <w:szCs w:val="20"/>
              </w:rPr>
              <w:fldChar w:fldCharType="end"/>
            </w:r>
          </w:hyperlink>
        </w:p>
        <w:p w14:paraId="765B31F3" w14:textId="72B82F6B" w:rsidR="008F5A5A" w:rsidRPr="008F5A5A" w:rsidRDefault="008F5A5A">
          <w:pPr>
            <w:pStyle w:val="TOC1"/>
            <w:rPr>
              <w:rFonts w:asciiTheme="minorHAnsi" w:eastAsiaTheme="minorEastAsia" w:hAnsiTheme="minorHAnsi" w:cstheme="minorBidi"/>
              <w:b w:val="0"/>
              <w:sz w:val="20"/>
              <w:szCs w:val="20"/>
              <w:lang w:val="en-US"/>
            </w:rPr>
          </w:pPr>
          <w:hyperlink w:anchor="_Toc106193325" w:history="1">
            <w:r w:rsidRPr="008F5A5A">
              <w:rPr>
                <w:rStyle w:val="Hyperlink"/>
                <w:b w:val="0"/>
                <w:sz w:val="20"/>
                <w:szCs w:val="20"/>
              </w:rPr>
              <w:t>Titlul 4: Instituirea și rolul consiliului părților interesate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_Toc106193325 \h </w:instrText>
            </w:r>
            <w:r w:rsidRPr="008F5A5A">
              <w:rPr>
                <w:b w:val="0"/>
                <w:webHidden/>
                <w:sz w:val="20"/>
                <w:szCs w:val="20"/>
              </w:rPr>
            </w:r>
            <w:r w:rsidRPr="008F5A5A">
              <w:rPr>
                <w:b w:val="0"/>
                <w:webHidden/>
                <w:sz w:val="20"/>
                <w:szCs w:val="20"/>
              </w:rPr>
              <w:fldChar w:fldCharType="separate"/>
            </w:r>
            <w:r>
              <w:rPr>
                <w:b w:val="0"/>
                <w:webHidden/>
                <w:sz w:val="20"/>
                <w:szCs w:val="20"/>
              </w:rPr>
              <w:t>7</w:t>
            </w:r>
            <w:r w:rsidRPr="008F5A5A">
              <w:rPr>
                <w:b w:val="0"/>
                <w:webHidden/>
                <w:sz w:val="20"/>
                <w:szCs w:val="20"/>
              </w:rPr>
              <w:fldChar w:fldCharType="end"/>
            </w:r>
          </w:hyperlink>
        </w:p>
        <w:p w14:paraId="239825B9" w14:textId="5DDDE924" w:rsidR="008F5A5A" w:rsidRPr="008F5A5A" w:rsidRDefault="008F5A5A">
          <w:pPr>
            <w:pStyle w:val="TOC1"/>
            <w:rPr>
              <w:rFonts w:asciiTheme="minorHAnsi" w:eastAsiaTheme="minorEastAsia" w:hAnsiTheme="minorHAnsi" w:cstheme="minorBidi"/>
              <w:b w:val="0"/>
              <w:sz w:val="20"/>
              <w:szCs w:val="20"/>
              <w:lang w:val="en-US"/>
            </w:rPr>
          </w:pPr>
          <w:hyperlink w:anchor="_Toc106193326" w:history="1">
            <w:r w:rsidRPr="008F5A5A">
              <w:rPr>
                <w:rStyle w:val="Hyperlink"/>
                <w:b w:val="0"/>
                <w:sz w:val="20"/>
                <w:szCs w:val="20"/>
              </w:rPr>
              <w:t>[Titlul 5 a fost eliminat]</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_Toc106193326 \h </w:instrText>
            </w:r>
            <w:r w:rsidRPr="008F5A5A">
              <w:rPr>
                <w:b w:val="0"/>
                <w:webHidden/>
                <w:sz w:val="20"/>
                <w:szCs w:val="20"/>
              </w:rPr>
            </w:r>
            <w:r w:rsidRPr="008F5A5A">
              <w:rPr>
                <w:b w:val="0"/>
                <w:webHidden/>
                <w:sz w:val="20"/>
                <w:szCs w:val="20"/>
              </w:rPr>
              <w:fldChar w:fldCharType="separate"/>
            </w:r>
            <w:r>
              <w:rPr>
                <w:b w:val="0"/>
                <w:webHidden/>
                <w:sz w:val="20"/>
                <w:szCs w:val="20"/>
              </w:rPr>
              <w:t>8</w:t>
            </w:r>
            <w:r w:rsidRPr="008F5A5A">
              <w:rPr>
                <w:b w:val="0"/>
                <w:webHidden/>
                <w:sz w:val="20"/>
                <w:szCs w:val="20"/>
              </w:rPr>
              <w:fldChar w:fldCharType="end"/>
            </w:r>
          </w:hyperlink>
        </w:p>
        <w:p w14:paraId="1EEBFA28" w14:textId="053720B2" w:rsidR="008F5A5A" w:rsidRPr="008F5A5A" w:rsidRDefault="008F5A5A">
          <w:pPr>
            <w:pStyle w:val="TOC1"/>
            <w:rPr>
              <w:rFonts w:asciiTheme="minorHAnsi" w:eastAsiaTheme="minorEastAsia" w:hAnsiTheme="minorHAnsi" w:cstheme="minorBidi"/>
              <w:b w:val="0"/>
              <w:sz w:val="20"/>
              <w:szCs w:val="20"/>
              <w:lang w:val="en-US"/>
            </w:rPr>
          </w:pPr>
          <w:hyperlink w:anchor="_Toc106193327" w:history="1">
            <w:r w:rsidRPr="008F5A5A">
              <w:rPr>
                <w:rStyle w:val="Hyperlink"/>
                <w:b w:val="0"/>
                <w:sz w:val="20"/>
                <w:szCs w:val="20"/>
              </w:rPr>
              <w:t>Titlul 6: Obligația platformelor online de a furniza informații Comisiei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_Toc106193327 \h </w:instrText>
            </w:r>
            <w:r w:rsidRPr="008F5A5A">
              <w:rPr>
                <w:b w:val="0"/>
                <w:webHidden/>
                <w:sz w:val="20"/>
                <w:szCs w:val="20"/>
              </w:rPr>
            </w:r>
            <w:r w:rsidRPr="008F5A5A">
              <w:rPr>
                <w:b w:val="0"/>
                <w:webHidden/>
                <w:sz w:val="20"/>
                <w:szCs w:val="20"/>
              </w:rPr>
              <w:fldChar w:fldCharType="separate"/>
            </w:r>
            <w:r>
              <w:rPr>
                <w:b w:val="0"/>
                <w:webHidden/>
                <w:sz w:val="20"/>
                <w:szCs w:val="20"/>
              </w:rPr>
              <w:t>8</w:t>
            </w:r>
            <w:r w:rsidRPr="008F5A5A">
              <w:rPr>
                <w:b w:val="0"/>
                <w:webHidden/>
                <w:sz w:val="20"/>
                <w:szCs w:val="20"/>
              </w:rPr>
              <w:fldChar w:fldCharType="end"/>
            </w:r>
          </w:hyperlink>
        </w:p>
        <w:p w14:paraId="5DE8A31A" w14:textId="78CDB62C" w:rsidR="008F5A5A" w:rsidRPr="008F5A5A" w:rsidRDefault="008F5A5A">
          <w:pPr>
            <w:pStyle w:val="TOC1"/>
            <w:rPr>
              <w:rFonts w:asciiTheme="minorHAnsi" w:eastAsiaTheme="minorEastAsia" w:hAnsiTheme="minorHAnsi" w:cstheme="minorBidi"/>
              <w:b w:val="0"/>
              <w:sz w:val="20"/>
              <w:szCs w:val="20"/>
              <w:lang w:val="en-US"/>
            </w:rPr>
          </w:pPr>
          <w:hyperlink w:anchor="_Toc106193328" w:history="1">
            <w:r w:rsidRPr="008F5A5A">
              <w:rPr>
                <w:rStyle w:val="Hyperlink"/>
                <w:b w:val="0"/>
                <w:sz w:val="20"/>
                <w:szCs w:val="20"/>
              </w:rPr>
              <w:t>Titlul 7: Obligația platformei online de a institui un mecanism de notificare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_Toc106193328 \h </w:instrText>
            </w:r>
            <w:r w:rsidRPr="008F5A5A">
              <w:rPr>
                <w:b w:val="0"/>
                <w:webHidden/>
                <w:sz w:val="20"/>
                <w:szCs w:val="20"/>
              </w:rPr>
            </w:r>
            <w:r w:rsidRPr="008F5A5A">
              <w:rPr>
                <w:b w:val="0"/>
                <w:webHidden/>
                <w:sz w:val="20"/>
                <w:szCs w:val="20"/>
              </w:rPr>
              <w:fldChar w:fldCharType="separate"/>
            </w:r>
            <w:r>
              <w:rPr>
                <w:b w:val="0"/>
                <w:webHidden/>
                <w:sz w:val="20"/>
                <w:szCs w:val="20"/>
              </w:rPr>
              <w:t>9</w:t>
            </w:r>
            <w:r w:rsidRPr="008F5A5A">
              <w:rPr>
                <w:b w:val="0"/>
                <w:webHidden/>
                <w:sz w:val="20"/>
                <w:szCs w:val="20"/>
              </w:rPr>
              <w:fldChar w:fldCharType="end"/>
            </w:r>
          </w:hyperlink>
        </w:p>
        <w:p w14:paraId="40C5FCBA" w14:textId="5D2B3B2E" w:rsidR="008F5A5A" w:rsidRPr="008F5A5A" w:rsidRDefault="008F5A5A">
          <w:pPr>
            <w:pStyle w:val="TOC1"/>
            <w:rPr>
              <w:rFonts w:asciiTheme="minorHAnsi" w:eastAsiaTheme="minorEastAsia" w:hAnsiTheme="minorHAnsi" w:cstheme="minorBidi"/>
              <w:b w:val="0"/>
              <w:sz w:val="20"/>
              <w:szCs w:val="20"/>
              <w:lang w:val="en-US"/>
            </w:rPr>
          </w:pPr>
          <w:hyperlink w:anchor="_Toc106193329" w:history="1">
            <w:r w:rsidRPr="008F5A5A">
              <w:rPr>
                <w:rStyle w:val="Hyperlink"/>
                <w:b w:val="0"/>
                <w:sz w:val="20"/>
                <w:szCs w:val="20"/>
              </w:rPr>
              <w:t>Capitolul 3: Competențele Comisiei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_Toc106193329 \h </w:instrText>
            </w:r>
            <w:r w:rsidRPr="008F5A5A">
              <w:rPr>
                <w:b w:val="0"/>
                <w:webHidden/>
                <w:sz w:val="20"/>
                <w:szCs w:val="20"/>
              </w:rPr>
            </w:r>
            <w:r w:rsidRPr="008F5A5A">
              <w:rPr>
                <w:b w:val="0"/>
                <w:webHidden/>
                <w:sz w:val="20"/>
                <w:szCs w:val="20"/>
              </w:rPr>
              <w:fldChar w:fldCharType="separate"/>
            </w:r>
            <w:r>
              <w:rPr>
                <w:b w:val="0"/>
                <w:webHidden/>
                <w:sz w:val="20"/>
                <w:szCs w:val="20"/>
              </w:rPr>
              <w:t>10</w:t>
            </w:r>
            <w:r w:rsidRPr="008F5A5A">
              <w:rPr>
                <w:b w:val="0"/>
                <w:webHidden/>
                <w:sz w:val="20"/>
                <w:szCs w:val="20"/>
              </w:rPr>
              <w:fldChar w:fldCharType="end"/>
            </w:r>
          </w:hyperlink>
        </w:p>
        <w:p w14:paraId="067D5513" w14:textId="77BFD7D9" w:rsidR="008F5A5A" w:rsidRPr="008F5A5A" w:rsidRDefault="008F5A5A">
          <w:pPr>
            <w:pStyle w:val="TOC1"/>
            <w:rPr>
              <w:rFonts w:asciiTheme="minorHAnsi" w:eastAsiaTheme="minorEastAsia" w:hAnsiTheme="minorHAnsi" w:cstheme="minorBidi"/>
              <w:b w:val="0"/>
              <w:sz w:val="20"/>
              <w:szCs w:val="20"/>
              <w:lang w:val="en-US"/>
            </w:rPr>
          </w:pPr>
          <w:hyperlink w:anchor="_Toc106193330" w:history="1">
            <w:r w:rsidRPr="008F5A5A">
              <w:rPr>
                <w:rStyle w:val="Hyperlink"/>
                <w:b w:val="0"/>
                <w:sz w:val="20"/>
                <w:szCs w:val="20"/>
              </w:rPr>
              <w:t xml:space="preserve">Titlul 8: Monitorizarea de către Comisie a informațiilor electorale online și a investigațiilor referitoare </w:t>
            </w:r>
            <w:r>
              <w:rPr>
                <w:rStyle w:val="Hyperlink"/>
                <w:b w:val="0"/>
                <w:sz w:val="20"/>
                <w:szCs w:val="20"/>
              </w:rPr>
              <w:br/>
            </w:r>
            <w:r w:rsidRPr="008F5A5A">
              <w:rPr>
                <w:rStyle w:val="Hyperlink"/>
                <w:b w:val="0"/>
                <w:sz w:val="20"/>
                <w:szCs w:val="20"/>
              </w:rPr>
              <w:t>la acestea</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_Toc106193330 \h </w:instrText>
            </w:r>
            <w:r w:rsidRPr="008F5A5A">
              <w:rPr>
                <w:b w:val="0"/>
                <w:webHidden/>
                <w:sz w:val="20"/>
                <w:szCs w:val="20"/>
              </w:rPr>
            </w:r>
            <w:r w:rsidRPr="008F5A5A">
              <w:rPr>
                <w:b w:val="0"/>
                <w:webHidden/>
                <w:sz w:val="20"/>
                <w:szCs w:val="20"/>
              </w:rPr>
              <w:fldChar w:fldCharType="separate"/>
            </w:r>
            <w:r>
              <w:rPr>
                <w:b w:val="0"/>
                <w:webHidden/>
                <w:sz w:val="20"/>
                <w:szCs w:val="20"/>
              </w:rPr>
              <w:t>10</w:t>
            </w:r>
            <w:r w:rsidRPr="008F5A5A">
              <w:rPr>
                <w:b w:val="0"/>
                <w:webHidden/>
                <w:sz w:val="20"/>
                <w:szCs w:val="20"/>
              </w:rPr>
              <w:fldChar w:fldCharType="end"/>
            </w:r>
          </w:hyperlink>
        </w:p>
        <w:p w14:paraId="113563CA" w14:textId="48E1D6C8" w:rsidR="008F5A5A" w:rsidRPr="008F5A5A" w:rsidRDefault="008F5A5A">
          <w:pPr>
            <w:pStyle w:val="TOC1"/>
            <w:rPr>
              <w:rFonts w:asciiTheme="minorHAnsi" w:eastAsiaTheme="minorEastAsia" w:hAnsiTheme="minorHAnsi" w:cstheme="minorBidi"/>
              <w:b w:val="0"/>
              <w:sz w:val="20"/>
              <w:szCs w:val="20"/>
              <w:lang w:val="en-US"/>
            </w:rPr>
          </w:pPr>
          <w:hyperlink w:anchor="_Toc106193331" w:history="1">
            <w:r w:rsidRPr="008F5A5A">
              <w:rPr>
                <w:rStyle w:val="Hyperlink"/>
                <w:b w:val="0"/>
                <w:sz w:val="20"/>
                <w:szCs w:val="20"/>
              </w:rPr>
              <w:t>Titlul 8A: Delegarea competențelor Comisiei către directorul general [sau alt membru al Comisiei]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_Toc106193331 \h </w:instrText>
            </w:r>
            <w:r w:rsidRPr="008F5A5A">
              <w:rPr>
                <w:b w:val="0"/>
                <w:webHidden/>
                <w:sz w:val="20"/>
                <w:szCs w:val="20"/>
              </w:rPr>
            </w:r>
            <w:r w:rsidRPr="008F5A5A">
              <w:rPr>
                <w:b w:val="0"/>
                <w:webHidden/>
                <w:sz w:val="20"/>
                <w:szCs w:val="20"/>
              </w:rPr>
              <w:fldChar w:fldCharType="separate"/>
            </w:r>
            <w:r>
              <w:rPr>
                <w:b w:val="0"/>
                <w:webHidden/>
                <w:sz w:val="20"/>
                <w:szCs w:val="20"/>
              </w:rPr>
              <w:t>11</w:t>
            </w:r>
            <w:r w:rsidRPr="008F5A5A">
              <w:rPr>
                <w:b w:val="0"/>
                <w:webHidden/>
                <w:sz w:val="20"/>
                <w:szCs w:val="20"/>
              </w:rPr>
              <w:fldChar w:fldCharType="end"/>
            </w:r>
          </w:hyperlink>
        </w:p>
        <w:p w14:paraId="48420477" w14:textId="757C2F09" w:rsidR="008F5A5A" w:rsidRPr="008F5A5A" w:rsidRDefault="008F5A5A">
          <w:pPr>
            <w:pStyle w:val="TOC1"/>
            <w:rPr>
              <w:rFonts w:asciiTheme="minorHAnsi" w:eastAsiaTheme="minorEastAsia" w:hAnsiTheme="minorHAnsi" w:cstheme="minorBidi"/>
              <w:b w:val="0"/>
              <w:sz w:val="20"/>
              <w:szCs w:val="20"/>
              <w:lang w:val="en-US"/>
            </w:rPr>
          </w:pPr>
          <w:hyperlink w:anchor="_Toc106193332" w:history="1">
            <w:r w:rsidRPr="008F5A5A">
              <w:rPr>
                <w:rStyle w:val="Hyperlink"/>
                <w:b w:val="0"/>
                <w:sz w:val="20"/>
                <w:szCs w:val="20"/>
              </w:rPr>
              <w:t>Titlul 9: Cerințe privind exercitarea competențelor Comisiei în temeiul prezentei părți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_Toc106193332 \h </w:instrText>
            </w:r>
            <w:r w:rsidRPr="008F5A5A">
              <w:rPr>
                <w:b w:val="0"/>
                <w:webHidden/>
                <w:sz w:val="20"/>
                <w:szCs w:val="20"/>
              </w:rPr>
            </w:r>
            <w:r w:rsidRPr="008F5A5A">
              <w:rPr>
                <w:b w:val="0"/>
                <w:webHidden/>
                <w:sz w:val="20"/>
                <w:szCs w:val="20"/>
              </w:rPr>
              <w:fldChar w:fldCharType="separate"/>
            </w:r>
            <w:r>
              <w:rPr>
                <w:b w:val="0"/>
                <w:webHidden/>
                <w:sz w:val="20"/>
                <w:szCs w:val="20"/>
              </w:rPr>
              <w:t>13</w:t>
            </w:r>
            <w:r w:rsidRPr="008F5A5A">
              <w:rPr>
                <w:b w:val="0"/>
                <w:webHidden/>
                <w:sz w:val="20"/>
                <w:szCs w:val="20"/>
              </w:rPr>
              <w:fldChar w:fldCharType="end"/>
            </w:r>
          </w:hyperlink>
        </w:p>
        <w:p w14:paraId="27B21908" w14:textId="0D52200F" w:rsidR="008F5A5A" w:rsidRPr="008F5A5A" w:rsidRDefault="008F5A5A">
          <w:pPr>
            <w:pStyle w:val="TOC1"/>
            <w:rPr>
              <w:rFonts w:asciiTheme="minorHAnsi" w:eastAsiaTheme="minorEastAsia" w:hAnsiTheme="minorHAnsi" w:cstheme="minorBidi"/>
              <w:b w:val="0"/>
              <w:sz w:val="20"/>
              <w:szCs w:val="20"/>
              <w:lang w:val="en-US"/>
            </w:rPr>
          </w:pPr>
          <w:hyperlink w:anchor="_Toc106193333" w:history="1">
            <w:r w:rsidRPr="008F5A5A">
              <w:rPr>
                <w:rStyle w:val="Hyperlink"/>
                <w:b w:val="0"/>
                <w:sz w:val="20"/>
                <w:szCs w:val="20"/>
              </w:rPr>
              <w:t>Titlul 10: Competențele Comisiei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_Toc106193333 \h </w:instrText>
            </w:r>
            <w:r w:rsidRPr="008F5A5A">
              <w:rPr>
                <w:b w:val="0"/>
                <w:webHidden/>
                <w:sz w:val="20"/>
                <w:szCs w:val="20"/>
              </w:rPr>
            </w:r>
            <w:r w:rsidRPr="008F5A5A">
              <w:rPr>
                <w:b w:val="0"/>
                <w:webHidden/>
                <w:sz w:val="20"/>
                <w:szCs w:val="20"/>
              </w:rPr>
              <w:fldChar w:fldCharType="separate"/>
            </w:r>
            <w:r>
              <w:rPr>
                <w:b w:val="0"/>
                <w:webHidden/>
                <w:sz w:val="20"/>
                <w:szCs w:val="20"/>
              </w:rPr>
              <w:t>14</w:t>
            </w:r>
            <w:r w:rsidRPr="008F5A5A">
              <w:rPr>
                <w:b w:val="0"/>
                <w:webHidden/>
                <w:sz w:val="20"/>
                <w:szCs w:val="20"/>
              </w:rPr>
              <w:fldChar w:fldCharType="end"/>
            </w:r>
          </w:hyperlink>
        </w:p>
        <w:p w14:paraId="76770C8A" w14:textId="1C861837" w:rsidR="008F5A5A" w:rsidRPr="008F5A5A" w:rsidRDefault="008F5A5A">
          <w:pPr>
            <w:pStyle w:val="TOC2"/>
            <w:tabs>
              <w:tab w:val="left" w:pos="720"/>
              <w:tab w:val="right" w:leader="dot" w:pos="9010"/>
            </w:tabs>
            <w:rPr>
              <w:rFonts w:eastAsiaTheme="minorEastAsia"/>
              <w:b w:val="0"/>
              <w:noProof/>
              <w:sz w:val="20"/>
              <w:szCs w:val="20"/>
              <w:lang w:val="en-US"/>
            </w:rPr>
          </w:pPr>
          <w:hyperlink w:anchor="_Toc106193334" w:history="1">
            <w:r w:rsidRPr="008F5A5A">
              <w:rPr>
                <w:rStyle w:val="Hyperlink"/>
                <w:b w:val="0"/>
                <w:noProof/>
                <w:sz w:val="20"/>
                <w:szCs w:val="20"/>
              </w:rPr>
              <w:t>(i)</w:t>
            </w:r>
            <w:r w:rsidRPr="008F5A5A">
              <w:rPr>
                <w:rFonts w:eastAsiaTheme="minorEastAsia"/>
                <w:b w:val="0"/>
                <w:noProof/>
                <w:sz w:val="20"/>
                <w:szCs w:val="20"/>
                <w:lang w:val="en-US"/>
              </w:rPr>
              <w:tab/>
            </w:r>
            <w:r w:rsidRPr="008F5A5A">
              <w:rPr>
                <w:rStyle w:val="Hyperlink"/>
                <w:b w:val="0"/>
                <w:noProof/>
                <w:sz w:val="20"/>
                <w:szCs w:val="20"/>
              </w:rPr>
              <w:t>Titlul 10(i): Competența de a emite o notificare de retragere</w:t>
            </w:r>
            <w:r w:rsidRPr="008F5A5A">
              <w:rPr>
                <w:b w:val="0"/>
                <w:noProof/>
                <w:webHidden/>
                <w:sz w:val="20"/>
                <w:szCs w:val="20"/>
              </w:rPr>
              <w:tab/>
            </w:r>
            <w:r w:rsidRPr="008F5A5A">
              <w:rPr>
                <w:b w:val="0"/>
                <w:noProof/>
                <w:webHidden/>
                <w:sz w:val="20"/>
                <w:szCs w:val="20"/>
              </w:rPr>
              <w:fldChar w:fldCharType="begin"/>
            </w:r>
            <w:r w:rsidRPr="008F5A5A">
              <w:rPr>
                <w:b w:val="0"/>
                <w:noProof/>
                <w:webHidden/>
                <w:sz w:val="20"/>
                <w:szCs w:val="20"/>
              </w:rPr>
              <w:instrText xml:space="preserve"> PAGEREF _Toc106193334 \h </w:instrText>
            </w:r>
            <w:r w:rsidRPr="008F5A5A">
              <w:rPr>
                <w:b w:val="0"/>
                <w:noProof/>
                <w:webHidden/>
                <w:sz w:val="20"/>
                <w:szCs w:val="20"/>
              </w:rPr>
            </w:r>
            <w:r w:rsidRPr="008F5A5A">
              <w:rPr>
                <w:b w:val="0"/>
                <w:noProof/>
                <w:webHidden/>
                <w:sz w:val="20"/>
                <w:szCs w:val="20"/>
              </w:rPr>
              <w:fldChar w:fldCharType="separate"/>
            </w:r>
            <w:r>
              <w:rPr>
                <w:b w:val="0"/>
                <w:noProof/>
                <w:webHidden/>
                <w:sz w:val="20"/>
                <w:szCs w:val="20"/>
              </w:rPr>
              <w:t>14</w:t>
            </w:r>
            <w:r w:rsidRPr="008F5A5A">
              <w:rPr>
                <w:b w:val="0"/>
                <w:noProof/>
                <w:webHidden/>
                <w:sz w:val="20"/>
                <w:szCs w:val="20"/>
              </w:rPr>
              <w:fldChar w:fldCharType="end"/>
            </w:r>
          </w:hyperlink>
        </w:p>
        <w:p w14:paraId="5028F2A8" w14:textId="5C2D0BE8" w:rsidR="008F5A5A" w:rsidRPr="008F5A5A" w:rsidRDefault="008F5A5A">
          <w:pPr>
            <w:pStyle w:val="TOC2"/>
            <w:tabs>
              <w:tab w:val="left" w:pos="720"/>
              <w:tab w:val="right" w:leader="dot" w:pos="9010"/>
            </w:tabs>
            <w:rPr>
              <w:rFonts w:eastAsiaTheme="minorEastAsia"/>
              <w:b w:val="0"/>
              <w:noProof/>
              <w:sz w:val="20"/>
              <w:szCs w:val="20"/>
              <w:lang w:val="en-US"/>
            </w:rPr>
          </w:pPr>
          <w:hyperlink w:anchor="_Toc106193335" w:history="1">
            <w:r w:rsidRPr="008F5A5A">
              <w:rPr>
                <w:rStyle w:val="Hyperlink"/>
                <w:b w:val="0"/>
                <w:noProof/>
                <w:sz w:val="20"/>
                <w:szCs w:val="20"/>
              </w:rPr>
              <w:t>(ii)</w:t>
            </w:r>
            <w:r w:rsidRPr="008F5A5A">
              <w:rPr>
                <w:rFonts w:eastAsiaTheme="minorEastAsia"/>
                <w:b w:val="0"/>
                <w:noProof/>
                <w:sz w:val="20"/>
                <w:szCs w:val="20"/>
                <w:lang w:val="en-US"/>
              </w:rPr>
              <w:tab/>
            </w:r>
            <w:r w:rsidRPr="008F5A5A">
              <w:rPr>
                <w:rStyle w:val="Hyperlink"/>
                <w:b w:val="0"/>
                <w:noProof/>
                <w:sz w:val="20"/>
                <w:szCs w:val="20"/>
              </w:rPr>
              <w:t>Titlul 10(ii): Competența de a emite o notificare de corectare</w:t>
            </w:r>
            <w:r w:rsidRPr="008F5A5A">
              <w:rPr>
                <w:b w:val="0"/>
                <w:noProof/>
                <w:webHidden/>
                <w:sz w:val="20"/>
                <w:szCs w:val="20"/>
              </w:rPr>
              <w:tab/>
            </w:r>
            <w:r w:rsidRPr="008F5A5A">
              <w:rPr>
                <w:b w:val="0"/>
                <w:noProof/>
                <w:webHidden/>
                <w:sz w:val="20"/>
                <w:szCs w:val="20"/>
              </w:rPr>
              <w:fldChar w:fldCharType="begin"/>
            </w:r>
            <w:r w:rsidRPr="008F5A5A">
              <w:rPr>
                <w:b w:val="0"/>
                <w:noProof/>
                <w:webHidden/>
                <w:sz w:val="20"/>
                <w:szCs w:val="20"/>
              </w:rPr>
              <w:instrText xml:space="preserve"> PAGEREF _Toc106193335 \h </w:instrText>
            </w:r>
            <w:r w:rsidRPr="008F5A5A">
              <w:rPr>
                <w:b w:val="0"/>
                <w:noProof/>
                <w:webHidden/>
                <w:sz w:val="20"/>
                <w:szCs w:val="20"/>
              </w:rPr>
            </w:r>
            <w:r w:rsidRPr="008F5A5A">
              <w:rPr>
                <w:b w:val="0"/>
                <w:noProof/>
                <w:webHidden/>
                <w:sz w:val="20"/>
                <w:szCs w:val="20"/>
              </w:rPr>
              <w:fldChar w:fldCharType="separate"/>
            </w:r>
            <w:r>
              <w:rPr>
                <w:b w:val="0"/>
                <w:noProof/>
                <w:webHidden/>
                <w:sz w:val="20"/>
                <w:szCs w:val="20"/>
              </w:rPr>
              <w:t>16</w:t>
            </w:r>
            <w:r w:rsidRPr="008F5A5A">
              <w:rPr>
                <w:b w:val="0"/>
                <w:noProof/>
                <w:webHidden/>
                <w:sz w:val="20"/>
                <w:szCs w:val="20"/>
              </w:rPr>
              <w:fldChar w:fldCharType="end"/>
            </w:r>
          </w:hyperlink>
        </w:p>
        <w:p w14:paraId="4DF1FFDB" w14:textId="6234A119" w:rsidR="008F5A5A" w:rsidRPr="008F5A5A" w:rsidRDefault="008F5A5A">
          <w:pPr>
            <w:pStyle w:val="TOC2"/>
            <w:tabs>
              <w:tab w:val="left" w:pos="960"/>
              <w:tab w:val="right" w:leader="dot" w:pos="9010"/>
            </w:tabs>
            <w:rPr>
              <w:rFonts w:eastAsiaTheme="minorEastAsia"/>
              <w:b w:val="0"/>
              <w:noProof/>
              <w:sz w:val="20"/>
              <w:szCs w:val="20"/>
              <w:lang w:val="en-US"/>
            </w:rPr>
          </w:pPr>
          <w:hyperlink w:anchor="_Toc106193336" w:history="1">
            <w:r w:rsidRPr="008F5A5A">
              <w:rPr>
                <w:rStyle w:val="Hyperlink"/>
                <w:b w:val="0"/>
                <w:noProof/>
                <w:sz w:val="20"/>
                <w:szCs w:val="20"/>
              </w:rPr>
              <w:t>(iii)</w:t>
            </w:r>
            <w:r w:rsidRPr="008F5A5A">
              <w:rPr>
                <w:rFonts w:eastAsiaTheme="minorEastAsia"/>
                <w:b w:val="0"/>
                <w:noProof/>
                <w:sz w:val="20"/>
                <w:szCs w:val="20"/>
                <w:lang w:val="en-US"/>
              </w:rPr>
              <w:tab/>
            </w:r>
            <w:r w:rsidRPr="008F5A5A">
              <w:rPr>
                <w:rStyle w:val="Hyperlink"/>
                <w:b w:val="0"/>
                <w:noProof/>
                <w:sz w:val="20"/>
                <w:szCs w:val="20"/>
              </w:rPr>
              <w:t>Titlul 10 (iii): Competența de a emite un ordin de etichetare</w:t>
            </w:r>
            <w:r w:rsidRPr="008F5A5A">
              <w:rPr>
                <w:b w:val="0"/>
                <w:noProof/>
                <w:webHidden/>
                <w:sz w:val="20"/>
                <w:szCs w:val="20"/>
              </w:rPr>
              <w:tab/>
            </w:r>
            <w:r w:rsidRPr="008F5A5A">
              <w:rPr>
                <w:b w:val="0"/>
                <w:noProof/>
                <w:webHidden/>
                <w:sz w:val="20"/>
                <w:szCs w:val="20"/>
              </w:rPr>
              <w:fldChar w:fldCharType="begin"/>
            </w:r>
            <w:r w:rsidRPr="008F5A5A">
              <w:rPr>
                <w:b w:val="0"/>
                <w:noProof/>
                <w:webHidden/>
                <w:sz w:val="20"/>
                <w:szCs w:val="20"/>
              </w:rPr>
              <w:instrText xml:space="preserve"> PAGEREF _Toc106193336 \h </w:instrText>
            </w:r>
            <w:r w:rsidRPr="008F5A5A">
              <w:rPr>
                <w:b w:val="0"/>
                <w:noProof/>
                <w:webHidden/>
                <w:sz w:val="20"/>
                <w:szCs w:val="20"/>
              </w:rPr>
            </w:r>
            <w:r w:rsidRPr="008F5A5A">
              <w:rPr>
                <w:b w:val="0"/>
                <w:noProof/>
                <w:webHidden/>
                <w:sz w:val="20"/>
                <w:szCs w:val="20"/>
              </w:rPr>
              <w:fldChar w:fldCharType="separate"/>
            </w:r>
            <w:r>
              <w:rPr>
                <w:b w:val="0"/>
                <w:noProof/>
                <w:webHidden/>
                <w:sz w:val="20"/>
                <w:szCs w:val="20"/>
              </w:rPr>
              <w:t>17</w:t>
            </w:r>
            <w:r w:rsidRPr="008F5A5A">
              <w:rPr>
                <w:b w:val="0"/>
                <w:noProof/>
                <w:webHidden/>
                <w:sz w:val="20"/>
                <w:szCs w:val="20"/>
              </w:rPr>
              <w:fldChar w:fldCharType="end"/>
            </w:r>
          </w:hyperlink>
        </w:p>
        <w:p w14:paraId="57F152D1" w14:textId="7BB4B361" w:rsidR="008F5A5A" w:rsidRPr="008F5A5A" w:rsidRDefault="008F5A5A">
          <w:pPr>
            <w:pStyle w:val="TOC2"/>
            <w:tabs>
              <w:tab w:val="left" w:pos="960"/>
              <w:tab w:val="right" w:leader="dot" w:pos="9010"/>
            </w:tabs>
            <w:rPr>
              <w:rFonts w:eastAsiaTheme="minorEastAsia"/>
              <w:b w:val="0"/>
              <w:noProof/>
              <w:sz w:val="20"/>
              <w:szCs w:val="20"/>
              <w:lang w:val="en-US"/>
            </w:rPr>
          </w:pPr>
          <w:hyperlink w:anchor="_Toc106193337" w:history="1">
            <w:r w:rsidRPr="008F5A5A">
              <w:rPr>
                <w:rStyle w:val="Hyperlink"/>
                <w:b w:val="0"/>
                <w:noProof/>
                <w:sz w:val="20"/>
                <w:szCs w:val="20"/>
              </w:rPr>
              <w:t>(iv)</w:t>
            </w:r>
            <w:r w:rsidRPr="008F5A5A">
              <w:rPr>
                <w:rFonts w:eastAsiaTheme="minorEastAsia"/>
                <w:b w:val="0"/>
                <w:noProof/>
                <w:sz w:val="20"/>
                <w:szCs w:val="20"/>
                <w:lang w:val="en-US"/>
              </w:rPr>
              <w:tab/>
            </w:r>
            <w:r w:rsidRPr="008F5A5A">
              <w:rPr>
                <w:rStyle w:val="Hyperlink"/>
                <w:b w:val="0"/>
                <w:noProof/>
                <w:sz w:val="20"/>
                <w:szCs w:val="20"/>
              </w:rPr>
              <w:t>Titlul 10(iv): Competența de a emite un ordin de blocare a accesului</w:t>
            </w:r>
            <w:r w:rsidRPr="008F5A5A">
              <w:rPr>
                <w:b w:val="0"/>
                <w:noProof/>
                <w:webHidden/>
                <w:sz w:val="20"/>
                <w:szCs w:val="20"/>
              </w:rPr>
              <w:tab/>
            </w:r>
            <w:r w:rsidRPr="008F5A5A">
              <w:rPr>
                <w:b w:val="0"/>
                <w:noProof/>
                <w:webHidden/>
                <w:sz w:val="20"/>
                <w:szCs w:val="20"/>
              </w:rPr>
              <w:fldChar w:fldCharType="begin"/>
            </w:r>
            <w:r w:rsidRPr="008F5A5A">
              <w:rPr>
                <w:b w:val="0"/>
                <w:noProof/>
                <w:webHidden/>
                <w:sz w:val="20"/>
                <w:szCs w:val="20"/>
              </w:rPr>
              <w:instrText xml:space="preserve"> PAGEREF _Toc106193337 \h </w:instrText>
            </w:r>
            <w:r w:rsidRPr="008F5A5A">
              <w:rPr>
                <w:b w:val="0"/>
                <w:noProof/>
                <w:webHidden/>
                <w:sz w:val="20"/>
                <w:szCs w:val="20"/>
              </w:rPr>
            </w:r>
            <w:r w:rsidRPr="008F5A5A">
              <w:rPr>
                <w:b w:val="0"/>
                <w:noProof/>
                <w:webHidden/>
                <w:sz w:val="20"/>
                <w:szCs w:val="20"/>
              </w:rPr>
              <w:fldChar w:fldCharType="separate"/>
            </w:r>
            <w:r>
              <w:rPr>
                <w:b w:val="0"/>
                <w:noProof/>
                <w:webHidden/>
                <w:sz w:val="20"/>
                <w:szCs w:val="20"/>
              </w:rPr>
              <w:t>19</w:t>
            </w:r>
            <w:r w:rsidRPr="008F5A5A">
              <w:rPr>
                <w:b w:val="0"/>
                <w:noProof/>
                <w:webHidden/>
                <w:sz w:val="20"/>
                <w:szCs w:val="20"/>
              </w:rPr>
              <w:fldChar w:fldCharType="end"/>
            </w:r>
          </w:hyperlink>
        </w:p>
        <w:p w14:paraId="60030918" w14:textId="1D5FD4B3" w:rsidR="008F5A5A" w:rsidRPr="008F5A5A" w:rsidRDefault="008F5A5A">
          <w:pPr>
            <w:pStyle w:val="TOC2"/>
            <w:tabs>
              <w:tab w:val="left" w:pos="720"/>
              <w:tab w:val="right" w:leader="dot" w:pos="9010"/>
            </w:tabs>
            <w:rPr>
              <w:rFonts w:eastAsiaTheme="minorEastAsia"/>
              <w:b w:val="0"/>
              <w:noProof/>
              <w:sz w:val="20"/>
              <w:szCs w:val="20"/>
              <w:lang w:val="en-US"/>
            </w:rPr>
          </w:pPr>
          <w:hyperlink w:anchor="_Toc106193338" w:history="1">
            <w:r w:rsidRPr="008F5A5A">
              <w:rPr>
                <w:rStyle w:val="Hyperlink"/>
                <w:b w:val="0"/>
                <w:noProof/>
                <w:sz w:val="20"/>
                <w:szCs w:val="20"/>
              </w:rPr>
              <w:t>(v)</w:t>
            </w:r>
            <w:r w:rsidRPr="008F5A5A">
              <w:rPr>
                <w:rFonts w:eastAsiaTheme="minorEastAsia"/>
                <w:b w:val="0"/>
                <w:noProof/>
                <w:sz w:val="20"/>
                <w:szCs w:val="20"/>
                <w:lang w:val="en-US"/>
              </w:rPr>
              <w:tab/>
            </w:r>
            <w:r w:rsidRPr="008F5A5A">
              <w:rPr>
                <w:rStyle w:val="Hyperlink"/>
                <w:b w:val="0"/>
                <w:noProof/>
                <w:sz w:val="20"/>
                <w:szCs w:val="20"/>
              </w:rPr>
              <w:t>Titlul 10(v): Competențe de reglementare a comportamentului de natură manipulatoare sau neautentică, inclusiv activitatea botului nedivulgat</w:t>
            </w:r>
            <w:r w:rsidRPr="008F5A5A">
              <w:rPr>
                <w:b w:val="0"/>
                <w:noProof/>
                <w:webHidden/>
                <w:sz w:val="20"/>
                <w:szCs w:val="20"/>
              </w:rPr>
              <w:tab/>
            </w:r>
            <w:r w:rsidRPr="008F5A5A">
              <w:rPr>
                <w:b w:val="0"/>
                <w:noProof/>
                <w:webHidden/>
                <w:sz w:val="20"/>
                <w:szCs w:val="20"/>
              </w:rPr>
              <w:fldChar w:fldCharType="begin"/>
            </w:r>
            <w:r w:rsidRPr="008F5A5A">
              <w:rPr>
                <w:b w:val="0"/>
                <w:noProof/>
                <w:webHidden/>
                <w:sz w:val="20"/>
                <w:szCs w:val="20"/>
              </w:rPr>
              <w:instrText xml:space="preserve"> PAGEREF _Toc106193338 \h </w:instrText>
            </w:r>
            <w:r w:rsidRPr="008F5A5A">
              <w:rPr>
                <w:b w:val="0"/>
                <w:noProof/>
                <w:webHidden/>
                <w:sz w:val="20"/>
                <w:szCs w:val="20"/>
              </w:rPr>
            </w:r>
            <w:r w:rsidRPr="008F5A5A">
              <w:rPr>
                <w:b w:val="0"/>
                <w:noProof/>
                <w:webHidden/>
                <w:sz w:val="20"/>
                <w:szCs w:val="20"/>
              </w:rPr>
              <w:fldChar w:fldCharType="separate"/>
            </w:r>
            <w:r>
              <w:rPr>
                <w:b w:val="0"/>
                <w:noProof/>
                <w:webHidden/>
                <w:sz w:val="20"/>
                <w:szCs w:val="20"/>
              </w:rPr>
              <w:t>20</w:t>
            </w:r>
            <w:r w:rsidRPr="008F5A5A">
              <w:rPr>
                <w:b w:val="0"/>
                <w:noProof/>
                <w:webHidden/>
                <w:sz w:val="20"/>
                <w:szCs w:val="20"/>
              </w:rPr>
              <w:fldChar w:fldCharType="end"/>
            </w:r>
          </w:hyperlink>
        </w:p>
        <w:p w14:paraId="6F80D082" w14:textId="52BF616C" w:rsidR="008F5A5A" w:rsidRPr="008F5A5A" w:rsidRDefault="008F5A5A">
          <w:pPr>
            <w:pStyle w:val="TOC1"/>
            <w:rPr>
              <w:rFonts w:asciiTheme="minorHAnsi" w:eastAsiaTheme="minorEastAsia" w:hAnsiTheme="minorHAnsi" w:cstheme="minorBidi"/>
              <w:b w:val="0"/>
              <w:sz w:val="20"/>
              <w:szCs w:val="20"/>
              <w:lang w:val="en-US"/>
            </w:rPr>
          </w:pPr>
          <w:hyperlink w:anchor="_Toc106193339" w:history="1">
            <w:r w:rsidRPr="008F5A5A">
              <w:rPr>
                <w:rStyle w:val="Hyperlink"/>
                <w:b w:val="0"/>
                <w:sz w:val="20"/>
                <w:szCs w:val="20"/>
              </w:rPr>
              <w:t>[Titlul 11 a fost eliminat]</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_Toc106193339 \h </w:instrText>
            </w:r>
            <w:r w:rsidRPr="008F5A5A">
              <w:rPr>
                <w:b w:val="0"/>
                <w:webHidden/>
                <w:sz w:val="20"/>
                <w:szCs w:val="20"/>
              </w:rPr>
            </w:r>
            <w:r w:rsidRPr="008F5A5A">
              <w:rPr>
                <w:b w:val="0"/>
                <w:webHidden/>
                <w:sz w:val="20"/>
                <w:szCs w:val="20"/>
              </w:rPr>
              <w:fldChar w:fldCharType="separate"/>
            </w:r>
            <w:r>
              <w:rPr>
                <w:b w:val="0"/>
                <w:webHidden/>
                <w:sz w:val="20"/>
                <w:szCs w:val="20"/>
              </w:rPr>
              <w:t>21</w:t>
            </w:r>
            <w:r w:rsidRPr="008F5A5A">
              <w:rPr>
                <w:b w:val="0"/>
                <w:webHidden/>
                <w:sz w:val="20"/>
                <w:szCs w:val="20"/>
              </w:rPr>
              <w:fldChar w:fldCharType="end"/>
            </w:r>
          </w:hyperlink>
        </w:p>
        <w:p w14:paraId="3BCBEF8E" w14:textId="6647FEBC" w:rsidR="008F5A5A" w:rsidRPr="008F5A5A" w:rsidRDefault="008F5A5A">
          <w:pPr>
            <w:pStyle w:val="TOC1"/>
            <w:rPr>
              <w:rFonts w:asciiTheme="minorHAnsi" w:eastAsiaTheme="minorEastAsia" w:hAnsiTheme="minorHAnsi" w:cstheme="minorBidi"/>
              <w:b w:val="0"/>
              <w:sz w:val="20"/>
              <w:szCs w:val="20"/>
              <w:lang w:val="en-US"/>
            </w:rPr>
          </w:pPr>
          <w:hyperlink w:anchor="_Toc106193340" w:history="1">
            <w:r w:rsidRPr="008F5A5A">
              <w:rPr>
                <w:rStyle w:val="Hyperlink"/>
                <w:b w:val="0"/>
                <w:sz w:val="20"/>
                <w:szCs w:val="20"/>
              </w:rPr>
              <w:t>Titlul 12: Cerere în instanță de emitere a unui ordin de executare a unei notificări sau a unui ordin</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_Toc106193340 \h </w:instrText>
            </w:r>
            <w:r w:rsidRPr="008F5A5A">
              <w:rPr>
                <w:b w:val="0"/>
                <w:webHidden/>
                <w:sz w:val="20"/>
                <w:szCs w:val="20"/>
              </w:rPr>
            </w:r>
            <w:r w:rsidRPr="008F5A5A">
              <w:rPr>
                <w:b w:val="0"/>
                <w:webHidden/>
                <w:sz w:val="20"/>
                <w:szCs w:val="20"/>
              </w:rPr>
              <w:fldChar w:fldCharType="separate"/>
            </w:r>
            <w:r>
              <w:rPr>
                <w:b w:val="0"/>
                <w:webHidden/>
                <w:sz w:val="20"/>
                <w:szCs w:val="20"/>
              </w:rPr>
              <w:t>22</w:t>
            </w:r>
            <w:r w:rsidRPr="008F5A5A">
              <w:rPr>
                <w:b w:val="0"/>
                <w:webHidden/>
                <w:sz w:val="20"/>
                <w:szCs w:val="20"/>
              </w:rPr>
              <w:fldChar w:fldCharType="end"/>
            </w:r>
          </w:hyperlink>
        </w:p>
        <w:p w14:paraId="19B1FCD2" w14:textId="0911938F" w:rsidR="008F5A5A" w:rsidRPr="008F5A5A" w:rsidRDefault="008F5A5A">
          <w:pPr>
            <w:pStyle w:val="TOC1"/>
            <w:rPr>
              <w:rFonts w:asciiTheme="minorHAnsi" w:eastAsiaTheme="minorEastAsia" w:hAnsiTheme="minorHAnsi" w:cstheme="minorBidi"/>
              <w:b w:val="0"/>
              <w:sz w:val="20"/>
              <w:szCs w:val="20"/>
              <w:lang w:val="en-US"/>
            </w:rPr>
          </w:pPr>
          <w:hyperlink w:anchor="_Toc106193341" w:history="1">
            <w:r w:rsidRPr="008F5A5A">
              <w:rPr>
                <w:rStyle w:val="Hyperlink"/>
                <w:b w:val="0"/>
                <w:sz w:val="20"/>
                <w:szCs w:val="20"/>
              </w:rPr>
              <w:t>Titlul 13: Competența de a emite avertismente publicului cu privire la activitățile care pot interfera cu corectitudinea sau integritatea alegerilor sau referendumului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_Toc106193341 \h </w:instrText>
            </w:r>
            <w:r w:rsidRPr="008F5A5A">
              <w:rPr>
                <w:b w:val="0"/>
                <w:webHidden/>
                <w:sz w:val="20"/>
                <w:szCs w:val="20"/>
              </w:rPr>
            </w:r>
            <w:r w:rsidRPr="008F5A5A">
              <w:rPr>
                <w:b w:val="0"/>
                <w:webHidden/>
                <w:sz w:val="20"/>
                <w:szCs w:val="20"/>
              </w:rPr>
              <w:fldChar w:fldCharType="separate"/>
            </w:r>
            <w:r>
              <w:rPr>
                <w:b w:val="0"/>
                <w:webHidden/>
                <w:sz w:val="20"/>
                <w:szCs w:val="20"/>
              </w:rPr>
              <w:t>22</w:t>
            </w:r>
            <w:r w:rsidRPr="008F5A5A">
              <w:rPr>
                <w:b w:val="0"/>
                <w:webHidden/>
                <w:sz w:val="20"/>
                <w:szCs w:val="20"/>
              </w:rPr>
              <w:fldChar w:fldCharType="end"/>
            </w:r>
          </w:hyperlink>
        </w:p>
        <w:p w14:paraId="5C3CBCC9" w14:textId="4ED8F6F5" w:rsidR="008F5A5A" w:rsidRPr="008F5A5A" w:rsidRDefault="008F5A5A">
          <w:pPr>
            <w:pStyle w:val="TOC1"/>
            <w:rPr>
              <w:rFonts w:asciiTheme="minorHAnsi" w:eastAsiaTheme="minorEastAsia" w:hAnsiTheme="minorHAnsi" w:cstheme="minorBidi"/>
              <w:b w:val="0"/>
              <w:sz w:val="20"/>
              <w:szCs w:val="20"/>
              <w:lang w:val="en-US"/>
            </w:rPr>
          </w:pPr>
          <w:hyperlink w:anchor="_Toc106193342" w:history="1">
            <w:r w:rsidRPr="008F5A5A">
              <w:rPr>
                <w:rStyle w:val="Hyperlink"/>
                <w:b w:val="0"/>
                <w:sz w:val="20"/>
                <w:szCs w:val="20"/>
              </w:rPr>
              <w:t>Titlul 14: Mecanism prin care publicul poate raporta cazurile suspectate de dezinformare, de informare greșită și de comportament de natură manipulatoare sau neautentică</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_Toc106193342 \h </w:instrText>
            </w:r>
            <w:r w:rsidRPr="008F5A5A">
              <w:rPr>
                <w:b w:val="0"/>
                <w:webHidden/>
                <w:sz w:val="20"/>
                <w:szCs w:val="20"/>
              </w:rPr>
            </w:r>
            <w:r w:rsidRPr="008F5A5A">
              <w:rPr>
                <w:b w:val="0"/>
                <w:webHidden/>
                <w:sz w:val="20"/>
                <w:szCs w:val="20"/>
              </w:rPr>
              <w:fldChar w:fldCharType="separate"/>
            </w:r>
            <w:r>
              <w:rPr>
                <w:b w:val="0"/>
                <w:webHidden/>
                <w:sz w:val="20"/>
                <w:szCs w:val="20"/>
              </w:rPr>
              <w:t>22</w:t>
            </w:r>
            <w:r w:rsidRPr="008F5A5A">
              <w:rPr>
                <w:b w:val="0"/>
                <w:webHidden/>
                <w:sz w:val="20"/>
                <w:szCs w:val="20"/>
              </w:rPr>
              <w:fldChar w:fldCharType="end"/>
            </w:r>
          </w:hyperlink>
        </w:p>
        <w:p w14:paraId="21234336" w14:textId="76550AD9" w:rsidR="008F5A5A" w:rsidRPr="008F5A5A" w:rsidRDefault="008F5A5A">
          <w:pPr>
            <w:pStyle w:val="TOC1"/>
            <w:rPr>
              <w:rFonts w:asciiTheme="minorHAnsi" w:eastAsiaTheme="minorEastAsia" w:hAnsiTheme="minorHAnsi" w:cstheme="minorBidi"/>
              <w:b w:val="0"/>
              <w:sz w:val="20"/>
              <w:szCs w:val="20"/>
              <w:lang w:val="en-US"/>
            </w:rPr>
          </w:pPr>
          <w:hyperlink w:anchor="_Toc106193343" w:history="1">
            <w:r w:rsidRPr="008F5A5A">
              <w:rPr>
                <w:rStyle w:val="Hyperlink"/>
                <w:b w:val="0"/>
                <w:sz w:val="20"/>
                <w:szCs w:val="20"/>
              </w:rPr>
              <w:t>Capitolul 4: Drepturi procedurale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_Toc106193343 \h </w:instrText>
            </w:r>
            <w:r w:rsidRPr="008F5A5A">
              <w:rPr>
                <w:b w:val="0"/>
                <w:webHidden/>
                <w:sz w:val="20"/>
                <w:szCs w:val="20"/>
              </w:rPr>
            </w:r>
            <w:r w:rsidRPr="008F5A5A">
              <w:rPr>
                <w:b w:val="0"/>
                <w:webHidden/>
                <w:sz w:val="20"/>
                <w:szCs w:val="20"/>
              </w:rPr>
              <w:fldChar w:fldCharType="separate"/>
            </w:r>
            <w:r>
              <w:rPr>
                <w:b w:val="0"/>
                <w:webHidden/>
                <w:sz w:val="20"/>
                <w:szCs w:val="20"/>
              </w:rPr>
              <w:t>23</w:t>
            </w:r>
            <w:r w:rsidRPr="008F5A5A">
              <w:rPr>
                <w:b w:val="0"/>
                <w:webHidden/>
                <w:sz w:val="20"/>
                <w:szCs w:val="20"/>
              </w:rPr>
              <w:fldChar w:fldCharType="end"/>
            </w:r>
          </w:hyperlink>
        </w:p>
        <w:p w14:paraId="60D64070" w14:textId="644B4CB4" w:rsidR="008F5A5A" w:rsidRPr="008F5A5A" w:rsidRDefault="008F5A5A">
          <w:pPr>
            <w:pStyle w:val="TOC1"/>
            <w:rPr>
              <w:rFonts w:asciiTheme="minorHAnsi" w:eastAsiaTheme="minorEastAsia" w:hAnsiTheme="minorHAnsi" w:cstheme="minorBidi"/>
              <w:b w:val="0"/>
              <w:sz w:val="20"/>
              <w:szCs w:val="20"/>
              <w:lang w:val="en-US"/>
            </w:rPr>
          </w:pPr>
          <w:hyperlink w:anchor="_Toc106193344" w:history="1">
            <w:r w:rsidRPr="008F5A5A">
              <w:rPr>
                <w:rStyle w:val="Hyperlink"/>
                <w:b w:val="0"/>
                <w:sz w:val="20"/>
                <w:szCs w:val="20"/>
              </w:rPr>
              <w:t>Titlul 15: Dreptul de a contesta o notificare sau un ordin</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_Toc106193344 \h </w:instrText>
            </w:r>
            <w:r w:rsidRPr="008F5A5A">
              <w:rPr>
                <w:b w:val="0"/>
                <w:webHidden/>
                <w:sz w:val="20"/>
                <w:szCs w:val="20"/>
              </w:rPr>
            </w:r>
            <w:r w:rsidRPr="008F5A5A">
              <w:rPr>
                <w:b w:val="0"/>
                <w:webHidden/>
                <w:sz w:val="20"/>
                <w:szCs w:val="20"/>
              </w:rPr>
              <w:fldChar w:fldCharType="separate"/>
            </w:r>
            <w:r>
              <w:rPr>
                <w:b w:val="0"/>
                <w:webHidden/>
                <w:sz w:val="20"/>
                <w:szCs w:val="20"/>
              </w:rPr>
              <w:t>23</w:t>
            </w:r>
            <w:r w:rsidRPr="008F5A5A">
              <w:rPr>
                <w:b w:val="0"/>
                <w:webHidden/>
                <w:sz w:val="20"/>
                <w:szCs w:val="20"/>
              </w:rPr>
              <w:fldChar w:fldCharType="end"/>
            </w:r>
          </w:hyperlink>
        </w:p>
        <w:p w14:paraId="1672F004" w14:textId="6E9AFF43" w:rsidR="008F5A5A" w:rsidRPr="008F5A5A" w:rsidRDefault="008F5A5A">
          <w:pPr>
            <w:pStyle w:val="TOC1"/>
            <w:rPr>
              <w:rFonts w:asciiTheme="minorHAnsi" w:eastAsiaTheme="minorEastAsia" w:hAnsiTheme="minorHAnsi" w:cstheme="minorBidi"/>
              <w:b w:val="0"/>
              <w:sz w:val="20"/>
              <w:szCs w:val="20"/>
              <w:lang w:val="en-US"/>
            </w:rPr>
          </w:pPr>
          <w:hyperlink w:anchor="_Toc106193345" w:history="1">
            <w:r w:rsidRPr="008F5A5A">
              <w:rPr>
                <w:rStyle w:val="Hyperlink"/>
                <w:b w:val="0"/>
                <w:sz w:val="20"/>
                <w:szCs w:val="20"/>
              </w:rPr>
              <w:t>Titlul 15A: Control jurisdicțional</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_Toc106193345 \h </w:instrText>
            </w:r>
            <w:r w:rsidRPr="008F5A5A">
              <w:rPr>
                <w:b w:val="0"/>
                <w:webHidden/>
                <w:sz w:val="20"/>
                <w:szCs w:val="20"/>
              </w:rPr>
            </w:r>
            <w:r w:rsidRPr="008F5A5A">
              <w:rPr>
                <w:b w:val="0"/>
                <w:webHidden/>
                <w:sz w:val="20"/>
                <w:szCs w:val="20"/>
              </w:rPr>
              <w:fldChar w:fldCharType="separate"/>
            </w:r>
            <w:r>
              <w:rPr>
                <w:b w:val="0"/>
                <w:webHidden/>
                <w:sz w:val="20"/>
                <w:szCs w:val="20"/>
              </w:rPr>
              <w:t>25</w:t>
            </w:r>
            <w:r w:rsidRPr="008F5A5A">
              <w:rPr>
                <w:b w:val="0"/>
                <w:webHidden/>
                <w:sz w:val="20"/>
                <w:szCs w:val="20"/>
              </w:rPr>
              <w:fldChar w:fldCharType="end"/>
            </w:r>
          </w:hyperlink>
        </w:p>
        <w:p w14:paraId="526E8F6F" w14:textId="65225CF8" w:rsidR="008F5A5A" w:rsidRPr="008F5A5A" w:rsidRDefault="008F5A5A">
          <w:pPr>
            <w:pStyle w:val="TOC1"/>
            <w:rPr>
              <w:rFonts w:asciiTheme="minorHAnsi" w:eastAsiaTheme="minorEastAsia" w:hAnsiTheme="minorHAnsi" w:cstheme="minorBidi"/>
              <w:b w:val="0"/>
              <w:sz w:val="20"/>
              <w:szCs w:val="20"/>
              <w:lang w:val="en-US"/>
            </w:rPr>
          </w:pPr>
          <w:hyperlink w:anchor="_Toc106193346" w:history="1">
            <w:r w:rsidRPr="008F5A5A">
              <w:rPr>
                <w:rStyle w:val="Hyperlink"/>
                <w:b w:val="0"/>
                <w:sz w:val="20"/>
                <w:szCs w:val="20"/>
              </w:rPr>
              <w:t>Capitolul 5: Coduri de conduită</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_Toc106193346 \h </w:instrText>
            </w:r>
            <w:r w:rsidRPr="008F5A5A">
              <w:rPr>
                <w:b w:val="0"/>
                <w:webHidden/>
                <w:sz w:val="20"/>
                <w:szCs w:val="20"/>
              </w:rPr>
            </w:r>
            <w:r w:rsidRPr="008F5A5A">
              <w:rPr>
                <w:b w:val="0"/>
                <w:webHidden/>
                <w:sz w:val="20"/>
                <w:szCs w:val="20"/>
              </w:rPr>
              <w:fldChar w:fldCharType="separate"/>
            </w:r>
            <w:r>
              <w:rPr>
                <w:b w:val="0"/>
                <w:webHidden/>
                <w:sz w:val="20"/>
                <w:szCs w:val="20"/>
              </w:rPr>
              <w:t>25</w:t>
            </w:r>
            <w:r w:rsidRPr="008F5A5A">
              <w:rPr>
                <w:b w:val="0"/>
                <w:webHidden/>
                <w:sz w:val="20"/>
                <w:szCs w:val="20"/>
              </w:rPr>
              <w:fldChar w:fldCharType="end"/>
            </w:r>
          </w:hyperlink>
        </w:p>
        <w:p w14:paraId="76818830" w14:textId="53A28AC3" w:rsidR="008F5A5A" w:rsidRPr="008F5A5A" w:rsidRDefault="008F5A5A">
          <w:pPr>
            <w:pStyle w:val="TOC1"/>
            <w:rPr>
              <w:rFonts w:asciiTheme="minorHAnsi" w:eastAsiaTheme="minorEastAsia" w:hAnsiTheme="minorHAnsi" w:cstheme="minorBidi"/>
              <w:b w:val="0"/>
              <w:sz w:val="20"/>
              <w:szCs w:val="20"/>
              <w:lang w:val="en-US"/>
            </w:rPr>
          </w:pPr>
          <w:hyperlink w:anchor="_Toc106193347" w:history="1">
            <w:r w:rsidRPr="008F5A5A">
              <w:rPr>
                <w:rStyle w:val="Hyperlink"/>
                <w:b w:val="0"/>
                <w:sz w:val="20"/>
                <w:szCs w:val="20"/>
              </w:rPr>
              <w:t>Titlul 16: Promulgarea codurilor de conduită</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_Toc106193347 \h </w:instrText>
            </w:r>
            <w:r w:rsidRPr="008F5A5A">
              <w:rPr>
                <w:b w:val="0"/>
                <w:webHidden/>
                <w:sz w:val="20"/>
                <w:szCs w:val="20"/>
              </w:rPr>
            </w:r>
            <w:r w:rsidRPr="008F5A5A">
              <w:rPr>
                <w:b w:val="0"/>
                <w:webHidden/>
                <w:sz w:val="20"/>
                <w:szCs w:val="20"/>
              </w:rPr>
              <w:fldChar w:fldCharType="separate"/>
            </w:r>
            <w:r>
              <w:rPr>
                <w:b w:val="0"/>
                <w:webHidden/>
                <w:sz w:val="20"/>
                <w:szCs w:val="20"/>
              </w:rPr>
              <w:t>25</w:t>
            </w:r>
            <w:r w:rsidRPr="008F5A5A">
              <w:rPr>
                <w:b w:val="0"/>
                <w:webHidden/>
                <w:sz w:val="20"/>
                <w:szCs w:val="20"/>
              </w:rPr>
              <w:fldChar w:fldCharType="end"/>
            </w:r>
          </w:hyperlink>
        </w:p>
        <w:p w14:paraId="625284BC" w14:textId="590903F8" w:rsidR="008F5A5A" w:rsidRPr="008F5A5A" w:rsidRDefault="008F5A5A">
          <w:pPr>
            <w:pStyle w:val="TOC1"/>
            <w:rPr>
              <w:rFonts w:asciiTheme="minorHAnsi" w:eastAsiaTheme="minorEastAsia" w:hAnsiTheme="minorHAnsi" w:cstheme="minorBidi"/>
              <w:b w:val="0"/>
              <w:sz w:val="20"/>
              <w:szCs w:val="20"/>
              <w:lang w:val="en-US"/>
            </w:rPr>
          </w:pPr>
          <w:hyperlink w:anchor="_Toc106193348" w:history="1">
            <w:r w:rsidRPr="008F5A5A">
              <w:rPr>
                <w:rStyle w:val="Hyperlink"/>
                <w:b w:val="0"/>
                <w:sz w:val="20"/>
                <w:szCs w:val="20"/>
              </w:rPr>
              <w:t>Capitolul 6: Cooperarea cu alte organisme publice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_Toc106193348 \h </w:instrText>
            </w:r>
            <w:r w:rsidRPr="008F5A5A">
              <w:rPr>
                <w:b w:val="0"/>
                <w:webHidden/>
                <w:sz w:val="20"/>
                <w:szCs w:val="20"/>
              </w:rPr>
            </w:r>
            <w:r w:rsidRPr="008F5A5A">
              <w:rPr>
                <w:b w:val="0"/>
                <w:webHidden/>
                <w:sz w:val="20"/>
                <w:szCs w:val="20"/>
              </w:rPr>
              <w:fldChar w:fldCharType="separate"/>
            </w:r>
            <w:r>
              <w:rPr>
                <w:b w:val="0"/>
                <w:webHidden/>
                <w:sz w:val="20"/>
                <w:szCs w:val="20"/>
              </w:rPr>
              <w:t>26</w:t>
            </w:r>
            <w:r w:rsidRPr="008F5A5A">
              <w:rPr>
                <w:b w:val="0"/>
                <w:webHidden/>
                <w:sz w:val="20"/>
                <w:szCs w:val="20"/>
              </w:rPr>
              <w:fldChar w:fldCharType="end"/>
            </w:r>
          </w:hyperlink>
        </w:p>
        <w:p w14:paraId="12BAFE56" w14:textId="348E1AB4" w:rsidR="008F5A5A" w:rsidRPr="008F5A5A" w:rsidRDefault="008F5A5A">
          <w:pPr>
            <w:pStyle w:val="TOC1"/>
            <w:rPr>
              <w:rFonts w:asciiTheme="minorHAnsi" w:eastAsiaTheme="minorEastAsia" w:hAnsiTheme="minorHAnsi" w:cstheme="minorBidi"/>
              <w:b w:val="0"/>
              <w:sz w:val="20"/>
              <w:szCs w:val="20"/>
              <w:lang w:val="en-US"/>
            </w:rPr>
          </w:pPr>
          <w:hyperlink w:anchor="_Toc106193349" w:history="1">
            <w:r w:rsidRPr="008F5A5A">
              <w:rPr>
                <w:rStyle w:val="Hyperlink"/>
                <w:b w:val="0"/>
                <w:sz w:val="20"/>
                <w:szCs w:val="20"/>
              </w:rPr>
              <w:t>Titlul 17: Comisia se consultă cu alte autorități relevante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_Toc106193349 \h </w:instrText>
            </w:r>
            <w:r w:rsidRPr="008F5A5A">
              <w:rPr>
                <w:b w:val="0"/>
                <w:webHidden/>
                <w:sz w:val="20"/>
                <w:szCs w:val="20"/>
              </w:rPr>
            </w:r>
            <w:r w:rsidRPr="008F5A5A">
              <w:rPr>
                <w:b w:val="0"/>
                <w:webHidden/>
                <w:sz w:val="20"/>
                <w:szCs w:val="20"/>
              </w:rPr>
              <w:fldChar w:fldCharType="separate"/>
            </w:r>
            <w:r>
              <w:rPr>
                <w:b w:val="0"/>
                <w:webHidden/>
                <w:sz w:val="20"/>
                <w:szCs w:val="20"/>
              </w:rPr>
              <w:t>26</w:t>
            </w:r>
            <w:r w:rsidRPr="008F5A5A">
              <w:rPr>
                <w:b w:val="0"/>
                <w:webHidden/>
                <w:sz w:val="20"/>
                <w:szCs w:val="20"/>
              </w:rPr>
              <w:fldChar w:fldCharType="end"/>
            </w:r>
          </w:hyperlink>
        </w:p>
        <w:p w14:paraId="2ABBDB25" w14:textId="75787088" w:rsidR="008F5A5A" w:rsidRPr="008F5A5A" w:rsidRDefault="008F5A5A">
          <w:pPr>
            <w:pStyle w:val="TOC1"/>
            <w:rPr>
              <w:rFonts w:asciiTheme="minorHAnsi" w:eastAsiaTheme="minorEastAsia" w:hAnsiTheme="minorHAnsi" w:cstheme="minorBidi"/>
              <w:b w:val="0"/>
              <w:sz w:val="20"/>
              <w:szCs w:val="20"/>
              <w:lang w:val="en-US"/>
            </w:rPr>
          </w:pPr>
          <w:hyperlink w:anchor="_Toc106193350" w:history="1">
            <w:r w:rsidRPr="008F5A5A">
              <w:rPr>
                <w:rStyle w:val="Hyperlink"/>
                <w:b w:val="0"/>
                <w:sz w:val="20"/>
                <w:szCs w:val="20"/>
              </w:rPr>
              <w:t>Capitolul 7: [ELIMINAT]</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_Toc106193350 \h </w:instrText>
            </w:r>
            <w:r w:rsidRPr="008F5A5A">
              <w:rPr>
                <w:b w:val="0"/>
                <w:webHidden/>
                <w:sz w:val="20"/>
                <w:szCs w:val="20"/>
              </w:rPr>
            </w:r>
            <w:r w:rsidRPr="008F5A5A">
              <w:rPr>
                <w:b w:val="0"/>
                <w:webHidden/>
                <w:sz w:val="20"/>
                <w:szCs w:val="20"/>
              </w:rPr>
              <w:fldChar w:fldCharType="separate"/>
            </w:r>
            <w:r>
              <w:rPr>
                <w:b w:val="0"/>
                <w:webHidden/>
                <w:sz w:val="20"/>
                <w:szCs w:val="20"/>
              </w:rPr>
              <w:t>27</w:t>
            </w:r>
            <w:r w:rsidRPr="008F5A5A">
              <w:rPr>
                <w:b w:val="0"/>
                <w:webHidden/>
                <w:sz w:val="20"/>
                <w:szCs w:val="20"/>
              </w:rPr>
              <w:fldChar w:fldCharType="end"/>
            </w:r>
          </w:hyperlink>
        </w:p>
        <w:p w14:paraId="03D2F33C" w14:textId="2123DCD6" w:rsidR="008F5A5A" w:rsidRPr="008F5A5A" w:rsidRDefault="008F5A5A">
          <w:pPr>
            <w:pStyle w:val="TOC1"/>
            <w:rPr>
              <w:rFonts w:asciiTheme="minorHAnsi" w:eastAsiaTheme="minorEastAsia" w:hAnsiTheme="minorHAnsi" w:cstheme="minorBidi"/>
              <w:b w:val="0"/>
              <w:sz w:val="20"/>
              <w:szCs w:val="20"/>
              <w:lang w:val="en-US"/>
            </w:rPr>
          </w:pPr>
          <w:hyperlink w:anchor="_Toc106193351" w:history="1">
            <w:r w:rsidRPr="008F5A5A">
              <w:rPr>
                <w:rStyle w:val="Hyperlink"/>
                <w:b w:val="0"/>
                <w:sz w:val="20"/>
                <w:szCs w:val="20"/>
              </w:rPr>
              <w:t>[Titlurile 18-20 se elimină]</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_Toc106193351 \h </w:instrText>
            </w:r>
            <w:r w:rsidRPr="008F5A5A">
              <w:rPr>
                <w:b w:val="0"/>
                <w:webHidden/>
                <w:sz w:val="20"/>
                <w:szCs w:val="20"/>
              </w:rPr>
            </w:r>
            <w:r w:rsidRPr="008F5A5A">
              <w:rPr>
                <w:b w:val="0"/>
                <w:webHidden/>
                <w:sz w:val="20"/>
                <w:szCs w:val="20"/>
              </w:rPr>
              <w:fldChar w:fldCharType="separate"/>
            </w:r>
            <w:r>
              <w:rPr>
                <w:b w:val="0"/>
                <w:webHidden/>
                <w:sz w:val="20"/>
                <w:szCs w:val="20"/>
              </w:rPr>
              <w:t>27</w:t>
            </w:r>
            <w:r w:rsidRPr="008F5A5A">
              <w:rPr>
                <w:b w:val="0"/>
                <w:webHidden/>
                <w:sz w:val="20"/>
                <w:szCs w:val="20"/>
              </w:rPr>
              <w:fldChar w:fldCharType="end"/>
            </w:r>
          </w:hyperlink>
        </w:p>
        <w:p w14:paraId="4ECA01A3" w14:textId="424A2198" w:rsidR="008F5A5A" w:rsidRPr="008F5A5A" w:rsidRDefault="008F5A5A">
          <w:pPr>
            <w:pStyle w:val="TOC1"/>
            <w:rPr>
              <w:rFonts w:asciiTheme="minorHAnsi" w:eastAsiaTheme="minorEastAsia" w:hAnsiTheme="minorHAnsi" w:cstheme="minorBidi"/>
              <w:b w:val="0"/>
              <w:sz w:val="20"/>
              <w:szCs w:val="20"/>
              <w:lang w:val="en-US"/>
            </w:rPr>
          </w:pPr>
          <w:hyperlink w:anchor="_Toc106193352" w:history="1">
            <w:r w:rsidRPr="008F5A5A">
              <w:rPr>
                <w:rStyle w:val="Hyperlink"/>
                <w:b w:val="0"/>
                <w:sz w:val="20"/>
                <w:szCs w:val="20"/>
              </w:rPr>
              <w:t>Capitolul 8: Infracțiuni și sancțiuni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_Toc106193352 \h </w:instrText>
            </w:r>
            <w:r w:rsidRPr="008F5A5A">
              <w:rPr>
                <w:b w:val="0"/>
                <w:webHidden/>
                <w:sz w:val="20"/>
                <w:szCs w:val="20"/>
              </w:rPr>
            </w:r>
            <w:r w:rsidRPr="008F5A5A">
              <w:rPr>
                <w:b w:val="0"/>
                <w:webHidden/>
                <w:sz w:val="20"/>
                <w:szCs w:val="20"/>
              </w:rPr>
              <w:fldChar w:fldCharType="separate"/>
            </w:r>
            <w:r>
              <w:rPr>
                <w:b w:val="0"/>
                <w:webHidden/>
                <w:sz w:val="20"/>
                <w:szCs w:val="20"/>
              </w:rPr>
              <w:t>27</w:t>
            </w:r>
            <w:r w:rsidRPr="008F5A5A">
              <w:rPr>
                <w:b w:val="0"/>
                <w:webHidden/>
                <w:sz w:val="20"/>
                <w:szCs w:val="20"/>
              </w:rPr>
              <w:fldChar w:fldCharType="end"/>
            </w:r>
          </w:hyperlink>
        </w:p>
        <w:p w14:paraId="36ADB6F0" w14:textId="255DC3CC" w:rsidR="008F5A5A" w:rsidRPr="008F5A5A" w:rsidRDefault="008F5A5A">
          <w:pPr>
            <w:pStyle w:val="TOC1"/>
            <w:rPr>
              <w:rFonts w:asciiTheme="minorHAnsi" w:eastAsiaTheme="minorEastAsia" w:hAnsiTheme="minorHAnsi" w:cstheme="minorBidi"/>
              <w:b w:val="0"/>
              <w:sz w:val="20"/>
              <w:szCs w:val="20"/>
              <w:lang w:val="en-US"/>
            </w:rPr>
          </w:pPr>
          <w:hyperlink w:anchor="_Toc106193353" w:history="1">
            <w:r w:rsidRPr="008F5A5A">
              <w:rPr>
                <w:rStyle w:val="Hyperlink"/>
                <w:b w:val="0"/>
                <w:sz w:val="20"/>
                <w:szCs w:val="20"/>
              </w:rPr>
              <w:t>Titlul 21: Infracțiunea de nerespectare a unei notificări sau a unui ordin emis în temeiul titlului 10</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_Toc106193353 \h </w:instrText>
            </w:r>
            <w:r w:rsidRPr="008F5A5A">
              <w:rPr>
                <w:b w:val="0"/>
                <w:webHidden/>
                <w:sz w:val="20"/>
                <w:szCs w:val="20"/>
              </w:rPr>
            </w:r>
            <w:r w:rsidRPr="008F5A5A">
              <w:rPr>
                <w:b w:val="0"/>
                <w:webHidden/>
                <w:sz w:val="20"/>
                <w:szCs w:val="20"/>
              </w:rPr>
              <w:fldChar w:fldCharType="separate"/>
            </w:r>
            <w:r>
              <w:rPr>
                <w:b w:val="0"/>
                <w:webHidden/>
                <w:sz w:val="20"/>
                <w:szCs w:val="20"/>
              </w:rPr>
              <w:t>27</w:t>
            </w:r>
            <w:r w:rsidRPr="008F5A5A">
              <w:rPr>
                <w:b w:val="0"/>
                <w:webHidden/>
                <w:sz w:val="20"/>
                <w:szCs w:val="20"/>
              </w:rPr>
              <w:fldChar w:fldCharType="end"/>
            </w:r>
          </w:hyperlink>
        </w:p>
        <w:p w14:paraId="414FDE2B" w14:textId="75A55605" w:rsidR="008F5A5A" w:rsidRPr="008F5A5A" w:rsidRDefault="008F5A5A">
          <w:pPr>
            <w:pStyle w:val="TOC1"/>
            <w:rPr>
              <w:rFonts w:asciiTheme="minorHAnsi" w:eastAsiaTheme="minorEastAsia" w:hAnsiTheme="minorHAnsi" w:cstheme="minorBidi"/>
              <w:b w:val="0"/>
              <w:sz w:val="20"/>
              <w:szCs w:val="20"/>
              <w:lang w:val="en-US"/>
            </w:rPr>
          </w:pPr>
          <w:hyperlink w:anchor="_Toc106193354" w:history="1">
            <w:r w:rsidRPr="008F5A5A">
              <w:rPr>
                <w:rStyle w:val="Hyperlink"/>
                <w:b w:val="0"/>
                <w:sz w:val="20"/>
                <w:szCs w:val="20"/>
              </w:rPr>
              <w:t>Titlul 22: Infracțiunea de încălcare a unui cod de conduită obligatoriu</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_Toc106193354 \h </w:instrText>
            </w:r>
            <w:r w:rsidRPr="008F5A5A">
              <w:rPr>
                <w:b w:val="0"/>
                <w:webHidden/>
                <w:sz w:val="20"/>
                <w:szCs w:val="20"/>
              </w:rPr>
            </w:r>
            <w:r w:rsidRPr="008F5A5A">
              <w:rPr>
                <w:b w:val="0"/>
                <w:webHidden/>
                <w:sz w:val="20"/>
                <w:szCs w:val="20"/>
              </w:rPr>
              <w:fldChar w:fldCharType="separate"/>
            </w:r>
            <w:r>
              <w:rPr>
                <w:b w:val="0"/>
                <w:webHidden/>
                <w:sz w:val="20"/>
                <w:szCs w:val="20"/>
              </w:rPr>
              <w:t>27</w:t>
            </w:r>
            <w:r w:rsidRPr="008F5A5A">
              <w:rPr>
                <w:b w:val="0"/>
                <w:webHidden/>
                <w:sz w:val="20"/>
                <w:szCs w:val="20"/>
              </w:rPr>
              <w:fldChar w:fldCharType="end"/>
            </w:r>
          </w:hyperlink>
        </w:p>
        <w:p w14:paraId="300AEE50" w14:textId="10B8B023" w:rsidR="008F5A5A" w:rsidRPr="008F5A5A" w:rsidRDefault="008F5A5A">
          <w:pPr>
            <w:pStyle w:val="TOC1"/>
            <w:rPr>
              <w:rFonts w:asciiTheme="minorHAnsi" w:eastAsiaTheme="minorEastAsia" w:hAnsiTheme="minorHAnsi" w:cstheme="minorBidi"/>
              <w:b w:val="0"/>
              <w:sz w:val="20"/>
              <w:szCs w:val="20"/>
              <w:lang w:val="en-US"/>
            </w:rPr>
          </w:pPr>
          <w:hyperlink w:anchor="_Toc106193355" w:history="1">
            <w:r w:rsidRPr="008F5A5A">
              <w:rPr>
                <w:rStyle w:val="Hyperlink"/>
                <w:b w:val="0"/>
                <w:sz w:val="20"/>
                <w:szCs w:val="20"/>
              </w:rPr>
              <w:t>Titlul 23: Infracțiuni legate de dezinformare și informare greșită</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_Toc106193355 \h </w:instrText>
            </w:r>
            <w:r w:rsidRPr="008F5A5A">
              <w:rPr>
                <w:b w:val="0"/>
                <w:webHidden/>
                <w:sz w:val="20"/>
                <w:szCs w:val="20"/>
              </w:rPr>
            </w:r>
            <w:r w:rsidRPr="008F5A5A">
              <w:rPr>
                <w:b w:val="0"/>
                <w:webHidden/>
                <w:sz w:val="20"/>
                <w:szCs w:val="20"/>
              </w:rPr>
              <w:fldChar w:fldCharType="separate"/>
            </w:r>
            <w:r>
              <w:rPr>
                <w:b w:val="0"/>
                <w:webHidden/>
                <w:sz w:val="20"/>
                <w:szCs w:val="20"/>
              </w:rPr>
              <w:t>28</w:t>
            </w:r>
            <w:r w:rsidRPr="008F5A5A">
              <w:rPr>
                <w:b w:val="0"/>
                <w:webHidden/>
                <w:sz w:val="20"/>
                <w:szCs w:val="20"/>
              </w:rPr>
              <w:fldChar w:fldCharType="end"/>
            </w:r>
          </w:hyperlink>
        </w:p>
        <w:p w14:paraId="2E6552F9" w14:textId="68CCFD10" w:rsidR="008F5A5A" w:rsidRPr="008F5A5A" w:rsidRDefault="008F5A5A">
          <w:pPr>
            <w:pStyle w:val="TOC1"/>
            <w:rPr>
              <w:rFonts w:asciiTheme="minorHAnsi" w:eastAsiaTheme="minorEastAsia" w:hAnsiTheme="minorHAnsi" w:cstheme="minorBidi"/>
              <w:b w:val="0"/>
              <w:sz w:val="20"/>
              <w:szCs w:val="20"/>
              <w:lang w:val="en-US"/>
            </w:rPr>
          </w:pPr>
          <w:hyperlink w:anchor="_Toc106193356" w:history="1">
            <w:r w:rsidRPr="008F5A5A">
              <w:rPr>
                <w:rStyle w:val="Hyperlink"/>
                <w:b w:val="0"/>
                <w:sz w:val="20"/>
                <w:szCs w:val="20"/>
              </w:rPr>
              <w:t>Titlul 24: Infracțiunea de utilizare a unui bot nedivulgat pentru a induce în eroare persoane în scopul influențării unei alegeri</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_Toc106193356 \h </w:instrText>
            </w:r>
            <w:r w:rsidRPr="008F5A5A">
              <w:rPr>
                <w:b w:val="0"/>
                <w:webHidden/>
                <w:sz w:val="20"/>
                <w:szCs w:val="20"/>
              </w:rPr>
            </w:r>
            <w:r w:rsidRPr="008F5A5A">
              <w:rPr>
                <w:b w:val="0"/>
                <w:webHidden/>
                <w:sz w:val="20"/>
                <w:szCs w:val="20"/>
              </w:rPr>
              <w:fldChar w:fldCharType="separate"/>
            </w:r>
            <w:r>
              <w:rPr>
                <w:b w:val="0"/>
                <w:webHidden/>
                <w:sz w:val="20"/>
                <w:szCs w:val="20"/>
              </w:rPr>
              <w:t>29</w:t>
            </w:r>
            <w:r w:rsidRPr="008F5A5A">
              <w:rPr>
                <w:b w:val="0"/>
                <w:webHidden/>
                <w:sz w:val="20"/>
                <w:szCs w:val="20"/>
              </w:rPr>
              <w:fldChar w:fldCharType="end"/>
            </w:r>
          </w:hyperlink>
        </w:p>
        <w:p w14:paraId="002CE11E" w14:textId="1640FAC8" w:rsidR="008F5A5A" w:rsidRPr="008F5A5A" w:rsidRDefault="008F5A5A">
          <w:pPr>
            <w:pStyle w:val="TOC1"/>
            <w:rPr>
              <w:rFonts w:asciiTheme="minorHAnsi" w:eastAsiaTheme="minorEastAsia" w:hAnsiTheme="minorHAnsi" w:cstheme="minorBidi"/>
              <w:b w:val="0"/>
              <w:sz w:val="20"/>
              <w:szCs w:val="20"/>
              <w:lang w:val="en-US"/>
            </w:rPr>
          </w:pPr>
          <w:hyperlink w:anchor="_Toc106193357" w:history="1">
            <w:r w:rsidRPr="008F5A5A">
              <w:rPr>
                <w:rStyle w:val="Hyperlink"/>
                <w:b w:val="0"/>
                <w:sz w:val="20"/>
                <w:szCs w:val="20"/>
              </w:rPr>
              <w:t>[Titlul 25 a fost eliminat]</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_Toc106193357 \h </w:instrText>
            </w:r>
            <w:r w:rsidRPr="008F5A5A">
              <w:rPr>
                <w:b w:val="0"/>
                <w:webHidden/>
                <w:sz w:val="20"/>
                <w:szCs w:val="20"/>
              </w:rPr>
            </w:r>
            <w:r w:rsidRPr="008F5A5A">
              <w:rPr>
                <w:b w:val="0"/>
                <w:webHidden/>
                <w:sz w:val="20"/>
                <w:szCs w:val="20"/>
              </w:rPr>
              <w:fldChar w:fldCharType="separate"/>
            </w:r>
            <w:r>
              <w:rPr>
                <w:b w:val="0"/>
                <w:webHidden/>
                <w:sz w:val="20"/>
                <w:szCs w:val="20"/>
              </w:rPr>
              <w:t>29</w:t>
            </w:r>
            <w:r w:rsidRPr="008F5A5A">
              <w:rPr>
                <w:b w:val="0"/>
                <w:webHidden/>
                <w:sz w:val="20"/>
                <w:szCs w:val="20"/>
              </w:rPr>
              <w:fldChar w:fldCharType="end"/>
            </w:r>
          </w:hyperlink>
        </w:p>
        <w:p w14:paraId="54C4FA63" w14:textId="48CFF795" w:rsidR="008F5A5A" w:rsidRPr="008F5A5A" w:rsidRDefault="008F5A5A">
          <w:pPr>
            <w:pStyle w:val="TOC1"/>
            <w:rPr>
              <w:rFonts w:asciiTheme="minorHAnsi" w:eastAsiaTheme="minorEastAsia" w:hAnsiTheme="minorHAnsi" w:cstheme="minorBidi"/>
              <w:b w:val="0"/>
              <w:sz w:val="20"/>
              <w:szCs w:val="20"/>
              <w:lang w:val="en-US"/>
            </w:rPr>
          </w:pPr>
          <w:hyperlink w:anchor="_Toc106193358" w:history="1">
            <w:r w:rsidRPr="008F5A5A">
              <w:rPr>
                <w:rStyle w:val="Hyperlink"/>
                <w:b w:val="0"/>
                <w:sz w:val="20"/>
                <w:szCs w:val="20"/>
              </w:rPr>
              <w:t>Titlul 26: Infracțiunea de nerespectare a obligațiilor impuse platformelor online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_Toc106193358 \h </w:instrText>
            </w:r>
            <w:r w:rsidRPr="008F5A5A">
              <w:rPr>
                <w:b w:val="0"/>
                <w:webHidden/>
                <w:sz w:val="20"/>
                <w:szCs w:val="20"/>
              </w:rPr>
            </w:r>
            <w:r w:rsidRPr="008F5A5A">
              <w:rPr>
                <w:b w:val="0"/>
                <w:webHidden/>
                <w:sz w:val="20"/>
                <w:szCs w:val="20"/>
              </w:rPr>
              <w:fldChar w:fldCharType="separate"/>
            </w:r>
            <w:r>
              <w:rPr>
                <w:b w:val="0"/>
                <w:webHidden/>
                <w:sz w:val="20"/>
                <w:szCs w:val="20"/>
              </w:rPr>
              <w:t>29</w:t>
            </w:r>
            <w:r w:rsidRPr="008F5A5A">
              <w:rPr>
                <w:b w:val="0"/>
                <w:webHidden/>
                <w:sz w:val="20"/>
                <w:szCs w:val="20"/>
              </w:rPr>
              <w:fldChar w:fldCharType="end"/>
            </w:r>
          </w:hyperlink>
        </w:p>
        <w:p w14:paraId="23C6948A" w14:textId="2B7C7897" w:rsidR="008F5A5A" w:rsidRPr="008F5A5A" w:rsidRDefault="008F5A5A">
          <w:pPr>
            <w:pStyle w:val="TOC1"/>
            <w:rPr>
              <w:rFonts w:asciiTheme="minorHAnsi" w:eastAsiaTheme="minorEastAsia" w:hAnsiTheme="minorHAnsi" w:cstheme="minorBidi"/>
              <w:b w:val="0"/>
              <w:sz w:val="20"/>
              <w:szCs w:val="20"/>
              <w:lang w:val="en-US"/>
            </w:rPr>
          </w:pPr>
          <w:hyperlink w:anchor="_Toc106193359" w:history="1">
            <w:r w:rsidRPr="008F5A5A">
              <w:rPr>
                <w:rStyle w:val="Hyperlink"/>
                <w:b w:val="0"/>
                <w:sz w:val="20"/>
                <w:szCs w:val="20"/>
              </w:rPr>
              <w:t>[Titlul 27 a fost eliminat]</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_Toc106193359 \h </w:instrText>
            </w:r>
            <w:r w:rsidRPr="008F5A5A">
              <w:rPr>
                <w:b w:val="0"/>
                <w:webHidden/>
                <w:sz w:val="20"/>
                <w:szCs w:val="20"/>
              </w:rPr>
            </w:r>
            <w:r w:rsidRPr="008F5A5A">
              <w:rPr>
                <w:b w:val="0"/>
                <w:webHidden/>
                <w:sz w:val="20"/>
                <w:szCs w:val="20"/>
              </w:rPr>
              <w:fldChar w:fldCharType="separate"/>
            </w:r>
            <w:r>
              <w:rPr>
                <w:b w:val="0"/>
                <w:webHidden/>
                <w:sz w:val="20"/>
                <w:szCs w:val="20"/>
              </w:rPr>
              <w:t>30</w:t>
            </w:r>
            <w:r w:rsidRPr="008F5A5A">
              <w:rPr>
                <w:b w:val="0"/>
                <w:webHidden/>
                <w:sz w:val="20"/>
                <w:szCs w:val="20"/>
              </w:rPr>
              <w:fldChar w:fldCharType="end"/>
            </w:r>
          </w:hyperlink>
        </w:p>
        <w:p w14:paraId="143D3B91" w14:textId="485CF7AB" w:rsidR="008F5A5A" w:rsidRPr="008F5A5A" w:rsidRDefault="008F5A5A">
          <w:pPr>
            <w:pStyle w:val="TOC1"/>
            <w:rPr>
              <w:rFonts w:asciiTheme="minorHAnsi" w:eastAsiaTheme="minorEastAsia" w:hAnsiTheme="minorHAnsi" w:cstheme="minorBidi"/>
              <w:b w:val="0"/>
              <w:sz w:val="20"/>
              <w:szCs w:val="20"/>
              <w:lang w:val="en-US"/>
            </w:rPr>
          </w:pPr>
          <w:hyperlink w:anchor="_Toc106193360" w:history="1">
            <w:r w:rsidRPr="008F5A5A">
              <w:rPr>
                <w:rStyle w:val="Hyperlink"/>
                <w:b w:val="0"/>
                <w:sz w:val="20"/>
                <w:szCs w:val="20"/>
              </w:rPr>
              <w:t>Capitolul 9: Dispoziții diverse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_Toc106193360 \h </w:instrText>
            </w:r>
            <w:r w:rsidRPr="008F5A5A">
              <w:rPr>
                <w:b w:val="0"/>
                <w:webHidden/>
                <w:sz w:val="20"/>
                <w:szCs w:val="20"/>
              </w:rPr>
            </w:r>
            <w:r w:rsidRPr="008F5A5A">
              <w:rPr>
                <w:b w:val="0"/>
                <w:webHidden/>
                <w:sz w:val="20"/>
                <w:szCs w:val="20"/>
              </w:rPr>
              <w:fldChar w:fldCharType="separate"/>
            </w:r>
            <w:r>
              <w:rPr>
                <w:b w:val="0"/>
                <w:webHidden/>
                <w:sz w:val="20"/>
                <w:szCs w:val="20"/>
              </w:rPr>
              <w:t>30</w:t>
            </w:r>
            <w:r w:rsidRPr="008F5A5A">
              <w:rPr>
                <w:b w:val="0"/>
                <w:webHidden/>
                <w:sz w:val="20"/>
                <w:szCs w:val="20"/>
              </w:rPr>
              <w:fldChar w:fldCharType="end"/>
            </w:r>
          </w:hyperlink>
        </w:p>
        <w:p w14:paraId="0C22DD74" w14:textId="6C3AFEDD" w:rsidR="008F5A5A" w:rsidRPr="008F5A5A" w:rsidRDefault="008F5A5A">
          <w:pPr>
            <w:pStyle w:val="TOC1"/>
            <w:rPr>
              <w:rFonts w:asciiTheme="minorHAnsi" w:eastAsiaTheme="minorEastAsia" w:hAnsiTheme="minorHAnsi" w:cstheme="minorBidi"/>
              <w:b w:val="0"/>
              <w:sz w:val="20"/>
              <w:szCs w:val="20"/>
              <w:lang w:val="en-US"/>
            </w:rPr>
          </w:pPr>
          <w:hyperlink w:anchor="_Toc106193361" w:history="1">
            <w:r w:rsidRPr="008F5A5A">
              <w:rPr>
                <w:rStyle w:val="Hyperlink"/>
                <w:b w:val="0"/>
                <w:sz w:val="20"/>
                <w:szCs w:val="20"/>
              </w:rPr>
              <w:t>Titlul 28: Imunitate de jurisdicție</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_Toc106193361 \h </w:instrText>
            </w:r>
            <w:r w:rsidRPr="008F5A5A">
              <w:rPr>
                <w:b w:val="0"/>
                <w:webHidden/>
                <w:sz w:val="20"/>
                <w:szCs w:val="20"/>
              </w:rPr>
            </w:r>
            <w:r w:rsidRPr="008F5A5A">
              <w:rPr>
                <w:b w:val="0"/>
                <w:webHidden/>
                <w:sz w:val="20"/>
                <w:szCs w:val="20"/>
              </w:rPr>
              <w:fldChar w:fldCharType="separate"/>
            </w:r>
            <w:r>
              <w:rPr>
                <w:b w:val="0"/>
                <w:webHidden/>
                <w:sz w:val="20"/>
                <w:szCs w:val="20"/>
              </w:rPr>
              <w:t>30</w:t>
            </w:r>
            <w:r w:rsidRPr="008F5A5A">
              <w:rPr>
                <w:b w:val="0"/>
                <w:webHidden/>
                <w:sz w:val="20"/>
                <w:szCs w:val="20"/>
              </w:rPr>
              <w:fldChar w:fldCharType="end"/>
            </w:r>
          </w:hyperlink>
        </w:p>
        <w:p w14:paraId="30967253" w14:textId="58BF541C" w:rsidR="008F5A5A" w:rsidRPr="008F5A5A" w:rsidRDefault="008F5A5A">
          <w:pPr>
            <w:pStyle w:val="TOC1"/>
            <w:rPr>
              <w:rFonts w:asciiTheme="minorHAnsi" w:eastAsiaTheme="minorEastAsia" w:hAnsiTheme="minorHAnsi" w:cstheme="minorBidi"/>
              <w:b w:val="0"/>
              <w:sz w:val="20"/>
              <w:szCs w:val="20"/>
              <w:lang w:val="en-US"/>
            </w:rPr>
          </w:pPr>
          <w:hyperlink w:anchor="_Toc106193362" w:history="1">
            <w:r w:rsidRPr="008F5A5A">
              <w:rPr>
                <w:rStyle w:val="Hyperlink"/>
                <w:b w:val="0"/>
                <w:sz w:val="20"/>
                <w:szCs w:val="20"/>
              </w:rPr>
              <w:t>Titlul 29: Trimiterea notificărilor sau a ordinelor emise în temeiul titlului 10</w:t>
            </w:r>
            <w:r w:rsidRPr="008F5A5A">
              <w:rPr>
                <w:b w:val="0"/>
                <w:webHidden/>
                <w:sz w:val="20"/>
                <w:szCs w:val="20"/>
              </w:rPr>
              <w:tab/>
            </w:r>
            <w:r w:rsidRPr="008F5A5A">
              <w:rPr>
                <w:b w:val="0"/>
                <w:webHidden/>
                <w:sz w:val="20"/>
                <w:szCs w:val="20"/>
              </w:rPr>
              <w:fldChar w:fldCharType="begin"/>
            </w:r>
            <w:r w:rsidRPr="008F5A5A">
              <w:rPr>
                <w:b w:val="0"/>
                <w:webHidden/>
                <w:sz w:val="20"/>
                <w:szCs w:val="20"/>
              </w:rPr>
              <w:instrText xml:space="preserve"> PAGEREF _Toc106193362 \h </w:instrText>
            </w:r>
            <w:r w:rsidRPr="008F5A5A">
              <w:rPr>
                <w:b w:val="0"/>
                <w:webHidden/>
                <w:sz w:val="20"/>
                <w:szCs w:val="20"/>
              </w:rPr>
            </w:r>
            <w:r w:rsidRPr="008F5A5A">
              <w:rPr>
                <w:b w:val="0"/>
                <w:webHidden/>
                <w:sz w:val="20"/>
                <w:szCs w:val="20"/>
              </w:rPr>
              <w:fldChar w:fldCharType="separate"/>
            </w:r>
            <w:r>
              <w:rPr>
                <w:b w:val="0"/>
                <w:webHidden/>
                <w:sz w:val="20"/>
                <w:szCs w:val="20"/>
              </w:rPr>
              <w:t>30</w:t>
            </w:r>
            <w:r w:rsidRPr="008F5A5A">
              <w:rPr>
                <w:b w:val="0"/>
                <w:webHidden/>
                <w:sz w:val="20"/>
                <w:szCs w:val="20"/>
              </w:rPr>
              <w:fldChar w:fldCharType="end"/>
            </w:r>
          </w:hyperlink>
        </w:p>
        <w:p w14:paraId="2FFEEE6D" w14:textId="16ACA30F" w:rsidR="003C524C" w:rsidRPr="003E288A" w:rsidRDefault="003C524C" w:rsidP="009A3E29">
          <w:pPr>
            <w:rPr>
              <w:rFonts w:ascii="Times New Roman" w:hAnsi="Times New Roman" w:cs="Times New Roman"/>
            </w:rPr>
          </w:pPr>
          <w:r w:rsidRPr="008F5A5A">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93321"/>
      <w:r>
        <w:rPr>
          <w:sz w:val="28"/>
        </w:rPr>
        <w:lastRenderedPageBreak/>
        <w:t>Capitolul 1: Observații preliminare</w:t>
      </w:r>
      <w:bookmarkEnd w:id="11"/>
    </w:p>
    <w:p w14:paraId="4DB9FF2C" w14:textId="5BDDEC7E" w:rsidR="00A7406B" w:rsidRPr="00835148" w:rsidRDefault="00A7406B" w:rsidP="00883C74">
      <w:pPr>
        <w:pStyle w:val="Heading1"/>
      </w:pPr>
      <w:bookmarkStart w:id="12" w:name="_Toc106193322"/>
      <w:r>
        <w:t>Titlul 1: Definiții suplimentare pentru partea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Prezentul titlul prevede că:</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În această parte:</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„funcționar autorizat” se interpretează în conformitate cu titlul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 înseamnă un cont, un program sau un proces automat online în care toate sau majoritatea acțiunilor sau postărilor contului, programului sau procesului nu sunt rezultatul unei persoane;</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„dezinformare”, în sensul prezentei părți și al prezentei legi, înseamnă orice informație electorală online falsă sau înșelătoare care: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poate cauza prejudicii publice; și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având în vedere natura și caracterul conținutului său, ale contextului sau ale oricărei alte circumstanțe relevante, dă naștere concluziei că aceasta a fost creată sau diseminată pentru a induce în eroare</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„perioadă de campanie electorală” înseamnă:</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perioada (inclusiv o perioadă electorală) care poate fi prescrisă periodic și în legătură cu orice alegere sau referendum de către Comisie, care începe la o dată anterioară alegerilor sau referendumului apropiat și se încheie în ziua votării la momentul închiderii secțiilor de vot, date care sunt stabilite într-o notificare publicată de Comisie, în funcție de modul în care consideră necesar, cu cel puțin șapte zile înainte de data cea mai apropiată;</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perioada care începe cu trei luni înainte de data limită la care legea impune organizarea alegerilor și se termină la încheierea perioadei electorale; sau</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în cazul în care literele (a) și (b) nu se aplică, perioada electorală;</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„perioadă electorală” înseamnă, în prezenta parte, perioada de timp care începe în ziua efectuării unui ordin privind ziua de votare și se încheie în ziua de votare la momentul închiderii secțiilor de vot;</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„țintirea persoanelor asemănătoare” înseamnă utilizarea datelor provenite de la un public online existent pentru a identifica alte persoane care au caracteristici similare sau sunt implicate în activități similare pe o platformă online;</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„comportament de natură manipulatoare sau neautentică” înseamnă tactici, tehnici și proceduri care: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constituie utilizarea înșelătoare a serviciilor sau a caracteristicilor furnizate de platformele online, inclusiv comportamentul utilizatorilor care au ca obiect amplificarea artificială a accesibilității sau a sprijinului public perceput pentru un anumit conținut;</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sunt susceptibile de a influența informațiile vizibile pentru alți utilizatori ai platformei respective;</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având în vedere natura și caracterul lor, contextul sau orice altă împrejurare relevantă, dau naștere concluziei că acestea sunt destinate să conducă la diseminarea, publicarea sau răspândirea sporită a informațiilor electorale online false sau înșelătoare; și</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poate cauza prejudicii publice;</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„microțintire” înseamnă o metodă de țintire care implică utilizarea unor tehnici, instrumente sau alte metode de analiză a datelor pentru a aborda, a transmite sau a comunica o reclamă politică online adaptată, fie către o anumită persoană sau grup de persoane, fie pentru a spori răspândirea, acoperirea sau vizibilitatea unei reclame politice online;</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„informare greșită”, în sensul prezentei părți și al prezentei legi, înseamnă orice informație falsă sau înșelătoare privind procesul electoral online care poate cauza prejudicii publice, indiferent dacă informațiile au fost sau nu create sau diseminate cunoscând caracterul fals sau înșelător al acestora sau cu orice intenție de a cauza un astfel de prejudiciu;</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„informații electorale online” înseamnă:</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orice informație privind procesul electoral online; sau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orice conținut online referitor la: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un candidat la alegeri;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un partid politic care are candidați la alegeri;</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aspecte care sunt relevante pentru alegeri; sau</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aspecte care sunt relevante pentru un referendum;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 xml:space="preserve">„informații privind procesul electoral online” înseamnă conținutul online de natură faptică referitor la organizarea alegerilor sau a referendumului, inclusiv, dar fără a se limita la înregistrarea votanților sau a candidaților, orele și locurile de votare, </w:t>
      </w:r>
      <w:r>
        <w:rPr>
          <w:rFonts w:ascii="Times New Roman" w:hAnsi="Times New Roman"/>
        </w:rPr>
        <w:lastRenderedPageBreak/>
        <w:t>modalitățile de vot prin corespondență, secretul votului, numărarea voturilor și orice alt conținut faptic referitor la organizarea unui anumit scrutin sau referendum sau la alegeri sau referendumuri în general;</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„platformă online” înseamnă orice site web, aplicație web sau aplicație digitală accesibilă publicului larg sau unei secțiuni a publicului care:</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are cel puțin 100 000 de utilizatori lunari unici în stat pentru o perioadă de cel puțin șapte luni în cursul celor 12 luni imediat anterioare datei efectuării unui ordin privind ziua de votare; și</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afișează orice conținut în scopuri politice, inclusiv, dar fără a se limita la reclame politice online;</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„publicitate politică online” are sensul atribuit în partea 4;</w:t>
      </w:r>
    </w:p>
    <w:p w14:paraId="6D559116" w14:textId="14807C1A"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„scopuri politice” are înțelesul atribuit la articolul 22 alineatul (2) litera (aa) din </w:t>
      </w:r>
      <w:hyperlink r:id="rId14">
        <w:r>
          <w:rPr>
            <w:rFonts w:ascii="Times New Roman" w:hAnsi="Times New Roman"/>
            <w:u w:val="single"/>
          </w:rPr>
          <w:t>Legea electorală din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„ordin privind ziua de votare” înseamnă un ordin emis de ministru de desemnare a unei zile de desfășurare a unor alegeri care:</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în cazul unor alegeri Dáil, se desfășoară în conformitate cu articolul 96 din </w:t>
      </w:r>
      <w:r>
        <w:rPr>
          <w:u w:val="single"/>
        </w:rPr>
        <w:t>Legea electorală din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în cazul alegerilor europene, se desfășoară în conformitate cu articolul 10 din </w:t>
      </w:r>
      <w:r>
        <w:rPr>
          <w:u w:val="single"/>
        </w:rPr>
        <w:t>Legea din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în cazul alegerilor locale, se desfășoară în conformitate cu articolul 26 din </w:t>
      </w:r>
      <w:r>
        <w:rPr>
          <w:u w:val="single"/>
        </w:rPr>
        <w:t>Legea administrației locale din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în cazul alegerilor prezidențiale, se desfășoară în conformitate cu articolul 6 alineatul (1) litera (c) din </w:t>
      </w:r>
      <w:r>
        <w:rPr>
          <w:u w:val="single"/>
        </w:rPr>
        <w:t>Legea privind alegerile prezidențiale din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în cazul unui referendum, se desfășoară în conformitate cu articolul 10 sau articolul 12 din </w:t>
      </w:r>
      <w:r>
        <w:rPr>
          <w:u w:val="single"/>
        </w:rPr>
        <w:t>Legea din 1994</w:t>
      </w:r>
      <w:r>
        <w:t>; sau</w:t>
      </w:r>
    </w:p>
    <w:p w14:paraId="4B10A3B0" w14:textId="2025A838"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în cazul alegerilor Seanad, se desfășoară în conformitate cu articolul 12 din </w:t>
      </w:r>
      <w:hyperlink r:id="rId15">
        <w:r>
          <w:rPr>
            <w:u w:val="single"/>
          </w:rPr>
          <w:t>Legea electorală Seanad (membri ai universității)</w:t>
        </w:r>
      </w:hyperlink>
      <w:r>
        <w:rPr>
          <w:u w:val="single"/>
        </w:rPr>
        <w:t xml:space="preserve"> din 1937 și în temeiul articolului 24 din Legea electorală Seanad (membri ai comisiei) din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„prejudiciu public” înseamnă orice amenințare gravă la adresa corectitudinii sau integrității unor alegere sau unui referendum;</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lastRenderedPageBreak/>
        <w:t>„sistem de recomandare” înseamnă un sistem complet sau parțial automatizat utilizat de o platformă online pentru a sugera în interfața sa online informații specifice destinatarilor serviciului, inclusiv ca urmare a unei căutări inițiate de destinatar sau a determinării în alt mod a ordinii relative sau a importanței informațiilor afișate.</w:t>
      </w:r>
    </w:p>
    <w:p w14:paraId="3DB1D383" w14:textId="68215284" w:rsidR="00FE377C" w:rsidRPr="00835148" w:rsidRDefault="00FE377C" w:rsidP="00883C74">
      <w:pPr>
        <w:pStyle w:val="Heading1"/>
      </w:pPr>
      <w:bookmarkStart w:id="14" w:name="_Toc106193323"/>
      <w:r>
        <w:t>Titlul 2: Funcțiile Comisiei în ceea ce privește informațiile electorale online și comportamentul de natură manipulatoare sau neautentică</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Prezentul titlul prevede că:</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Comisia are funcția de a proteja corectitudinea și integritatea alegerilor și a referendumurilor în conformitate cu prezenta parte.</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Comisia are funcția de a monitoriza, a investiga și a combate diseminarea:</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dezinformării; și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a informării greșite.</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Comisia are funcția de a monitoriza, a investiga și a identifica comportamentul de natură manipulatoare sau neautentică.</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Comisia are funcția de a monitoriza, a investiga și a identifica tendințele în ceea ce privește: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dezinformarea;</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informarea greșită; și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comportamentul de natură manipulatoare sau neautentică.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Comisia are funcția de a promova sensibilizarea publicului cu privire la informarea greșită, la dezinformare și la comportamentul de natură manipulatoare și neautentică și poate institui, facilita sau promova programe educaționale sau de informare în exercitarea acestei funcții.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Comisia are competența de a încheia contracte și alte acorduri cu persoane sau instituții din stat sau din altă parte.</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9332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Titlul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Instituirea și rolul Consiliului consultativ</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Prezentul titlul prevede că:</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Comisia înființează un consiliu consultativ privind informațiile electorale online (denumit în prezenta parte „Consiliul consultativ”) pentru a oferi consultanță Comisiei.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Consiliul consultativ, la cerere și, dacă este cazul, din oficiu, oferă consultanță Comisiei cu privire la: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natura și efectul dezinformării și al informării greșite; și</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dacă este posibil, cu privire la utilizarea de către Comisie a competențelor sale în temeiul prezentei părți.</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Consiliul consultativ este compus din cel mult șase persoane numite de Comisie cu expertiză în:</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procesul electoral și de referendum în stat;</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promovarea corectitudinii și integrității în alegeri și referendumuri; și</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utilizarea tehnologiei informației și diseminarea online a informațiilor în contextul alegerilor și al referendumurilor.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93325"/>
      <w:bookmarkEnd w:id="66"/>
      <w:bookmarkEnd w:id="67"/>
      <w:bookmarkEnd w:id="68"/>
      <w:bookmarkEnd w:id="69"/>
      <w:bookmarkEnd w:id="70"/>
      <w:r>
        <w:t>Titlul 4: Instituirea și rolul consiliului părților interesate</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Prezentul titlul prevede că</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Comisia instituie un consiliu al părților interesate care să ofere consultanță Comisiei cu privire la elaborarea și utilizarea codurilor de conduită.</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Consiliul părților interesate este format din cel mult 15 persoane numite de Comisie pentru a reflecta opiniile membrilor Oireachtas, precum și cele ale intereselor mass-mediei tipărite, difuzate și online și ale partidelor politice individuale.</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Capitolul 2: Obligații impuse utilizatorilor platformelor online și platformelor online</w:t>
      </w:r>
    </w:p>
    <w:p w14:paraId="202A1993" w14:textId="5E0AEEEA" w:rsidR="00BF3C23" w:rsidRDefault="00BF3C23" w:rsidP="00883C74">
      <w:pPr>
        <w:pStyle w:val="Heading1"/>
      </w:pPr>
      <w:bookmarkStart w:id="72" w:name="_Toc106193326"/>
      <w:r>
        <w:t>[Titlul 5 a fost eliminat]</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93327"/>
      <w:r>
        <w:t>Titlul 6: Obligația platformelor online de a furniza informații Comisiei</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Prezentul titlul prevede că:</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În cazul în care, în timpul unei perioade de campanie electorală, o platformă online este convinsă din informațiile de care are cunoștință, inclusiv prin intermediul unei notificări primite prin intermediul unui mecanism de depunere a plângerilor instituit în temeiul titlului 7, că este posibil ca serviciile sale să fie utilizate în scopul: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dezinformării;</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informării greșite; sau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al comportamentului de natură manipulatoare sau neautentică,</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platforma online notifică fără întârzieri nejustificate Comisiei o astfel de dezinformare, informare greșită sau comportament de natură manipulatoare sau neautentică.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Fără a aduce atingere alineatului (1), cât mai curând posibil la începutul unei perioade de campanie electorală, o platformă online cu peste 1 milion de utilizatori lunari unici în stat pregătește și transmite Comisiei un raport care prezintă eventualele riscuri semnificative pentru corectitudinea sau integritatea alegerilor sau referendumului pe care îl reprezintă dezinformarea, informarea greșită sau comportamentul de natură manipulatoare sau neautentică în cadrul serviciilor sale.</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Raportul menționat la alineatul (2) trebuie să includă, ca cerință minimă:</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informații privind prevalența informării greșite și a dezinformării în cauză în cadrul serviciului platformei online, inclusiv notificările primite în temeiul titlului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informații privind prevalența comportamentului de natură manipulatoare sau neautentică în cadrul serviciului platformei online, inclusiv notificările primite în temeiul titlului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informații privind prevalența microțintirii sau a țintirii persoanelor similare asupra serviciilor furnizate de platforma online; și</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informații privind eventualele riscuri pe care le prezintă funcționarea oricărui sistem de recomandare utilizat de platforma online pentru distribuirea și promovarea conținutului.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Informațiile furnizate în raportul menționat la alineatul (2) trebuie să includă rezumate netehnice ale aspectelor menționate la alineatul (3) literele (a)-(d).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Comisia monitorizează respectarea de către platformele online a cerințelor prezentului titlu. </w:t>
      </w:r>
    </w:p>
    <w:p w14:paraId="629AD04A" w14:textId="4B923B99" w:rsidR="00AD5419" w:rsidRPr="00835148" w:rsidRDefault="00AD5419" w:rsidP="00883C74">
      <w:pPr>
        <w:pStyle w:val="Heading1"/>
      </w:pPr>
      <w:bookmarkStart w:id="74" w:name="_Toc106193328"/>
      <w:r>
        <w:t>Titlul 7: Obligația platformei online de a institui un mecanism de notificare</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Prezentul titlu prevede că:</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Platformele online trebuie să instituie mecanisme care să permită oricărei persoane sau entități să le notifice prezența pe platforme a informațiilor pe care persoana sau entitatea le consideră a fi:</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dezinformări; sau</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informări greșite.</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Platformele online trebuie să instituie mecanisme care să permită oricărei persoane sau entități să le notifice prezența în serviciul lor a unor activități sau comportamente specifice în ceea ce privește informațiile electorale online pe care persoana sau entitatea le consideră a fi un comportament de natură manipulatoare sau neautentică.</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Mecanismele prevăzute la alineatele (1) și (2) trebuie să fie ușor de accesat, ușor de utilizat și să permită transmiterea notificărilor exclusiv prin mijloace electronice.</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Platformele online evaluează, prelucrează și determină valabilitatea preocupărilor ridicate de notificările primite în temeiul alineatului (1) sau (2) fără întârzieri nejustificate.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Platformele online păstrează o evidență a tuturor notificărilor primite în temeiul alineatului (1) sau (2) și a rezultatului procesului decizional menționat la alineatul (4) pentru o perioadă de doi ani de la încheierea perioadei electorale relevante.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Platformele online pun evidențele menționate la punctul (5) la dispoziția Comisiei pentru a fi inspectate în termen rezonabil.</w:t>
      </w:r>
    </w:p>
    <w:p w14:paraId="2A6361BF" w14:textId="6F696EA4" w:rsidR="00AD5419" w:rsidRPr="008273CD" w:rsidRDefault="00AD5419" w:rsidP="008273CD">
      <w:pPr>
        <w:pStyle w:val="Heading1"/>
        <w:jc w:val="center"/>
        <w:rPr>
          <w:sz w:val="28"/>
          <w:szCs w:val="28"/>
        </w:rPr>
      </w:pPr>
      <w:bookmarkStart w:id="75" w:name="_Toc106193329"/>
      <w:r>
        <w:rPr>
          <w:sz w:val="28"/>
        </w:rPr>
        <w:lastRenderedPageBreak/>
        <w:t>Capitolul 3: Competențele Comisiei</w:t>
      </w:r>
      <w:bookmarkEnd w:id="75"/>
    </w:p>
    <w:p w14:paraId="289914F5" w14:textId="47AA4F6A" w:rsidR="00511749" w:rsidRPr="00835148" w:rsidRDefault="00511749" w:rsidP="00883C74">
      <w:pPr>
        <w:pStyle w:val="Heading1"/>
      </w:pPr>
      <w:bookmarkStart w:id="76" w:name="_Toc106193330"/>
      <w:r>
        <w:t>Titlul 8: Monitorizarea de către Comisie a informațiilor electorale online și a investigațiilor referitoare la acestea</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Prezentul titlu prevede că:</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În scopul îndeplinirii funcțiilor care îi revin în temeiul prezentei părți, Comisia poate monitoriza informațiile electorale online.</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În cazul în care Comisia are motive să creadă că anumite informații electorale online pot:</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constitui dezinformare;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constituie o informare greșită; sau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implică un comportament de natură manipulatoare sau neautentică, inclusiv utilizarea de boți nedivulgați,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Comisia poate examina, investiga sau numi un funcțional autorizat care să examineze sau să investigheze orice astfel de chestiune.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Comisia poate efectua anchetele pe care le consideră adecvate sau poate ordona unui funcționar autorizat să efectueze astfel de anchete, iar Comisia sau un funcționar autorizat poate solicita oricărei persoane să furnizeze fără întârziere orice informație, document sau obiect aflat în posesia sau achiziționat de persoana respectivă pe care Comisia sau funcționarul autorizat îl poate solicita în scopul unei investigații.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Toate competențele de investigare ale funcționarilor autorizați care pot fi exercitate în temeiul părții 4 în ceea ce privește publicitatea politică online sau în alt mod sunt exercitate </w:t>
      </w:r>
      <w:r>
        <w:rPr>
          <w:rFonts w:ascii="Times New Roman" w:hAnsi="Times New Roman"/>
          <w:i/>
        </w:rPr>
        <w:t>mutatis mutandis</w:t>
      </w:r>
      <w:r>
        <w:rPr>
          <w:rFonts w:ascii="Times New Roman" w:hAnsi="Times New Roman"/>
        </w:rPr>
        <w:t xml:space="preserve"> în ceea ce privește funcțiile Comisiei în temeiul prezentei părți într-un mod similar în ceea ce privește informațiile electorale online false [sau înșelătoare] și comportamentul de natură manipulatoare sau neautentică. </w:t>
      </w:r>
    </w:p>
    <w:p w14:paraId="2712EF5A" w14:textId="77777777" w:rsidR="000F1EE0" w:rsidRDefault="000F1EE0" w:rsidP="0054587C">
      <w:pPr>
        <w:pStyle w:val="ListParagraph"/>
        <w:ind w:left="1418"/>
        <w:jc w:val="both"/>
        <w:rPr>
          <w:rFonts w:ascii="Times New Roman" w:hAnsi="Times New Roman" w:cs="Times New Roman"/>
          <w:szCs w:val="24"/>
          <w:lang w:val="en-IE"/>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În cazul în care un funcționar autorizat prezintă Comisiei un raport cu privire la informații electorale online false [sau înșelătoare] sau la un comportament de natură manipulatoare sau neautentică în temeiul alineatului (5), Comisia ia în considerare raportul respectiv, eventualele observații formulate și eventualele recomandări ale funcționarului autorizat sau ale membrului personalului Comisiei prezentate acesteia.</w:t>
      </w:r>
    </w:p>
    <w:p w14:paraId="0E40789A" w14:textId="77777777" w:rsidR="000F1EE0" w:rsidRPr="0054587C" w:rsidRDefault="000F1EE0" w:rsidP="0054587C">
      <w:pPr>
        <w:pStyle w:val="ListParagraph"/>
        <w:rPr>
          <w:rFonts w:ascii="Times New Roman" w:hAnsi="Times New Roman" w:cs="Times New Roman"/>
          <w:szCs w:val="24"/>
          <w:lang w:val="en-IE"/>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lastRenderedPageBreak/>
        <w:t xml:space="preserve">Comisia poate, dacă consideră necesar, să invite orice persoană care, în opinia funcționarului autorizat sau a membrului personalului Comisiei, există motive întemeiate de a crede că este posibil să încalce, ar fi putut încălca sau a încălcat obligațiile care îi revin în temeiul prezentei părți, să dea declarații suplimentare în scris Comisiei, în termenul stabilit de aceasta, în legătură cu opinia și raportul prezentate Comisiei de către funcționarul autorizat sau de către un membru al personalului. </w:t>
      </w:r>
    </w:p>
    <w:p w14:paraId="3F5C6539" w14:textId="77777777" w:rsidR="000F1EE0" w:rsidRPr="0054587C" w:rsidRDefault="000F1EE0" w:rsidP="0054587C">
      <w:pPr>
        <w:pStyle w:val="ListParagraph"/>
        <w:rPr>
          <w:rFonts w:ascii="Times New Roman" w:hAnsi="Times New Roman" w:cs="Times New Roman"/>
          <w:szCs w:val="24"/>
          <w:lang w:val="en-IE"/>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În urma examinării raportului și a eventualelor recomandări formulate de funcționarul autorizat în temeiul alineatului (5) sau de membrul personalului Comisiei, precum și a oricăror alte observații în temeiul alineatului (6), Comisia poate: </w:t>
      </w:r>
    </w:p>
    <w:p w14:paraId="21B60AE3" w14:textId="77777777" w:rsidR="000F1EE0" w:rsidRDefault="000F1EE0" w:rsidP="000F1EE0">
      <w:pPr>
        <w:pStyle w:val="ListParagraph"/>
        <w:ind w:left="1418"/>
        <w:jc w:val="both"/>
        <w:rPr>
          <w:rFonts w:ascii="Times New Roman" w:hAnsi="Times New Roman" w:cs="Times New Roman"/>
          <w:szCs w:val="24"/>
          <w:lang w:val="en-IE"/>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să nu ia măsuri suplimentare;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în cazul în care este convinsă că are sau a avut loc o încălcare, să exercite oricare dintre competențele disponibile în temeiul titlului 10 în ceea ce privește orice persoană despre care Comisia consideră că încalcă sau a încălcat cerințele prezentei părți;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să publice raportul investigației; sau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în cazul în care este convinsă că are loc sau a avut loc o contravenție, să înceapă urmărirea penală pentru orice infracțiune care ar fi putut fi săvârșită în conformitate cu titlurile 24, 25 și 26.</w:t>
      </w:r>
    </w:p>
    <w:p w14:paraId="7DA53FB5" w14:textId="77777777" w:rsidR="0038298A" w:rsidRDefault="0038298A" w:rsidP="0096718D">
      <w:pPr>
        <w:pStyle w:val="ListParagraph"/>
        <w:spacing w:before="240" w:after="240"/>
        <w:ind w:left="1440"/>
        <w:contextualSpacing w:val="0"/>
        <w:jc w:val="both"/>
        <w:rPr>
          <w:rFonts w:ascii="Times New Roman" w:hAnsi="Times New Roman" w:cs="Times New Roman"/>
          <w:szCs w:val="24"/>
          <w:lang w:val="en-IE"/>
        </w:rPr>
      </w:pPr>
    </w:p>
    <w:p w14:paraId="57A69D5C" w14:textId="27364FBC" w:rsidR="00231DDE" w:rsidRPr="00883C74" w:rsidRDefault="00231DDE" w:rsidP="003354AE">
      <w:pPr>
        <w:pStyle w:val="Heading1"/>
      </w:pPr>
      <w:bookmarkStart w:id="77" w:name="_Toc106193331"/>
      <w:r>
        <w:t>Titlul 8A: Delegarea competențelor Comisiei către directorul general [sau alt membru al Comisiei]</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Prezentul titlu prevede că:</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Comisia poate delega, prin ordin, exercitarea competențelor sale în temeiul titlului 10 pe care Comisia le consideră adecvate directorului general al Comisiei [sau unui alt membru al Comisiei], iar directorul general [sau un alt membru al Comisiei] îndeplinește sarcinile corespunzătoare competențelor delegate și, în acest scop, acționează în locul Comisiei.</w:t>
      </w:r>
    </w:p>
    <w:p w14:paraId="0566BE66" w14:textId="77777777" w:rsidR="00473A30" w:rsidRDefault="00473A30" w:rsidP="004A5780">
      <w:pPr>
        <w:pStyle w:val="ListParagraph"/>
        <w:ind w:left="1440"/>
        <w:jc w:val="both"/>
        <w:rPr>
          <w:rFonts w:ascii="Times New Roman" w:hAnsi="Times New Roman" w:cs="Times New Roman"/>
          <w:lang w:val="en-IE"/>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În cazul în care se efectuează o delegare în temeiul alineatului (2):</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lastRenderedPageBreak/>
        <w:t>(a)</w:t>
      </w:r>
      <w:r>
        <w:rPr>
          <w:rFonts w:ascii="Times New Roman" w:hAnsi="Times New Roman"/>
        </w:rPr>
        <w:tab/>
        <w:t>directorul general al Comisiei [sau un alt membru al Comisiei] exercită competențele delegate sub conducerea și controlul general al Comisiei;</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(b)</w:t>
      </w:r>
      <w:r>
        <w:rPr>
          <w:rFonts w:ascii="Times New Roman" w:hAnsi="Times New Roman"/>
        </w:rPr>
        <w:tab/>
        <w:t>directorul general al Comisiei [sau un alt membru al Comisiei] exercită competența delegată în conformitate cu limitările (dacă există) specificate în delegare în ceea ce privește perioada sau măsura în care acesta exercită competența respectivă;</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(c)</w:t>
      </w:r>
      <w:r>
        <w:rPr>
          <w:rFonts w:ascii="Times New Roman" w:hAnsi="Times New Roman"/>
        </w:rPr>
        <w:tab/>
        <w:t>o dispoziție a prezentului sau în temeiul prezentului titlu, care conferă competențe Comisiei sau reglementează modul în care trebuie exercitată orice competență produce efecte, dacă și în măsura în care aceasta este aplicabilă competenței delegate, în scopul exercitării competenței de către directorul general [sau un alt membru al Comisiei], cu înlocuirea directorului general al Comisiei [sau a altui membru al Comisiei] pentru Comisie și fiecare dintre aceste dispoziții se interpretează în consecință.</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În cazul în care o competență este delegată în temeiul prezentului titlu, competența este conferită în continuare Comisiei, dar este învestită în același timp directorului general al Comisiei [sau unui alt membru al Comisiei] căruia i-a fost delegată și astfel încât să poată fi exercitată fie de Comisie, fie de directorul general al Comisiei [sau de un alt membru al Comisiei].</w:t>
      </w:r>
    </w:p>
    <w:p w14:paraId="0D79649F" w14:textId="77777777" w:rsidR="00B95721" w:rsidRPr="00406C29" w:rsidRDefault="00B95721" w:rsidP="004A5780">
      <w:pPr>
        <w:pStyle w:val="ListParagraph"/>
        <w:ind w:left="1440"/>
        <w:jc w:val="both"/>
        <w:rPr>
          <w:rFonts w:ascii="Times New Roman" w:hAnsi="Times New Roman" w:cs="Times New Roman"/>
          <w:lang w:val="en-IE"/>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Comisia poate, prin ordin, să modifice sau să revoce o delegare efectuată în temeiul prezentului titlu.</w:t>
      </w:r>
    </w:p>
    <w:p w14:paraId="770C7821" w14:textId="77777777" w:rsidR="00B95721" w:rsidRPr="00406C29" w:rsidRDefault="00B95721" w:rsidP="004A5780">
      <w:pPr>
        <w:pStyle w:val="ListParagraph"/>
        <w:ind w:left="1440"/>
        <w:jc w:val="both"/>
        <w:rPr>
          <w:rFonts w:ascii="Times New Roman" w:hAnsi="Times New Roman" w:cs="Times New Roman"/>
          <w:lang w:val="en-IE"/>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Comisia poate, în orice moment, să furnizeze directorului general al Comisiei [sau altui membru al Comisiei] eventuale materiale sau informații care rezultă dintr-o investigație în temeiul titlului 8, inclusiv orice raport întocmit de un funcționar autorizat, și face acest lucru în cazul în care consideră că informațiile pot fi necesare pentru a permite exercitarea corespunzătoare a oricărei competențe în temeiul titlului 10 care i-a fost delegată directorului general al Comisiei [sau altui membru al Comisiei] în temeiul prezentului titlu.</w:t>
      </w:r>
    </w:p>
    <w:p w14:paraId="04BCABA0" w14:textId="77777777" w:rsidR="00375AED" w:rsidRPr="00850779" w:rsidRDefault="00375AED" w:rsidP="004A5780">
      <w:pPr>
        <w:pStyle w:val="ListParagraph"/>
        <w:ind w:left="1440"/>
        <w:jc w:val="both"/>
        <w:rPr>
          <w:rFonts w:ascii="Times New Roman" w:hAnsi="Times New Roman" w:cs="Times New Roman"/>
          <w:lang w:val="en-IE"/>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Orice deficiență a unei delegații în temeiul prezentului titlu sau absența unei delegări în ceea ce privește o competență exercitată de directorul general al Comisiei [sau de un alt membru al Comisiei] acționând cu bună credință în numele Comisiei nu are ca efect anularea exercitării competențelor în temeiul titlului 10 de către directorul general al Comisiei [sau de către un alt membru al Comisiei].</w:t>
      </w:r>
    </w:p>
    <w:p w14:paraId="13115A0C" w14:textId="613F3A09" w:rsidR="00CF5CC6" w:rsidRPr="00835148" w:rsidRDefault="00CF5CC6" w:rsidP="008F5A5A">
      <w:pPr>
        <w:pStyle w:val="Heading1"/>
        <w:keepNext/>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93332"/>
      <w:bookmarkEnd w:id="78"/>
      <w:bookmarkEnd w:id="79"/>
      <w:bookmarkEnd w:id="80"/>
      <w:bookmarkEnd w:id="81"/>
      <w:bookmarkEnd w:id="82"/>
      <w:bookmarkEnd w:id="83"/>
      <w:bookmarkEnd w:id="84"/>
      <w:bookmarkEnd w:id="85"/>
      <w:bookmarkEnd w:id="86"/>
      <w:bookmarkEnd w:id="87"/>
      <w:bookmarkEnd w:id="88"/>
      <w:r>
        <w:t>Titlul 9: Cerințe privind exercitarea competențelor Comisiei în temeiul prezentei părți</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Comisia își exercită competențele în temeiul titlului 10 numai în cazul în care Comisia este convinsă că este în interesul public să facă acest lucru, având în vedere toate circumstanțele, inclusiv drepturile oricărei persoane despre care Comisia cunoaște că pot fi afectate de exercitarea acestor competențe.</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Fără a aduce atingere alineatului (1), Comisia acordă atenția cuvenită, atunci când analizează exercitarea competențelor prevăzute la titlul 10, următoarelor aspecte:</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dreptul constituțional la libertatea de exprimare;</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dreptul constituțional la libertatea de asociere;</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dreptul constituțional de a participa la afacerile publice; și</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obligația constituțională a statului de a apăra și de a asigura corectitudinea și integritatea alegerilor și referendumurilor.</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În plus, atunci când analizează exercitarea competențelor prevăzute la titlul 10, Comisia are în vedere următoarele aspecte: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necesitatea de a asigura utilizarea economică și eficientă a resurselor Comisiei;</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importanța amenințării în cauză, întrucât se referă la integritatea și corectitudinea generală a alegerilor sau referendumului;</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eventualele orientări publicate în conformitate cu alineatul (3) din prezentul titlu.</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Comisia instituie orientări pentru a informa exercitarea corespunzătoare a competențelor Comisiei în temeiul prezentei părți de către Comisie sau, în cazul în care a fost emis un ordin de delegare în temeiul titlului 8A, de către directorul general al Comisiei [sau un alt membru al Comisiei]. Aceste orientări pot include:</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măsuri care să garanteze că exercitarea competențelor Comisiei este transparentă pentru public și în conformitate cu cele mai bune practici internaționale;</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măsuri de orientare a evaluării de către Comisie a pragului de semnificație în scopul exercitării competențelor sale în temeiul prezentului titlu sau al oricăreia dintre acestea.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Orice notificare sau ordin emis în temeiul titlului 10: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include o motivare a opiniei Comisiei potrivit căreia este oportun să se </w:t>
      </w:r>
      <w:r>
        <w:rPr>
          <w:rFonts w:ascii="Times New Roman" w:hAnsi="Times New Roman"/>
        </w:rPr>
        <w:lastRenderedPageBreak/>
        <w:t>emită o astfel de notificare sau ordin;</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precizează ora și data până la care persoana căreia îi este adresată notificarea sau ordinul trebuie să se conformeze notificării sau ordinului;</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precizează data și ora până la care persoana căreia i se adresează o notificare sau un ordin trebuie să confirme Comisiei că notificarea sau ordinul a fost respectat;</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precizează că persoana căreia i se adresează notificarea sau ordinul poate contesta notificarea sau ordinul în temeiul titlului 15 și că o astfel de cale de atac trebuie introdusă prin intermediul portalului de pe site-ul internet al Comisiei în termen de șapte zile de la emiterea notificării sau a ordinului;</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precizează că, în cazul în care o astfel de cale de atac nu este formulată în conformitate cu titlul 15, formularea notificării sau a ordonanței este considerată necontestată;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precizează că nerespectarea unei notificări sau a unui ordin poate duce la impunerea unei amenzi administrative; și</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precizează că reprezintă o infracțiune neconformarea cu o notificare sau un ordin emis în temeiul titlului 10.</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Pentru a evita orice îndoială, Comisia poate stabili că este oportun, având în vedere toate circumstanțele, să se emită mai multe notificări sau ordine în legătură cu același conținut sau comportament online.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9333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Titlul 10: Competențele Comisiei</w:t>
      </w:r>
      <w:bookmarkEnd w:id="435"/>
    </w:p>
    <w:p w14:paraId="69E362D2" w14:textId="5A36DF05" w:rsidR="003C524C" w:rsidRPr="00835148" w:rsidRDefault="003C524C" w:rsidP="00F6269D">
      <w:pPr>
        <w:pStyle w:val="Heading2"/>
      </w:pPr>
      <w:bookmarkStart w:id="436" w:name="_Toc106193334"/>
      <w:r>
        <w:t>Titlul 10(i): Competența de a emite o notificare de retragere</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Prezentul titlu prevede că:</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În cazul în care:</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în perioada de campanie electorală, Comisia este convinsă de informațiile disponibile, indiferent dacă au fost obținute prin monitorizarea de către aceasta a informațiilor electorale online sau furnizate de orice altă persoană sau în alt mod, că o eventuală informație electorală online constituie dezinformare; sau</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în orice moment, Comisia este convinsă de informațiile disponibile, indiferent dacă au fost obținute prin monitorizarea informațiilor electorale online sau furnizate de orice altă persoană sau în alt mod, că o eventuală informație privind procesele electorale online constituie o informare greșită,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lastRenderedPageBreak/>
        <w:t>și Comisia este convinsă că emiterea unei astfel de notificări este necesară pentru a proteja corectitudinea sau integritatea alegerilor sau referendumului, Comisia poate emite o notificare de retragere prin care solicită oricărei persoane fizice sau juridice, inclusiv oricărui operator sau gazdă a oricărei platforme online, să elimine, într-un anumit termen, conținutul la care se referă notificarea de retragere.</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O notificare în temeiul prezentului titlul:</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include o expunere de motive pentru opinia Comisiei conform căreia sunt îndeplinite condițiile prevăzute la alineatul (1);</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include locația exactă online pentru informațiile electorale online menționate la alineatul (1) litera (a) sau (b) și, dacă este necesar, eventualele date suplimentare care permit identificarea informațiilor;</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conține o declarație prevăzută de Comisie cu privire la informațiile electorale online menționate la alineatul (1) litera (a) sau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informează destinatarul că trebuie să depună declarația de la litera (c) la locația online menționată la litera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informează destinatarul cu privire la dreptul de a introduce o cale de atac în conformitate cu titlul 15 în termen de cinci zile.</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Declarația menționată la alineatul (3) litera (c) precizează în mod clar: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este vorba despre o declarație prescrisă care trebuie publicată în temeiul unei notificări de retragere emise de Comisie, în temeiul căreia eliminarea anumitor conținuturi vizibile în locația online respectivă a fost solicitată de Comisie în temeiul prezentului titlu;</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această acțiune a fost întreprinsă deoarece conținutul publicat anterior la locația respectivă a constituit dezinformare sau informare greșită;</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un rezumat al motivelor pentru care Comisia consideră că este necesar să se solicite eliminarea informațiilor cu scopul de a proteja corectitudinea sau integritatea alegerilor sau referendumului, după caz; și</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orice persoană fizică sau juridică direct afectată de notificare poate contesta notificarea în temeiul titlului 15 în termen de cinci zile.</w:t>
      </w:r>
    </w:p>
    <w:p w14:paraId="75DC705B" w14:textId="2F2F5DC7" w:rsidR="003C524C" w:rsidRPr="00835148" w:rsidRDefault="003C524C" w:rsidP="00F6269D">
      <w:pPr>
        <w:pStyle w:val="Heading2"/>
        <w:spacing w:before="480" w:after="240"/>
      </w:pPr>
      <w:bookmarkStart w:id="437" w:name="_Toc97143779"/>
      <w:bookmarkStart w:id="438" w:name="_Toc106193335"/>
      <w:bookmarkEnd w:id="437"/>
      <w:r>
        <w:lastRenderedPageBreak/>
        <w:t>Titlul 10(ii): Competența de a emite o notificare de corectare</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Prezentul titlu prevede că:</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În cazul în care:</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în perioada de campanie electorală, Comisia este convinsă de informațiile disponibile, indiferent dacă au fost obținute prin monitorizarea de către aceasta a informațiilor electorale online sau furnizate de orice altă persoană sau în alt mod, că o eventuală informație electorală online constituie dezinformare; sau</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în orice moment, Comisia este convinsă de informațiile disponibile, indiferent dacă au fost obținute prin monitorizarea de către aceasta a informațiilor electorale online sau furnizate de orice altă persoană sau în alt mod, că o eventuală informație privind procesele electorale online constituie o informare greșită,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și Comisia este convinsă că emiterea unei astfel de notificări este necesară pentru a proteja corectitudinea sau integritatea alegerilor sau referendumului, aceasta poate emite o notificare de corectare prin care să solicite oricărei persoane fizice sau juridice căreia îi este adresată, inclusiv orice operator sau gazdă a unei platforme online, să comunice tuturor utilizatorilor finali o declarație prescrisă de Comisie în temeiul prezentului titlu.</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O notificare în temeiul prezentului titlul:</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include o expunere de motive pentru opinia </w:t>
      </w:r>
      <w:bookmarkStart w:id="439" w:name="_Hlk103674927"/>
      <w:r>
        <w:rPr>
          <w:rFonts w:ascii="Times New Roman" w:hAnsi="Times New Roman"/>
        </w:rPr>
        <w:t>Comisiei</w:t>
      </w:r>
      <w:bookmarkEnd w:id="439"/>
      <w:r>
        <w:rPr>
          <w:rFonts w:ascii="Times New Roman" w:hAnsi="Times New Roman"/>
        </w:rPr>
        <w:t xml:space="preserve"> conform căreia sunt îndeplinite condițiile de la alineatul (1);</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include locația exactă online pentru informațiile electorale online menționate la alineatul (1) litera (a) sau (b) și, dacă este necesar, eventualele date suplimentare care permit identificarea informațiilor;</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conține o declarație prevăzută de Comisie cu privire la informațiile electorale online menționate la alineatul (1) litera (a) sau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informează destinatarul că trebuie să depună declarația de la litera (c) la locația online menționată la litera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informează destinatarul cu privire la dreptul de a introduce o cale de atac în conformitate cu titlul 15 în termen de cinci zile.</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Declarația menționată la alineatul (3) litera (c) precizează în mod clar:</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că este vorba despre o declarație prescrisă care trebuie publicată în temeiul unei notificări de corectare emise de Comisie, în temeiul căreia </w:t>
      </w:r>
      <w:r>
        <w:rPr>
          <w:rFonts w:ascii="Times New Roman" w:hAnsi="Times New Roman"/>
        </w:rPr>
        <w:lastRenderedPageBreak/>
        <w:t>Comisia a solicitat corectarea anumitor conținuturi vizibile în locația online respectivă în temeiul prezentului titlu;</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această acțiune a fost întreprinsă deoarece conținutul din locația online a constituit dezinformare sau informare greșită;</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un rezumat al motivelor care stau la baza opiniei Comisiei potrivit căreia emiterea unei notificări de corectare a fost adecvată în toate circumstanțele; și</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orice persoană fizică sau juridică direct afectată de notificare poate contesta notificarea în temeiul titlului 15 în termen de cinci zile.</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Declarația menționată la alineatul (3) litera (c) poate conține, de asemenea, oricare sau toate elementele următoare:</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o declarație în care se precizează în ce privințe conținutul a fost fals sau înșelător;</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o declarație corectă a informațiilor; și</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informațiile sau declarațiile suplimentare pe care Comisia le consideră adecvate având în vedere toate circumstanțele. </w:t>
      </w:r>
    </w:p>
    <w:p w14:paraId="67658C98" w14:textId="74DD1000" w:rsidR="003C524C" w:rsidRPr="00835148" w:rsidRDefault="003C524C" w:rsidP="00F6269D">
      <w:pPr>
        <w:pStyle w:val="Heading2"/>
        <w:spacing w:before="480" w:after="240"/>
      </w:pPr>
      <w:bookmarkStart w:id="440" w:name="_Toc106193336"/>
      <w:r>
        <w:t>Titlul 10 (iii): Competența de a emite un ordin de etichetare</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Prezentul titlu prevede că:</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În cazul în care:</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în perioada de campanie electorală, Comisia este convinsă de informațiile disponibile, indiferent dacă au fost obținute prin monitorizarea de către aceasta a informațiilor electorale online sau furnizate de orice altă persoană sau în alt mod, că o eventuală informație electorală online constituie dezinformare; sau</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în orice moment, Comisia este convinsă de informațiile disponibile, indiferent dacă au fost obținute prin monitorizarea de către aceasta a informațiilor electorale online sau furnizate de orice altă persoană sau în alt mod, că orice informație privind procesele electorale online constituie o informare greșită,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și Comisia este convinsă că emiterea unui astfel de ordin este adecvată în toate circumstanțele, aceasta poate, în așteptarea unei investigații suplimentare din partea Comisiei, să emită un ordin de etichetare prin care solicită platformei online să declare că conținutul vizat este în curs de investigare de către Comisie </w:t>
      </w:r>
      <w:r>
        <w:rPr>
          <w:rFonts w:ascii="Times New Roman" w:hAnsi="Times New Roman"/>
        </w:rPr>
        <w:lastRenderedPageBreak/>
        <w:t xml:space="preserve">în temeiul prezentei părți pentru a stabili dacă acesta constituie sau nu o dezinformare sau o informare greșită.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Un ordin emis în temeiul prezentului titlu:</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include o expunere de motive pentru opinia Comisiei conform căreia sunt îndeplinite condițiile prevăzute la alineatul (1);</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include locația exactă online pentru informațiile electorale online menționate la alineatul (1) litera (a) sau (b) și, dacă este necesar, eventualele date suplimentare care permit identificarea informațiilor;</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conține o declarație prevăzută de Comisie cu privire la informațiile electorale online menționate la alineatul (1) litera (a) sau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informează destinatarul că trebuie să depună declarația de la litera (c) la locația online menționată la litera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informează destinatarul cu privire la dreptul de a introduce o cale de atac împotriva ordinului în temeiul titlului 15 în termen de cinci zile.</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Declarația menționată la alineatul (3) litera (c) precizează în mod clar: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că este vorba despre o declarație care trebuie publicată în temeiul unui ordin de etichetare emis de Comisie în temeiul prezentului titlu, în cazul în care consideră că declarația poate conține dezinformare sau informare greșită;</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faptul că emiterea ordinului nu este o determinare a faptului că conținutul este fie o dezinformare, fie o informare greșită;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un rezumat al motivelor pentru care Comisia consideră că sunt îndeplinite cerințele de la alineatul (1);</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se va stabili dacă conținutul este dezinformare sau informare greșită, în așteptarea unei investigații suplimentare; și</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că orice persoană fizică sau juridică direct afectată de ordin poate contesta ordinul în temeiul titlului 15 în termen de cinci zile.</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Ordinul poate conține, de asemenea, informațiile sau declarațiile suplimentare pe care Comisia le consideră adecvate având în vedere toate circumstanțele.</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Comisia ia decizia menționată la alineatul (3) litera (d) de îndată ce este posibil în mod rezonabil și, ulterior:</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 xml:space="preserve">oferă o indicație persoanei căreia i s-a adresat ordinul de etichetare prin care informează persoana respectivă cu privire la revocarea ordinului de etichetare; sau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poate exercita orice altă competență pe care o consideră necesară.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În cazul în care Comisia oferă indicațiile menționate la alineatul (6) litera (a), declarația prescrisă la alineatul (3) se elimină. </w:t>
      </w:r>
    </w:p>
    <w:p w14:paraId="309394E6" w14:textId="6B40018E" w:rsidR="003C524C" w:rsidRPr="00835148" w:rsidRDefault="003C524C" w:rsidP="00F6269D">
      <w:pPr>
        <w:pStyle w:val="Heading2"/>
        <w:spacing w:before="480" w:after="240"/>
      </w:pPr>
      <w:bookmarkStart w:id="441" w:name="_Toc106193337"/>
      <w:r>
        <w:t>Titlul 10(iv): Competența de a emite un ordin de blocare a accesului</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Prezentul titlu prevede că:</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În cazul în care:</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în perioada de campanie electorală, Comisia este convinsă informațiile disponibile, indiferent dacă au fost obținute prin monitorizarea de către aceasta a informațiilor electorale online sau furnizate de orice altă persoană sau în alt mod, în legătură cu o locație online identificată anterior, că o eventuală informație electorală online constituie dezinformare; sau</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în orice moment, indiferent dacă în perioada electorală [sau în perioada de campanie electorală] sau în altă perioadă, Comisia este convinsă de informațiile disponibile, indiferent dacă au fost obținute prin monitorizarea de către aceasta a informațiilor electorale online sau furnizate de orice altă persoană sau în alt mod, în legătură cu o locație online identificată anterior, că o eventuală informație privind procesele electorale online constituie o informare greșită,</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și Comisia este convinsă că emiterea unui astfel de ordin este necesară pentru a proteja corectitudinea sau integritatea alegerilor sau referendumului, aceasta poate emite un ordin de blocare a accesului prin care să solicite oricărui operator sau gazdă a unei platforme online să ia măsuri rezonabile pentru a bloca accesul utilizatorilor finali la locația online.</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O „locație online identificată anterior” în sensul prezentului titlu este o locație online în care două sau mai multe articole anterioare diferite de conținut online au făcut obiectul unor notificări în temeiul prezentului titlu în aceeași perioadă electorală, perioada electorală fiind aceeași cu perioada electorală pentru care se propune emiterea ordinului de blocare a accesului.</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Un ordin emis în temeiul prezentului titlu:</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include o expunere de motive pentru opinia Comisiei conform căreia sunt îndeplinite condițiile prevăzute la alineatul (1);</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include locația online precisă identificată anterior pentru informațiile electorale online menționate la alineatul (1) litera (a) sau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conține o declarație prescrisă de Comisie cu privire la locația online identificată anterior;</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informează destinatarul că trebuie să depună declarația de la litera (c) la locația online identificată anterior menționată la litera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informează destinatarul cu privire la dreptul de a introduce o cale de atac împotriva ordinului în temeiul titlului 15 în termen de cinci zile.</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Declarația menționată la alineatul (3) litera (c) precizează în mod clar: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că a fost emis un ordin de blocare a accesului în temeiul prezentului titlu;</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 rezumat al motivelor care au stat la baza deciziei Comisiei; și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informațiile suplimentare care pot fi prevăzute de orientări sau considerate necesare sau adecvate de către Comisie în toate circumstanțele.</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Ordinul poate conține, de asemenea, informațiile sau declarațiile suplimentare pe care Comisia le consideră adecvate având în vedere toate circumstanțele.</w:t>
      </w:r>
    </w:p>
    <w:p w14:paraId="10614316" w14:textId="276DB608" w:rsidR="003C524C" w:rsidRPr="00835148" w:rsidRDefault="003C524C" w:rsidP="00F6269D">
      <w:pPr>
        <w:pStyle w:val="Heading2"/>
        <w:spacing w:before="480" w:after="240"/>
        <w:jc w:val="both"/>
      </w:pPr>
      <w:bookmarkStart w:id="442" w:name="_Toc106193338"/>
      <w:r>
        <w:t>Titlul 10(v): Competențe de reglementare a comportamentului de natură manipulatoare sau neautentică, inclusiv activitatea botului nedivulgat</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Prezentul titlu prevede că: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În cazul în care, în timpul campaniei electorale, Comisia este convinsă că:</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activitatea botului care constituie un comportament de natură manipulatoare sau neautentică sau utilizarea unui bot nedivulgat contrar titlului 24 are loc sau a avut loc; și</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emiterea unei notificări în temeiul acestui subtitlu este necesară pentru a proteja corectitudinea sau integritatea alegerilor sau referendumului;</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Comisia poate emite o notificare prin care să solicite oricărui operator sau gazdă a oricărei platforme online să publice o declarație prin care să îi informeze pe toți utilizatorii finali afectați cu privire la comportamentul de natură manipulatoare sau neautentică sau la utilizarea unui bot nedivulgat care contravine titlului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Declarația care trebuie publicată în conformitate cu alineatul (1) precizează în mod clar: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că, în temeiul prezentului titlu, Comisia a emis o notificare de identificare a activității botului </w:t>
      </w:r>
      <w:r>
        <w:rPr>
          <w:rFonts w:ascii="Times New Roman" w:hAnsi="Times New Roman"/>
        </w:rPr>
        <w:t>care constituie un comportament de natură manipulatoare sau neautentică</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că această acțiune a fost întreprinsă deoarece activitatea botului a amenințat corectitudinea sau integritatea viitoarelor alegeri sau referendumuri;</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o expunere de motive </w:t>
      </w:r>
      <w:r>
        <w:rPr>
          <w:rFonts w:ascii="Times New Roman" w:hAnsi="Times New Roman"/>
          <w:bdr w:val="none" w:sz="0" w:space="0" w:color="auto" w:frame="1"/>
        </w:rPr>
        <w:t xml:space="preserve"> pentru opinia Comisiei potrivit căreia este oportun să se solicite etichetarea activității în toate circumstanțele; și</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că orice persoană fizică sau juridică direct afectată de notificare poate contesta notificarea în temeiul titlului 15 în termen de cinci zile.</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În cazul în care, în cursul perioadei electorale, Comisia este convinsă că:</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a apărut un comportament de natură manipulatoare sau neautentică (inclusiv în cazul în care un astfel de comportament implică utilizarea de boți); și</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emiterea unei notificări în temeiul acestui subtitlu este necesară pentru a proteja corectitudinea sau integritatea alegerilor sau referendumului;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Comisia poate emite o notificare prin care să solicite oricărui operator sau gazdă a unei platforme online să ia măsuri rezonabile pentru a elimina sau a preveni un astfel de comportament.</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O notificare în temeiul alineatului (3) precizează în mod clar că:</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Comisia, în temeiul prezentului titlu, a emis o notificare prin care solicită încetarea comportamentului în cauză deoarece a fost identificat ca fiind </w:t>
      </w:r>
      <w:r>
        <w:rPr>
          <w:rFonts w:ascii="Times New Roman" w:hAnsi="Times New Roman"/>
        </w:rPr>
        <w:t>comportament de natură manipulatoare sau neautentică</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această acțiune a fost întreprinsă de Comisie deoarece activitatea identificată amenința corectitudinea sau integritatea viitoarelor alegeri sau referendumuri; și</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o expunere de motive </w:t>
      </w:r>
      <w:r>
        <w:rPr>
          <w:rFonts w:ascii="Times New Roman" w:hAnsi="Times New Roman"/>
          <w:bdr w:val="none" w:sz="0" w:space="0" w:color="auto" w:frame="1"/>
        </w:rPr>
        <w:t>pentru opinia Comisiei potrivit căreia este oportun să se solicite eliminarea informațiilor; și</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că orice persoană fizică sau juridică direct afectată de notificare poate contesta notificarea în temeiul titlului 15 în termen de cinci zile</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93339"/>
      <w:bookmarkEnd w:id="443"/>
      <w:bookmarkEnd w:id="444"/>
      <w:bookmarkEnd w:id="445"/>
      <w:r>
        <w:t>[Titlul 11 a fost eliminat]</w:t>
      </w:r>
      <w:bookmarkEnd w:id="446"/>
    </w:p>
    <w:p w14:paraId="18188DF2" w14:textId="449D75DA" w:rsidR="00351F7D" w:rsidRPr="00835148" w:rsidRDefault="00351F7D" w:rsidP="00883C74">
      <w:pPr>
        <w:pStyle w:val="Heading1"/>
      </w:pPr>
      <w:bookmarkStart w:id="447" w:name="_Toc106193340"/>
      <w:r>
        <w:lastRenderedPageBreak/>
        <w:t>Titlul 12: Cerere în instanță de emitere a unui ordin de executare a unei notificări sau a unui ordin</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Prezentul titlu prevede că:</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Comisia poate solicita Înaltei Curți un ordin de executare a unei notificări sau a unui ordin emis în temeiul titlului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O astfel de cerere se face la notificarea persoanei căreia i-a fost trimisă notificarea sau ordinul de către Comisie. </w:t>
      </w:r>
    </w:p>
    <w:p w14:paraId="5E0785DB" w14:textId="67DB838A" w:rsidR="00351F7D" w:rsidRPr="00835148" w:rsidRDefault="00351F7D" w:rsidP="00883C74">
      <w:pPr>
        <w:pStyle w:val="Heading1"/>
      </w:pPr>
      <w:bookmarkStart w:id="448" w:name="_Toc106193341"/>
      <w:r>
        <w:t>Titlul 13: Competența de a emite avertismente publicului cu privire la activitățile care pot interfera cu corectitudinea sau integritatea alegerilor sau referendumului</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Prezentul titlu prevede că:</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Comisia poate comunica cu publicul sau cu orice secțiune a publicului în legătură cu informații electorale online false [sau înșelătoare], informații false [sau înșelătoare] privind procesele electorale sau utilizarea unui comportament de natură manipulatoare sau neautentică ori de câte ori consideră că o astfel de comunicare este adecvată pentru promovarea funcțiilor sale educaționale sau de altă natură.</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asemenea, Comisia poate emite avertismente publicului, ori de câte ori consideră că există o amenințare la adresa corectitudinii sau integrității alegerilor sau referendumului, astfel încât este în interesul public să atragă atenția asupra unei astfel de amenințări percepute. Orice astfel de comunicare poate, printre altele, să specifice natura, sursa și gravitatea amenințării percepute, precum și eventualele acțiuni pe care Comisia intenționează să le întreprindă sau să le ia în considerare în legătură cu aceasta, precum și eventualele recomandări de acțiune din partea publicului sau a altor persoane în legătură cu aceasta. </w:t>
      </w:r>
    </w:p>
    <w:p w14:paraId="01439B97" w14:textId="1CBD8DEF" w:rsidR="00351F7D" w:rsidRPr="00835148" w:rsidRDefault="00351F7D" w:rsidP="00883C74">
      <w:pPr>
        <w:pStyle w:val="Heading1"/>
      </w:pPr>
      <w:bookmarkStart w:id="449" w:name="_Toc106193342"/>
      <w:r>
        <w:t>Titlul 14: Mecanism prin care publicul poate raporta cazurile suspectate de dezinformare, de informare greșită și de comportament de natură manipulatoare sau neautentică</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Prezentul titlu prevede că:</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Comisia poate pune la dispoziție o facilitate de raportare directă pe site-ul său propriu care să permită membrilor publicului să raporteze:</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lastRenderedPageBreak/>
        <w:t>cazuri suspectate de dezinformare în perioada electorală [sau în perioada de campanie electorală];</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cazurile suspectate de informare greșită în orice moment; sau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comportament de natură manipulatoare sau neautentică suspectat, inclusiv utilizarea nedivulgată a boților, în perioada electorală [sau perioada de campanie electorală].</w:t>
      </w:r>
    </w:p>
    <w:p w14:paraId="11CA4728" w14:textId="1F80FCE0" w:rsidR="00351F7D" w:rsidRPr="008273CD" w:rsidRDefault="00351F7D" w:rsidP="008273CD">
      <w:pPr>
        <w:pStyle w:val="Heading1"/>
        <w:jc w:val="center"/>
        <w:rPr>
          <w:sz w:val="28"/>
          <w:szCs w:val="28"/>
        </w:rPr>
      </w:pPr>
      <w:bookmarkStart w:id="450" w:name="_Toc106193343"/>
      <w:r>
        <w:rPr>
          <w:sz w:val="28"/>
        </w:rPr>
        <w:t>Capitolul 4: Drepturi procedurale</w:t>
      </w:r>
      <w:bookmarkEnd w:id="450"/>
    </w:p>
    <w:p w14:paraId="27E6F90E" w14:textId="54105180" w:rsidR="003C524C" w:rsidRPr="00835148" w:rsidRDefault="003C524C" w:rsidP="00883C74">
      <w:pPr>
        <w:pStyle w:val="Heading1"/>
      </w:pPr>
      <w:bookmarkStart w:id="451" w:name="_Toc106193344"/>
      <w:r>
        <w:t>Titlul 15: Dreptul de a contesta o notificare sau un ordin</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Prezentul titlu prevede că</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o cale de atac poate fi introdusă la o comisie de apel a Comisiei cu privire la orice notificare sau ordin notificat în temeiul titlului 10, în termen de cel mult trei zile de la data trimiterii notificării sau a ordinului, dar formularea unei căi de atac nu afectează, până la soluționarea căii de atac, executarea notificării sau a ordinului, cu excepția cazului în care, având în vedere existența unor circumstanțe excepționale, comisia de apel hotărăște altfel;</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o cale de atac în temeiul literei (a) poate fi introdusă de orice persoană fizică sau juridică direct afectată de notificare sau de ordin, inclusiv de o platformă online;</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nu se acceptă nicio cale de atac, cu excepția cazului în care aceasta a fost introdusă de o persoană fizică (fie în nume propriu, fie în numele unei persoane juridice desemnate), iar această persoană fizică furnizează numărul său PPS, numărul de telefon de contact și respectă celelalte cerințe care pot fi prescrise pentru a asigura buna credință a reclamantului, astfel cum poate fi specificat de Comisie.</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O cale de atac formulată în temeiul alineatului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se realizează în scris prin intermediul unui portal pus la dispoziție pe site-ul web al Comisiei în acest scop;</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indică toate motivele pentru care este formulată calea de atac și furnizează comisiei de apel toate documentele și elementele de probă care urmează să fie invocate în susținerea acestor motive; și </w:t>
      </w:r>
    </w:p>
    <w:p w14:paraId="0DEB6A4E" w14:textId="327C0A1F" w:rsidR="007A3BB8" w:rsidRPr="003A319A" w:rsidRDefault="004D74F5" w:rsidP="008273CD">
      <w:pPr>
        <w:spacing w:before="240" w:after="240"/>
        <w:ind w:left="1440"/>
        <w:jc w:val="both"/>
      </w:pPr>
      <w:r>
        <w:rPr>
          <w:rFonts w:ascii="Times New Roman" w:hAnsi="Times New Roman"/>
        </w:rPr>
        <w:t xml:space="preserve">(c) se adresează președintelui comisiei de apel și se transmite sau se trimite astfel încât să ajungă la președinte în termenul prevăzut la alineatul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O comisie de apel va fi formată din unul sau mai mulți membri ai Comisiei și este independent de factorul de decizie inițial.</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Comisia de apel stabilește calea de atac fără audiere, cu excepția cazului în care, având în vedere circumstanțele specifice ale recursului, consideră că este necesar să organizeze o audiere pentru a stabili corect și echitabil recursul.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Comisia poate adopta astfel de norme și poate stabili astfel de proceduri în legătură cu desfășurarea căilor de atac și a audierilor orale pe care le consideră adecvate și publică normele și procedurile respective pe un site web administrat de Comisie sau în numele acesteia. </w:t>
      </w:r>
    </w:p>
    <w:p w14:paraId="13095EC5" w14:textId="77777777" w:rsidR="007A3BB8" w:rsidRPr="0054587C" w:rsidRDefault="007A3BB8" w:rsidP="0054587C">
      <w:pPr>
        <w:pStyle w:val="ListParagraph"/>
        <w:rPr>
          <w:rFonts w:ascii="Times New Roman" w:hAnsi="Times New Roman" w:cs="Times New Roman"/>
          <w:szCs w:val="24"/>
          <w:lang w:val="en-IE"/>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Președintele comisiei de apel are libertatea de a organiza o audiere în temeiul prezentei secțiuni și desfășoară audierea sau se asigură că audierea se desfășoară rapid și fără formalități nejustificate.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Comisia de apel, pentru soluționarea unei căi de atac în temeiul prezentei secțiuni: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examinează motivele căii de atac declarate în conformitate cu alineatul (2) litera (b);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ia în considerare notificarea sau ordinul, precum și toate celelalte informații în legătură cu notificarea ordinului care, în opinia comisiei de apel, pot fi relevante pentru decizia acesteia; și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poate, în cazul în care consideră necesar sau oportun pentru stabilirea corectă și corectă a căii de atac, să ia în considerare observațiile, documentele sau probele care nu sunt cuprinse în notificarea sau ordinul pe care comisia de apel îl consideră adecvat.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Pentru soluționarea unei căi de atac în temeiul acestei secțiuni, comisia de apel poate, în cazul în care consideră că este rezonabil să facă acest lucru: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să confirme notificarea sau ordinul;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să modifice notificarea sau ordinul în condițiile pe care le consideră adecvate, sau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să anuleze notificarea sau ordinul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În cazul în care, la recurs, comisia de apel modifică notificarea sau ordinul, notificarea sau ordinul astfel cum a fost modificat intră în vigoare imediat la soluționarea căii de atac.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lastRenderedPageBreak/>
        <w:t>În scopul de a asigura soluționarea eficientă, echitabilă și în timp util a unei căi de atac, comisia de apel poate specifica procedurile referitoare la desfășurarea căii de atac.</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Comisia de apel poate solicita în scris informații de la orice persoană în termenul specificat în cerere, pe care o poate solicita în mod rezonabil în scopul exercitării funcțiilor sale în temeiul prezentei secțiuni.</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Constituie o infracțiune introducerea unei căi de atac în numele unei alte persoane sau într-un nume fals sau în numele unei societăți fără consimțământul administratorilor societății respective (sau după cum se prevede în constituția societății).</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O cale de atac este audiată și soluționată de îndată ce este posibil.</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883C74">
      <w:pPr>
        <w:pStyle w:val="Heading1"/>
      </w:pPr>
      <w:bookmarkStart w:id="452" w:name="_Toc106193345"/>
      <w:r>
        <w:t>Titlul 15A: Control jurisdicțional</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Prezentul titlu prevede că</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Nicio dispoziție din prezenta parte nu trebuie interpretată ca limitând dreptul unei persoane afectate de o decizie a Comisiei de a se adresa Înaltei Curți pentru a solicita măsuri corective prin intermediul unei cereri de control jurisdicțional.</w:t>
      </w:r>
    </w:p>
    <w:p w14:paraId="1E952317" w14:textId="581D568D" w:rsidR="00351F7D" w:rsidRPr="008273CD" w:rsidRDefault="00351F7D" w:rsidP="008273CD">
      <w:pPr>
        <w:pStyle w:val="Heading1"/>
        <w:spacing w:before="480"/>
        <w:jc w:val="center"/>
        <w:rPr>
          <w:sz w:val="28"/>
          <w:szCs w:val="28"/>
        </w:rPr>
      </w:pPr>
      <w:bookmarkStart w:id="453" w:name="_Toc106193346"/>
      <w:r>
        <w:rPr>
          <w:sz w:val="28"/>
        </w:rPr>
        <w:t>Capitolul 5: Coduri de conduită</w:t>
      </w:r>
      <w:bookmarkEnd w:id="453"/>
    </w:p>
    <w:p w14:paraId="1582C091" w14:textId="1816809C" w:rsidR="00351F7D" w:rsidRPr="00835148" w:rsidRDefault="00351F7D" w:rsidP="00883C74">
      <w:pPr>
        <w:pStyle w:val="Heading1"/>
      </w:pPr>
      <w:bookmarkStart w:id="454" w:name="_Toc106193347"/>
      <w:r>
        <w:t>Titlul 16: Promulgarea codurilor de conduită</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Prezentul titlu prevede că:</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Comisia poate publica unul sau mai multe coduri de conduită în ceea ce privește informațiile electorale online sau informațiile privind procesele electorale online.</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Un cod menționat la alineatul (1) poate fi adresat unora sau tuturor: platforme online, candidați, părți și/sau părți terțe.</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Înainte de publicarea unui cod de conduită menționat la alineatul (1), Comisia se poate consulta cu consiliul consultativ, cu consiliul părților interesate și/sau cu orice alt grup convocat de Comisie în acest scop.</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Un cod de conduită publicat la alineatul (1) care se referă la informații electorale online, altele decât informațiile privind procesul electoral online, are efect numai pe durata unei perioade electorale.</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Comisia poate stabili dacă un cod de conduită este un cod de conduită opțional sau un cod de conduită obligatoriu.</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La publicarea unui cod de conduită în conformitate cu alineatul (1), Comisia are în vedere următoarele principii și politici:</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necesitatea de a proteja valorile democratice în societate;</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interesul public de a avea un electorat bine informat;</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amenințarea pe care o reprezintă la adresa valorilor democratice informarea greșită și dezinformarea;</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dreptul la libertatea de exprimare;</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dreptul la libertatea de întrunire;</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[a se introduce alte principii și politici, după caz]</w:t>
      </w:r>
    </w:p>
    <w:p w14:paraId="1A292176" w14:textId="01C4BC6F" w:rsidR="00673C0B" w:rsidRPr="008273CD" w:rsidRDefault="00673C0B" w:rsidP="008273CD">
      <w:pPr>
        <w:pStyle w:val="Heading1"/>
        <w:jc w:val="center"/>
        <w:rPr>
          <w:sz w:val="28"/>
          <w:szCs w:val="28"/>
        </w:rPr>
      </w:pPr>
      <w:bookmarkStart w:id="455" w:name="_Toc106193348"/>
      <w:r>
        <w:rPr>
          <w:sz w:val="28"/>
        </w:rPr>
        <w:t>Capitolul 6: Cooperarea cu alte organisme publice</w:t>
      </w:r>
      <w:bookmarkEnd w:id="455"/>
    </w:p>
    <w:p w14:paraId="36F56B55" w14:textId="1305A307" w:rsidR="00673C0B" w:rsidRPr="00835148" w:rsidRDefault="00673C0B" w:rsidP="00883C74">
      <w:pPr>
        <w:pStyle w:val="Heading1"/>
      </w:pPr>
      <w:bookmarkStart w:id="456" w:name="_Toc106193349"/>
      <w:r>
        <w:t>Titlul 17: Comisia se consultă cu alte autorități relevante</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Prezentul titlu prevede că:</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Pe durata perioadei electorale, Comisia se consultă, după caz, cu informațiile primite de la:</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Comisia pentru protecția datelor;</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Comisia de Siguranță Online; și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ministrul comunicațiilor, acționând în calitate de autoritate competentă în temeiul Regulamentelor Uniunii Europene din 2018 (Măsuri pentru un nivel comun ridicat de securitate a rețelelor și a sistemelor informatice în Uniune)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În cazul în care, în cursul unei perioade electorale [sau a unei perioade de campanie electorală] sau în termen de șase luni de la o perioadă electorală anticipată:</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Comisia pentru protecția datelor;</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lastRenderedPageBreak/>
        <w:t xml:space="preserve">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Comisia de Siguranță Online, sau</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ministrul comunicațiilor, acționând în calitate de autoritate competentă în temeiul Regulamentului 2018 privind Uniunea Europeană (Măsuri pentru un nivel comun înalt de securitate a rețelelor și a sistemelor informatice)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primește sau ia cunoștință de informații privind activitățile sau tendințele care intră în sfera sa de competență statutară cu potențiale consecințe pentru o alegere, autoritatea respectivă notifică imediat Comisiei informațiile, activitățile sau tendințele menționate.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Comisia încheie acorduri privind schimbul de date cu organismele menționate la titlul 22 alineatul (1) literele (a)-(d) în sensul </w:t>
      </w:r>
      <w:r>
        <w:rPr>
          <w:rFonts w:ascii="Times New Roman" w:hAnsi="Times New Roman"/>
          <w:u w:val="single"/>
        </w:rPr>
        <w:t>Legii privind partajarea datelor și guvernanța din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193350"/>
      <w:r>
        <w:rPr>
          <w:sz w:val="28"/>
        </w:rPr>
        <w:t xml:space="preserve">Capitolul 7: </w:t>
      </w:r>
      <w:bookmarkStart w:id="458" w:name="_Toc99116983"/>
      <w:bookmarkStart w:id="459" w:name="_Toc99122364"/>
      <w:bookmarkEnd w:id="458"/>
      <w:bookmarkEnd w:id="459"/>
      <w:r>
        <w:rPr>
          <w:sz w:val="28"/>
        </w:rPr>
        <w:t>[ELIMINAT]</w:t>
      </w:r>
      <w:bookmarkEnd w:id="457"/>
    </w:p>
    <w:p w14:paraId="5555D5B7" w14:textId="40896DFF" w:rsidR="00DC775D" w:rsidRPr="00DC775D" w:rsidRDefault="00DC775D" w:rsidP="00883C74">
      <w:pPr>
        <w:pStyle w:val="Heading1"/>
      </w:pPr>
      <w:bookmarkStart w:id="460" w:name="_Toc106193351"/>
      <w:r>
        <w:t>[Titlurile 18-20 se elimină]</w:t>
      </w:r>
      <w:bookmarkEnd w:id="460"/>
    </w:p>
    <w:p w14:paraId="630C691C" w14:textId="1F063181" w:rsidR="003C524C" w:rsidRPr="008273CD" w:rsidRDefault="00351F7D" w:rsidP="008273CD">
      <w:pPr>
        <w:pStyle w:val="Heading1"/>
        <w:spacing w:before="480"/>
        <w:jc w:val="center"/>
        <w:rPr>
          <w:sz w:val="28"/>
          <w:szCs w:val="28"/>
        </w:rPr>
      </w:pPr>
      <w:bookmarkStart w:id="461" w:name="_Toc106193352"/>
      <w:r>
        <w:rPr>
          <w:sz w:val="28"/>
        </w:rPr>
        <w:t>Capitolul 8: Infracțiuni și sancțiuni</w:t>
      </w:r>
      <w:bookmarkEnd w:id="461"/>
    </w:p>
    <w:p w14:paraId="6E2943F7" w14:textId="3308F153" w:rsidR="003C524C" w:rsidRPr="00835148" w:rsidRDefault="003C524C" w:rsidP="00883C74">
      <w:pPr>
        <w:pStyle w:val="Heading1"/>
      </w:pPr>
      <w:bookmarkStart w:id="462" w:name="_Toc106193353"/>
      <w:r>
        <w:t>Titlul 21: Infracțiunea de nerespectare a unei notificări sau a unui ordin emis în temeiul titlului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Prezentul titlu prevede că:</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Constituie infracțiune nerespectarea oricărei notificări sau oricărui ordin emis în temeiul titlului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O persoană găsită vinovată de o infracțiune în temeiul prezentului titlu este pasibilă:</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în caz de condamnare sumară, la plata unei amenzi din clasa A sau la închisoare pe o perioadă care nu depășește 12 luni sau ambele sau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în cazul condamnării conform acuzării, la plata unei amenzi sau la închisoare pe o perioadă care nu depășește cinci ani sau ambele.</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93354"/>
      <w:bookmarkEnd w:id="463"/>
      <w:bookmarkEnd w:id="464"/>
      <w:bookmarkEnd w:id="465"/>
      <w:bookmarkEnd w:id="466"/>
      <w:bookmarkEnd w:id="467"/>
      <w:bookmarkEnd w:id="468"/>
      <w:bookmarkEnd w:id="469"/>
      <w:bookmarkEnd w:id="470"/>
      <w:r>
        <w:t>Titlul 22: Infracțiunea de încălcare a unui cod de conduită obligatoriu</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Prezentul titlu prevede că: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Constituie infracțiune ca o persoană căreia i se aplică un cod de conduită obligatoriu să nu respecte codul de conduită respectiv în perioada relevantă de aplicare a codului de conduită.</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O persoană găsită vinovată de o infracțiune în temeiul prezentului titlu este pasibilă:</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în caz de condamnare sumară, la plata unei amenzi din clasa A sau la închisoare pe o perioadă care nu depășește 12 luni sau ambele sau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în cazul condamnării conform acuzării, la plata unei amenzi sau la închisoare pe o perioadă care nu depășește cinci ani sau ambele.</w:t>
      </w:r>
    </w:p>
    <w:p w14:paraId="316B003E" w14:textId="0274888B" w:rsidR="00CA2822" w:rsidRPr="00835148" w:rsidRDefault="00CA2822" w:rsidP="00883C74">
      <w:pPr>
        <w:pStyle w:val="Heading1"/>
      </w:pPr>
      <w:bookmarkStart w:id="472" w:name="_Toc106193355"/>
      <w:r>
        <w:t>Titlul 23: Infracțiuni legate de dezinformare și informare greșită</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Prezentul titlu prevede că: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 persoană sau orice director al unui organism sau al unei asociații care, în cursul perioadei electorale [sau al perioadei de campanie electorală], cu intenția de a influența rezultatele unei alegeri sau ale unui referendum sau de a ataca corectitudinea sau integritatea alegerilor sau referendumului respectiv, efectuează sau publică: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o declarație falsă privind retragerea unui candidat din alegeri; sau</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o declarație de fapt falsă cu intenția de a determina unul sau mai mulți alegători să se abțină de la vot, inclusiv, dar fără a se limita la o declarație, constituie o informare greșită în sensul titlului 1; sau</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o declarație online care pretinde a fi a unei alte persoane;</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se face vinovată de o infracțiune, cu excepția cazului în care persoana respectivă poate demonstra că a avut motive întemeiate să creadă și a crezut că declarația a fost adevărată.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 persoană găsită vinovată de o infracțiune în temeiul prezentului titlu este pasibilă:</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în caz de condamnare sumară, la plata unei amenzi din clasa A sau la închisoare pe o perioadă care nu depășește 12 luni sau ambele sau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în cazul condamnării conform acuzării, la plata unei amenzi sau la închisoare pe o perioadă care nu depășește cinci ani sau ambele.</w:t>
      </w:r>
    </w:p>
    <w:p w14:paraId="0DD378A1" w14:textId="5BE0B54F" w:rsidR="00CA2822" w:rsidRPr="00835148" w:rsidRDefault="00CA2822" w:rsidP="008F5A5A">
      <w:pPr>
        <w:pStyle w:val="Heading1"/>
        <w:keepNext/>
      </w:pPr>
      <w:bookmarkStart w:id="473" w:name="_Toc106193356"/>
      <w:r>
        <w:t>Titlul 24: Infracțiunea de utilizare a unui bot nedivulgat pentru a induce în eroare persoane în scopul influențării unei alegeri</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lastRenderedPageBreak/>
        <w:t>Prezentul titlu prevede că:</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Orice persoană care folosește cu bună știință un bot sau determină utilizarea unui bot, astfel încât să genereze mai multe prezențe online care:</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sunt îndreptate spre influențarea rezultatului unei alegeri sau al unui referendum;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sunt concepute sau destinate să inducă în eroare persoanele cu privire la identitatea artificială a boților, și</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poate cauza prejudicii publice</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se face vinovată de infracțiune.</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Trebuie să se demonstreze că utilizarea botului a fost dezvăluită într-un mod clar, vizibil și concepută în mod rezonabil pentru a informa persoanele cu care botul a interacționat sau comunicat sau a fost destinat să interacționeze sau să comunice că este un bot.</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 persoană găsită vinovată de o infracțiune în temeiul prezentului titlu este pasibilă:</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în caz de condamnare sumară, la plata unei amenzi din clasa A sau la închisoare pe o perioadă care nu depășește 12 luni sau ambele sau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în cazul condamnării conform acuzării, la plata unei amenzi sau la închisoare pe o perioadă care nu depășește cinci ani sau ambele.</w:t>
      </w:r>
    </w:p>
    <w:p w14:paraId="06DE4E50" w14:textId="40C556CE" w:rsidR="00DC775D" w:rsidRDefault="00DC775D" w:rsidP="003354AE">
      <w:pPr>
        <w:pStyle w:val="Heading1"/>
      </w:pPr>
      <w:bookmarkStart w:id="474" w:name="_Toc106193357"/>
      <w:r>
        <w:t>[Titlul 25 a fost eliminat]</w:t>
      </w:r>
      <w:bookmarkEnd w:id="474"/>
    </w:p>
    <w:p w14:paraId="36798607" w14:textId="734DB324" w:rsidR="00CA2822" w:rsidRPr="00835148" w:rsidRDefault="00CA2822" w:rsidP="00883C74">
      <w:pPr>
        <w:pStyle w:val="Heading1"/>
      </w:pPr>
      <w:bookmarkStart w:id="475" w:name="_Toc106193358"/>
      <w:r>
        <w:t>Titlul 26: Infracțiunea de nerespectare a obligațiilor impuse platformelor online</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Prezentul titlu prevede că:</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Nerespectarea de către o platformă online a obligațiilor care îi revin în temeiul titlurilor 6 și 7 constituie o infracțiune.</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O persoană găsită vinovată de o infracțiune în temeiul prezentului titlu este pasibilă:</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în caz de condamnare sumară, la plata unei amenzi din clasa A sau la închisoare pe o perioadă care nu depășește 12 luni sau ambele sau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în cazul condamnării conform acuzării, la plata unei amenzi sau la închisoare pe o perioadă care nu depășește cinci ani sau ambele.</w:t>
      </w:r>
    </w:p>
    <w:p w14:paraId="53A21A58" w14:textId="0FC48AF9" w:rsidR="00010433" w:rsidRDefault="00EE2578" w:rsidP="008273CD">
      <w:pPr>
        <w:pStyle w:val="Heading1"/>
        <w:rPr>
          <w:rFonts w:eastAsiaTheme="majorEastAsia"/>
        </w:rPr>
      </w:pPr>
      <w:bookmarkStart w:id="476" w:name="_Toc106193359"/>
      <w:r>
        <w:lastRenderedPageBreak/>
        <w:t>[Titlul 27 a fost eliminat]</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93360"/>
      <w:r>
        <w:rPr>
          <w:sz w:val="28"/>
        </w:rPr>
        <w:t>Capitolul 9: Dispoziții diverse</w:t>
      </w:r>
      <w:bookmarkEnd w:id="479"/>
    </w:p>
    <w:p w14:paraId="67BDB5CB" w14:textId="77AE4C8E" w:rsidR="00C21EA1" w:rsidRPr="00835148" w:rsidRDefault="001E6A2D" w:rsidP="00883C74">
      <w:pPr>
        <w:pStyle w:val="Heading1"/>
      </w:pPr>
      <w:bookmarkStart w:id="480" w:name="_Toc106193361"/>
      <w:r>
        <w:t>Titlul 28: Imunitate de jurisdicție</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Prezentul titlu prevede că:</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Comisia își îndeplinește atribuțiile cu bună credință și în interesul publicului și al electoratului în general, având în vedere resursele disponibile.  Nu se poate introduce nicio acțiune împotriva sa doar ca urmare a unei pretinse neasigurări a obiectivelor sale.</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Nu se poate introduce nicio acțiune împotriva personal împotriva niciunui membru al Comisiei ca urmare a vreunei acțiuni sau omisiuni determinate în exercitarea atribuțiilor sale în temeiul prezentei părți.</w:t>
      </w:r>
    </w:p>
    <w:p w14:paraId="4F37C77D" w14:textId="3D3028BF" w:rsidR="00C8031E" w:rsidRPr="005647BF" w:rsidRDefault="007A44B6" w:rsidP="00883C74">
      <w:pPr>
        <w:pStyle w:val="Heading1"/>
      </w:pPr>
      <w:bookmarkStart w:id="481" w:name="_Toc99549951"/>
      <w:bookmarkStart w:id="482" w:name="_Toc99550700"/>
      <w:bookmarkStart w:id="483" w:name="_Toc106193362"/>
      <w:bookmarkEnd w:id="481"/>
      <w:bookmarkEnd w:id="482"/>
      <w:r>
        <w:t>Titlul 29: Trimiterea notificărilor sau a ordinelor emise în temeiul titlului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Prezentul titlu prevede că:</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Trimiterea unei notificări sau a unui ordin emis în temeiul titlului 10 trebuie să fie în conformitate cu titlul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Notă: dispozițiile prezentului titlu sunt adaptate din articolul 154 din Legea privind administrația locală din 2001 (astfel cum a fost modificată).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195946">
    <w:abstractNumId w:val="60"/>
  </w:num>
  <w:num w:numId="2" w16cid:durableId="1055816342">
    <w:abstractNumId w:val="76"/>
  </w:num>
  <w:num w:numId="3" w16cid:durableId="1444766000">
    <w:abstractNumId w:val="56"/>
  </w:num>
  <w:num w:numId="4" w16cid:durableId="2132748774">
    <w:abstractNumId w:val="50"/>
  </w:num>
  <w:num w:numId="5" w16cid:durableId="61760336">
    <w:abstractNumId w:val="101"/>
  </w:num>
  <w:num w:numId="6" w16cid:durableId="1105274193">
    <w:abstractNumId w:val="103"/>
  </w:num>
  <w:num w:numId="7" w16cid:durableId="1964262995">
    <w:abstractNumId w:val="87"/>
  </w:num>
  <w:num w:numId="8" w16cid:durableId="2138598056">
    <w:abstractNumId w:val="72"/>
  </w:num>
  <w:num w:numId="9" w16cid:durableId="548611158">
    <w:abstractNumId w:val="26"/>
  </w:num>
  <w:num w:numId="10" w16cid:durableId="847450467">
    <w:abstractNumId w:val="30"/>
  </w:num>
  <w:num w:numId="11" w16cid:durableId="1902671684">
    <w:abstractNumId w:val="22"/>
  </w:num>
  <w:num w:numId="12" w16cid:durableId="428164466">
    <w:abstractNumId w:val="67"/>
  </w:num>
  <w:num w:numId="13" w16cid:durableId="1530407826">
    <w:abstractNumId w:val="65"/>
  </w:num>
  <w:num w:numId="14" w16cid:durableId="1492255480">
    <w:abstractNumId w:val="106"/>
  </w:num>
  <w:num w:numId="15" w16cid:durableId="733117723">
    <w:abstractNumId w:val="36"/>
  </w:num>
  <w:num w:numId="16" w16cid:durableId="1985697047">
    <w:abstractNumId w:val="10"/>
  </w:num>
  <w:num w:numId="17" w16cid:durableId="1567716476">
    <w:abstractNumId w:val="84"/>
  </w:num>
  <w:num w:numId="18" w16cid:durableId="2127457869">
    <w:abstractNumId w:val="41"/>
  </w:num>
  <w:num w:numId="19" w16cid:durableId="1675693034">
    <w:abstractNumId w:val="28"/>
  </w:num>
  <w:num w:numId="20" w16cid:durableId="1582569300">
    <w:abstractNumId w:val="53"/>
  </w:num>
  <w:num w:numId="21" w16cid:durableId="115950720">
    <w:abstractNumId w:val="52"/>
  </w:num>
  <w:num w:numId="22" w16cid:durableId="1284996714">
    <w:abstractNumId w:val="96"/>
  </w:num>
  <w:num w:numId="23" w16cid:durableId="1505903354">
    <w:abstractNumId w:val="21"/>
  </w:num>
  <w:num w:numId="24" w16cid:durableId="1031418867">
    <w:abstractNumId w:val="6"/>
  </w:num>
  <w:num w:numId="25" w16cid:durableId="499780788">
    <w:abstractNumId w:val="7"/>
  </w:num>
  <w:num w:numId="26" w16cid:durableId="1616059349">
    <w:abstractNumId w:val="27"/>
  </w:num>
  <w:num w:numId="27" w16cid:durableId="1517845928">
    <w:abstractNumId w:val="47"/>
  </w:num>
  <w:num w:numId="28" w16cid:durableId="583494232">
    <w:abstractNumId w:val="83"/>
  </w:num>
  <w:num w:numId="29" w16cid:durableId="1111583510">
    <w:abstractNumId w:val="32"/>
  </w:num>
  <w:num w:numId="30" w16cid:durableId="1264992725">
    <w:abstractNumId w:val="23"/>
  </w:num>
  <w:num w:numId="31" w16cid:durableId="1014457767">
    <w:abstractNumId w:val="81"/>
  </w:num>
  <w:num w:numId="32" w16cid:durableId="355883819">
    <w:abstractNumId w:val="16"/>
  </w:num>
  <w:num w:numId="33" w16cid:durableId="2000646047">
    <w:abstractNumId w:val="31"/>
  </w:num>
  <w:num w:numId="34" w16cid:durableId="1540583958">
    <w:abstractNumId w:val="94"/>
  </w:num>
  <w:num w:numId="35" w16cid:durableId="1931351005">
    <w:abstractNumId w:val="19"/>
  </w:num>
  <w:num w:numId="36" w16cid:durableId="310640906">
    <w:abstractNumId w:val="46"/>
  </w:num>
  <w:num w:numId="37" w16cid:durableId="1178496927">
    <w:abstractNumId w:val="89"/>
  </w:num>
  <w:num w:numId="38" w16cid:durableId="1972588379">
    <w:abstractNumId w:val="59"/>
  </w:num>
  <w:num w:numId="39" w16cid:durableId="574509640">
    <w:abstractNumId w:val="42"/>
  </w:num>
  <w:num w:numId="40" w16cid:durableId="1531726435">
    <w:abstractNumId w:val="20"/>
  </w:num>
  <w:num w:numId="41" w16cid:durableId="1412696905">
    <w:abstractNumId w:val="77"/>
  </w:num>
  <w:num w:numId="42" w16cid:durableId="2105026209">
    <w:abstractNumId w:val="98"/>
  </w:num>
  <w:num w:numId="43" w16cid:durableId="389766557">
    <w:abstractNumId w:val="18"/>
  </w:num>
  <w:num w:numId="44" w16cid:durableId="254093732">
    <w:abstractNumId w:val="64"/>
  </w:num>
  <w:num w:numId="45" w16cid:durableId="473450416">
    <w:abstractNumId w:val="39"/>
  </w:num>
  <w:num w:numId="46" w16cid:durableId="703361829">
    <w:abstractNumId w:val="73"/>
  </w:num>
  <w:num w:numId="47" w16cid:durableId="641278975">
    <w:abstractNumId w:val="90"/>
  </w:num>
  <w:num w:numId="48" w16cid:durableId="991716979">
    <w:abstractNumId w:val="60"/>
  </w:num>
  <w:num w:numId="49" w16cid:durableId="892153683">
    <w:abstractNumId w:val="60"/>
  </w:num>
  <w:num w:numId="50" w16cid:durableId="607077995">
    <w:abstractNumId w:val="2"/>
  </w:num>
  <w:num w:numId="51" w16cid:durableId="1916625454">
    <w:abstractNumId w:val="49"/>
  </w:num>
  <w:num w:numId="52" w16cid:durableId="669410056">
    <w:abstractNumId w:val="74"/>
  </w:num>
  <w:num w:numId="53" w16cid:durableId="876818817">
    <w:abstractNumId w:val="78"/>
  </w:num>
  <w:num w:numId="54" w16cid:durableId="985746977">
    <w:abstractNumId w:val="48"/>
  </w:num>
  <w:num w:numId="55" w16cid:durableId="1106658915">
    <w:abstractNumId w:val="3"/>
  </w:num>
  <w:num w:numId="56" w16cid:durableId="1622568099">
    <w:abstractNumId w:val="13"/>
  </w:num>
  <w:num w:numId="57" w16cid:durableId="1285191517">
    <w:abstractNumId w:val="12"/>
  </w:num>
  <w:num w:numId="58" w16cid:durableId="2015256859">
    <w:abstractNumId w:val="60"/>
  </w:num>
  <w:num w:numId="59" w16cid:durableId="675688802">
    <w:abstractNumId w:val="75"/>
  </w:num>
  <w:num w:numId="60" w16cid:durableId="706492381">
    <w:abstractNumId w:val="60"/>
  </w:num>
  <w:num w:numId="61" w16cid:durableId="1984583081">
    <w:abstractNumId w:val="60"/>
  </w:num>
  <w:num w:numId="62" w16cid:durableId="82650469">
    <w:abstractNumId w:val="60"/>
  </w:num>
  <w:num w:numId="63" w16cid:durableId="1372219301">
    <w:abstractNumId w:val="69"/>
  </w:num>
  <w:num w:numId="64" w16cid:durableId="1095322980">
    <w:abstractNumId w:val="60"/>
  </w:num>
  <w:num w:numId="65" w16cid:durableId="1278171489">
    <w:abstractNumId w:val="70"/>
  </w:num>
  <w:num w:numId="66" w16cid:durableId="1201016144">
    <w:abstractNumId w:val="66"/>
  </w:num>
  <w:num w:numId="67" w16cid:durableId="733047876">
    <w:abstractNumId w:val="86"/>
  </w:num>
  <w:num w:numId="68" w16cid:durableId="1631590219">
    <w:abstractNumId w:val="57"/>
  </w:num>
  <w:num w:numId="69" w16cid:durableId="1727293629">
    <w:abstractNumId w:val="92"/>
  </w:num>
  <w:num w:numId="70" w16cid:durableId="1706248633">
    <w:abstractNumId w:val="105"/>
  </w:num>
  <w:num w:numId="71" w16cid:durableId="1643660169">
    <w:abstractNumId w:val="5"/>
  </w:num>
  <w:num w:numId="72" w16cid:durableId="471602523">
    <w:abstractNumId w:val="24"/>
  </w:num>
  <w:num w:numId="73" w16cid:durableId="1974485969">
    <w:abstractNumId w:val="0"/>
  </w:num>
  <w:num w:numId="74" w16cid:durableId="2087221739">
    <w:abstractNumId w:val="88"/>
  </w:num>
  <w:num w:numId="75" w16cid:durableId="460148171">
    <w:abstractNumId w:val="15"/>
  </w:num>
  <w:num w:numId="76" w16cid:durableId="681976823">
    <w:abstractNumId w:val="60"/>
  </w:num>
  <w:num w:numId="77" w16cid:durableId="197476782">
    <w:abstractNumId w:val="60"/>
  </w:num>
  <w:num w:numId="78" w16cid:durableId="1717585845">
    <w:abstractNumId w:val="60"/>
  </w:num>
  <w:num w:numId="79" w16cid:durableId="729350608">
    <w:abstractNumId w:val="60"/>
  </w:num>
  <w:num w:numId="80" w16cid:durableId="1854880088">
    <w:abstractNumId w:val="60"/>
  </w:num>
  <w:num w:numId="81" w16cid:durableId="1435324569">
    <w:abstractNumId w:val="60"/>
  </w:num>
  <w:num w:numId="82" w16cid:durableId="1221280926">
    <w:abstractNumId w:val="60"/>
  </w:num>
  <w:num w:numId="83" w16cid:durableId="206572045">
    <w:abstractNumId w:val="60"/>
  </w:num>
  <w:num w:numId="84" w16cid:durableId="607472423">
    <w:abstractNumId w:val="60"/>
  </w:num>
  <w:num w:numId="85" w16cid:durableId="1037848728">
    <w:abstractNumId w:val="60"/>
  </w:num>
  <w:num w:numId="86" w16cid:durableId="1567301131">
    <w:abstractNumId w:val="8"/>
  </w:num>
  <w:num w:numId="87" w16cid:durableId="1361659551">
    <w:abstractNumId w:val="79"/>
  </w:num>
  <w:num w:numId="88" w16cid:durableId="58408703">
    <w:abstractNumId w:val="1"/>
  </w:num>
  <w:num w:numId="89" w16cid:durableId="2115518475">
    <w:abstractNumId w:val="51"/>
  </w:num>
  <w:num w:numId="90" w16cid:durableId="1236014454">
    <w:abstractNumId w:val="97"/>
  </w:num>
  <w:num w:numId="91" w16cid:durableId="853306339">
    <w:abstractNumId w:val="25"/>
  </w:num>
  <w:num w:numId="92" w16cid:durableId="1774084577">
    <w:abstractNumId w:val="35"/>
  </w:num>
  <w:num w:numId="93" w16cid:durableId="37364241">
    <w:abstractNumId w:val="9"/>
  </w:num>
  <w:num w:numId="94" w16cid:durableId="1321887758">
    <w:abstractNumId w:val="55"/>
  </w:num>
  <w:num w:numId="95" w16cid:durableId="1635283408">
    <w:abstractNumId w:val="60"/>
  </w:num>
  <w:num w:numId="96" w16cid:durableId="1906334029">
    <w:abstractNumId w:val="63"/>
  </w:num>
  <w:num w:numId="97" w16cid:durableId="58721191">
    <w:abstractNumId w:val="102"/>
  </w:num>
  <w:num w:numId="98" w16cid:durableId="1237401782">
    <w:abstractNumId w:val="62"/>
  </w:num>
  <w:num w:numId="99" w16cid:durableId="1840003700">
    <w:abstractNumId w:val="61"/>
  </w:num>
  <w:num w:numId="100" w16cid:durableId="1441754331">
    <w:abstractNumId w:val="37"/>
  </w:num>
  <w:num w:numId="101" w16cid:durableId="808325970">
    <w:abstractNumId w:val="71"/>
  </w:num>
  <w:num w:numId="102" w16cid:durableId="1671134019">
    <w:abstractNumId w:val="104"/>
  </w:num>
  <w:num w:numId="103" w16cid:durableId="70081313">
    <w:abstractNumId w:val="80"/>
  </w:num>
  <w:num w:numId="104" w16cid:durableId="256056731">
    <w:abstractNumId w:val="60"/>
  </w:num>
  <w:num w:numId="105" w16cid:durableId="2002394122">
    <w:abstractNumId w:val="4"/>
  </w:num>
  <w:num w:numId="106" w16cid:durableId="102000777">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839543178">
    <w:abstractNumId w:val="54"/>
  </w:num>
  <w:num w:numId="108" w16cid:durableId="1714185774">
    <w:abstractNumId w:val="85"/>
  </w:num>
  <w:num w:numId="109" w16cid:durableId="123350457">
    <w:abstractNumId w:val="38"/>
  </w:num>
  <w:num w:numId="110" w16cid:durableId="1148324861">
    <w:abstractNumId w:val="91"/>
  </w:num>
  <w:num w:numId="111" w16cid:durableId="1988703595">
    <w:abstractNumId w:val="43"/>
  </w:num>
  <w:num w:numId="112" w16cid:durableId="1884946997">
    <w:abstractNumId w:val="100"/>
  </w:num>
  <w:num w:numId="113" w16cid:durableId="971327819">
    <w:abstractNumId w:val="17"/>
  </w:num>
  <w:num w:numId="114" w16cid:durableId="1005401888">
    <w:abstractNumId w:val="60"/>
  </w:num>
  <w:num w:numId="115" w16cid:durableId="1191919247">
    <w:abstractNumId w:val="82"/>
  </w:num>
  <w:num w:numId="116" w16cid:durableId="1282344603">
    <w:abstractNumId w:val="44"/>
  </w:num>
  <w:num w:numId="117" w16cid:durableId="1143347799">
    <w:abstractNumId w:val="11"/>
  </w:num>
  <w:num w:numId="118" w16cid:durableId="268243261">
    <w:abstractNumId w:val="93"/>
  </w:num>
  <w:num w:numId="119" w16cid:durableId="1721392145">
    <w:abstractNumId w:val="34"/>
  </w:num>
  <w:num w:numId="120" w16cid:durableId="1074012672">
    <w:abstractNumId w:val="99"/>
  </w:num>
  <w:num w:numId="121" w16cid:durableId="1099106348">
    <w:abstractNumId w:val="95"/>
  </w:num>
  <w:num w:numId="122" w16cid:durableId="1892574300">
    <w:abstractNumId w:val="68"/>
  </w:num>
  <w:num w:numId="123" w16cid:durableId="1428963916">
    <w:abstractNumId w:val="58"/>
  </w:num>
  <w:num w:numId="124" w16cid:durableId="642736639">
    <w:abstractNumId w:val="45"/>
  </w:num>
  <w:num w:numId="125" w16cid:durableId="211768708">
    <w:abstractNumId w:val="14"/>
  </w:num>
  <w:num w:numId="126" w16cid:durableId="1408261944">
    <w:abstractNumId w:val="29"/>
  </w:num>
  <w:num w:numId="127" w16cid:durableId="834682549">
    <w:abstractNumId w:val="40"/>
  </w:num>
  <w:num w:numId="128" w16cid:durableId="9065228">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5A5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ro-RO"/>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ro-RO"/>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ro-RO"/>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ro-RO"/>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ro-RO"/>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ro-RO"/>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ro-RO"/>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ro-RO"/>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8710</Words>
  <Characters>49649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