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26"/>
        <w:gridCol w:w="853"/>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01"/>
        <w:gridCol w:w="21"/>
        <w:gridCol w:w="10"/>
      </w:tblGrid>
      <w:tr w:rsidR="006A701A" w:rsidRPr="008B4FE6" w14:paraId="7BDCEE79" w14:textId="77777777" w:rsidTr="00676C8D">
        <w:trPr>
          <w:gridAfter w:val="1"/>
          <w:wAfter w:w="10" w:type="dxa"/>
          <w:trHeight w:val="1611"/>
        </w:trPr>
        <w:tc>
          <w:tcPr>
            <w:tcW w:w="6631" w:type="dxa"/>
            <w:gridSpan w:val="17"/>
          </w:tcPr>
          <w:p w14:paraId="6BC4321C" w14:textId="77777777" w:rsidR="006A701A" w:rsidRPr="008B4FE6" w:rsidRDefault="006A701A" w:rsidP="00616511">
            <w:pPr>
              <w:spacing w:before="120" w:line="240" w:lineRule="auto"/>
              <w:ind w:hanging="45"/>
              <w:rPr>
                <w:rFonts w:ascii="Times New Roman" w:hAnsi="Times New Roman"/>
                <w:color w:val="000000"/>
              </w:rPr>
            </w:pPr>
            <w:bookmarkStart w:id="0" w:name="t1"/>
            <w:bookmarkStart w:id="1" w:name="_GoBack"/>
            <w:bookmarkEnd w:id="1"/>
            <w:r w:rsidRPr="008B4FE6">
              <w:rPr>
                <w:rFonts w:ascii="Times New Roman" w:hAnsi="Times New Roman"/>
                <w:b/>
                <w:color w:val="000000"/>
              </w:rPr>
              <w:t xml:space="preserve">Nazwa </w:t>
            </w:r>
            <w:r w:rsidR="001B75D8">
              <w:rPr>
                <w:rFonts w:ascii="Times New Roman" w:hAnsi="Times New Roman"/>
                <w:b/>
                <w:color w:val="000000"/>
              </w:rPr>
              <w:t>projektu</w:t>
            </w:r>
          </w:p>
          <w:p w14:paraId="60C354BB" w14:textId="77777777" w:rsidR="006A701A" w:rsidRPr="008B4FE6" w:rsidRDefault="002C4181" w:rsidP="00A52ADB">
            <w:pPr>
              <w:spacing w:line="240" w:lineRule="auto"/>
              <w:ind w:hanging="34"/>
              <w:rPr>
                <w:rFonts w:ascii="Times New Roman" w:hAnsi="Times New Roman"/>
                <w:color w:val="000000"/>
              </w:rPr>
            </w:pPr>
            <w:r>
              <w:rPr>
                <w:rFonts w:ascii="Times New Roman" w:hAnsi="Times New Roman"/>
                <w:color w:val="000000"/>
              </w:rPr>
              <w:t xml:space="preserve">Projekt ustawy </w:t>
            </w:r>
            <w:r w:rsidR="00136442" w:rsidRPr="00136442">
              <w:rPr>
                <w:rFonts w:ascii="Times New Roman" w:hAnsi="Times New Roman"/>
                <w:color w:val="000000"/>
              </w:rPr>
              <w:t>o zmianie niektórych ustaw w celu przeciwdziałania lichwie</w:t>
            </w:r>
          </w:p>
          <w:p w14:paraId="40966DD0"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65FFA345" w14:textId="77777777" w:rsidR="006A701A" w:rsidRDefault="00413E57" w:rsidP="00A52ADB">
            <w:pPr>
              <w:spacing w:line="240" w:lineRule="auto"/>
              <w:ind w:hanging="34"/>
              <w:rPr>
                <w:rFonts w:ascii="Times New Roman" w:hAnsi="Times New Roman"/>
                <w:color w:val="000000"/>
              </w:rPr>
            </w:pPr>
            <w:r>
              <w:rPr>
                <w:rFonts w:ascii="Times New Roman" w:hAnsi="Times New Roman"/>
                <w:color w:val="000000"/>
              </w:rPr>
              <w:t>Ministerstwo S</w:t>
            </w:r>
            <w:r w:rsidR="002C4181">
              <w:rPr>
                <w:rFonts w:ascii="Times New Roman" w:hAnsi="Times New Roman"/>
                <w:color w:val="000000"/>
              </w:rPr>
              <w:t>prawiedliwości</w:t>
            </w:r>
          </w:p>
          <w:p w14:paraId="1B277EB0" w14:textId="7777777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5533D9A3" w14:textId="77777777" w:rsidR="00BD43CD" w:rsidRPr="00723FCB" w:rsidRDefault="00857B37" w:rsidP="00616511">
            <w:pPr>
              <w:spacing w:before="120" w:line="240" w:lineRule="auto"/>
              <w:ind w:hanging="45"/>
              <w:rPr>
                <w:rFonts w:ascii="Times New Roman" w:hAnsi="Times New Roman"/>
                <w:color w:val="000000"/>
              </w:rPr>
            </w:pPr>
            <w:r w:rsidRPr="00723FCB">
              <w:rPr>
                <w:rFonts w:ascii="Times New Roman" w:hAnsi="Times New Roman"/>
                <w:color w:val="000000"/>
              </w:rPr>
              <w:t xml:space="preserve">Marcin Warchoł </w:t>
            </w:r>
            <w:r w:rsidR="0022591E">
              <w:rPr>
                <w:rFonts w:ascii="Times New Roman" w:hAnsi="Times New Roman"/>
                <w:color w:val="000000"/>
              </w:rPr>
              <w:t xml:space="preserve">– </w:t>
            </w:r>
            <w:r w:rsidRPr="00723FCB">
              <w:rPr>
                <w:rFonts w:ascii="Times New Roman" w:hAnsi="Times New Roman"/>
                <w:color w:val="000000"/>
              </w:rPr>
              <w:t>Podsekretarz Stanu</w:t>
            </w:r>
          </w:p>
          <w:p w14:paraId="413128CB"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15F6C0C6" w14:textId="77777777" w:rsidR="006A701A" w:rsidRDefault="000B6A7C" w:rsidP="00D87AC3">
            <w:pPr>
              <w:spacing w:line="240" w:lineRule="auto"/>
              <w:ind w:hanging="34"/>
              <w:rPr>
                <w:rFonts w:ascii="Times New Roman" w:hAnsi="Times New Roman"/>
                <w:color w:val="000000"/>
              </w:rPr>
            </w:pPr>
            <w:r w:rsidRPr="000B6A7C">
              <w:rPr>
                <w:rFonts w:ascii="Times New Roman" w:hAnsi="Times New Roman"/>
                <w:color w:val="000000"/>
              </w:rPr>
              <w:t>Rogoziński Piotr</w:t>
            </w:r>
            <w:r w:rsidR="00D87AC3">
              <w:rPr>
                <w:rFonts w:ascii="Times New Roman" w:hAnsi="Times New Roman"/>
                <w:color w:val="000000"/>
              </w:rPr>
              <w:t xml:space="preserve"> </w:t>
            </w:r>
            <w:r w:rsidR="002117C1">
              <w:rPr>
                <w:rFonts w:ascii="Times New Roman" w:hAnsi="Times New Roman"/>
                <w:color w:val="000000"/>
              </w:rPr>
              <w:t xml:space="preserve">– </w:t>
            </w:r>
            <w:r w:rsidRPr="000B6A7C">
              <w:rPr>
                <w:rFonts w:ascii="Times New Roman" w:hAnsi="Times New Roman"/>
                <w:color w:val="000000"/>
              </w:rPr>
              <w:t xml:space="preserve">Główny Specjalista </w:t>
            </w:r>
            <w:r>
              <w:rPr>
                <w:rFonts w:ascii="Times New Roman" w:hAnsi="Times New Roman"/>
                <w:color w:val="000000"/>
              </w:rPr>
              <w:t>–</w:t>
            </w:r>
            <w:r w:rsidRPr="000B6A7C">
              <w:rPr>
                <w:rFonts w:ascii="Times New Roman" w:hAnsi="Times New Roman"/>
                <w:color w:val="000000"/>
              </w:rPr>
              <w:t xml:space="preserve"> Sędzia</w:t>
            </w:r>
            <w:r>
              <w:rPr>
                <w:rFonts w:ascii="Times New Roman" w:hAnsi="Times New Roman"/>
                <w:color w:val="000000"/>
              </w:rPr>
              <w:t xml:space="preserve">, </w:t>
            </w:r>
            <w:r w:rsidR="00E91E61">
              <w:rPr>
                <w:rFonts w:ascii="Times New Roman" w:hAnsi="Times New Roman"/>
                <w:color w:val="000000"/>
              </w:rPr>
              <w:t>Departament Legislacyjn</w:t>
            </w:r>
            <w:r>
              <w:rPr>
                <w:rFonts w:ascii="Times New Roman" w:hAnsi="Times New Roman"/>
                <w:color w:val="000000"/>
              </w:rPr>
              <w:t>y</w:t>
            </w:r>
            <w:r w:rsidR="00E91E61">
              <w:rPr>
                <w:rFonts w:ascii="Times New Roman" w:hAnsi="Times New Roman"/>
                <w:color w:val="000000"/>
              </w:rPr>
              <w:t xml:space="preserve"> </w:t>
            </w:r>
            <w:r w:rsidR="009F3450">
              <w:rPr>
                <w:rFonts w:ascii="Times New Roman" w:hAnsi="Times New Roman"/>
                <w:color w:val="000000"/>
              </w:rPr>
              <w:t xml:space="preserve">Prawa Karnego </w:t>
            </w:r>
            <w:r w:rsidR="00E91E61">
              <w:rPr>
                <w:rFonts w:ascii="Times New Roman" w:hAnsi="Times New Roman"/>
                <w:color w:val="000000"/>
              </w:rPr>
              <w:t>MS</w:t>
            </w:r>
            <w:r>
              <w:rPr>
                <w:rFonts w:ascii="Times New Roman" w:hAnsi="Times New Roman"/>
                <w:color w:val="000000"/>
              </w:rPr>
              <w:t>,</w:t>
            </w:r>
            <w:r w:rsidR="00E91E61">
              <w:rPr>
                <w:rFonts w:ascii="Times New Roman" w:hAnsi="Times New Roman"/>
                <w:color w:val="000000"/>
              </w:rPr>
              <w:t xml:space="preserve"> tel</w:t>
            </w:r>
            <w:r>
              <w:rPr>
                <w:rFonts w:ascii="Times New Roman" w:hAnsi="Times New Roman"/>
                <w:color w:val="000000"/>
              </w:rPr>
              <w:t>.</w:t>
            </w:r>
            <w:r w:rsidR="00E91E61">
              <w:rPr>
                <w:rFonts w:ascii="Times New Roman" w:hAnsi="Times New Roman"/>
                <w:color w:val="000000"/>
              </w:rPr>
              <w:t>: 22</w:t>
            </w:r>
            <w:r w:rsidR="00D87AC3">
              <w:rPr>
                <w:rFonts w:ascii="Times New Roman" w:hAnsi="Times New Roman"/>
                <w:color w:val="000000"/>
              </w:rPr>
              <w:t>-</w:t>
            </w:r>
            <w:r w:rsidR="00E91E61" w:rsidRPr="00E91E61">
              <w:rPr>
                <w:rFonts w:ascii="Times New Roman" w:hAnsi="Times New Roman"/>
                <w:color w:val="000000"/>
              </w:rPr>
              <w:t>52-12-</w:t>
            </w:r>
            <w:r w:rsidR="00BD43CD">
              <w:rPr>
                <w:rFonts w:ascii="Times New Roman" w:hAnsi="Times New Roman"/>
                <w:color w:val="000000"/>
              </w:rPr>
              <w:t>321</w:t>
            </w:r>
          </w:p>
          <w:p w14:paraId="364E3B48" w14:textId="77777777" w:rsidR="00D87AC3" w:rsidRPr="008B4FE6" w:rsidRDefault="00D87AC3" w:rsidP="00C67FDF">
            <w:pPr>
              <w:spacing w:line="240" w:lineRule="auto"/>
              <w:ind w:hanging="34"/>
              <w:rPr>
                <w:rFonts w:ascii="Times New Roman" w:hAnsi="Times New Roman"/>
                <w:color w:val="000000"/>
              </w:rPr>
            </w:pPr>
            <w:r>
              <w:rPr>
                <w:rFonts w:ascii="Times New Roman" w:hAnsi="Times New Roman"/>
                <w:color w:val="000000"/>
              </w:rPr>
              <w:t>Daniel Mielnik – Ekspert, Departament Legislacyjny Prawa Karnego MS, tel.: 22-</w:t>
            </w:r>
            <w:r w:rsidRPr="00E91E61">
              <w:rPr>
                <w:rFonts w:ascii="Times New Roman" w:hAnsi="Times New Roman"/>
                <w:color w:val="000000"/>
              </w:rPr>
              <w:t>52-12-</w:t>
            </w:r>
            <w:r w:rsidR="00C67FDF">
              <w:rPr>
                <w:rFonts w:ascii="Times New Roman" w:hAnsi="Times New Roman"/>
                <w:color w:val="000000"/>
              </w:rPr>
              <w:t>756</w:t>
            </w:r>
          </w:p>
        </w:tc>
        <w:tc>
          <w:tcPr>
            <w:tcW w:w="4306" w:type="dxa"/>
            <w:gridSpan w:val="13"/>
            <w:shd w:val="clear" w:color="auto" w:fill="FFFFFF"/>
          </w:tcPr>
          <w:p w14:paraId="7244FA57" w14:textId="77777777" w:rsidR="00400218" w:rsidRDefault="001B3460" w:rsidP="001B3460">
            <w:pPr>
              <w:spacing w:line="240" w:lineRule="auto"/>
              <w:rPr>
                <w:rFonts w:ascii="Times New Roman" w:hAnsi="Times New Roman"/>
                <w:sz w:val="21"/>
                <w:szCs w:val="21"/>
              </w:rPr>
            </w:pPr>
            <w:r w:rsidRPr="00642825">
              <w:rPr>
                <w:rFonts w:ascii="Times New Roman" w:hAnsi="Times New Roman"/>
                <w:b/>
                <w:sz w:val="21"/>
                <w:szCs w:val="21"/>
              </w:rPr>
              <w:t>Data sporządzenia</w:t>
            </w:r>
            <w:r w:rsidR="00400218">
              <w:rPr>
                <w:rFonts w:ascii="Times New Roman" w:hAnsi="Times New Roman"/>
                <w:sz w:val="21"/>
                <w:szCs w:val="21"/>
              </w:rPr>
              <w:t>:</w:t>
            </w:r>
          </w:p>
          <w:p w14:paraId="5B44DCDB" w14:textId="77777777" w:rsidR="001B3460" w:rsidRPr="00642825" w:rsidRDefault="00DB1D43" w:rsidP="001B3460">
            <w:pPr>
              <w:spacing w:line="240" w:lineRule="auto"/>
              <w:rPr>
                <w:rFonts w:ascii="Times New Roman" w:hAnsi="Times New Roman"/>
                <w:b/>
                <w:sz w:val="21"/>
                <w:szCs w:val="21"/>
              </w:rPr>
            </w:pPr>
            <w:r>
              <w:rPr>
                <w:rFonts w:ascii="Times New Roman" w:hAnsi="Times New Roman"/>
                <w:sz w:val="21"/>
                <w:szCs w:val="21"/>
              </w:rPr>
              <w:t>1</w:t>
            </w:r>
            <w:r w:rsidR="00812039">
              <w:rPr>
                <w:rFonts w:ascii="Times New Roman" w:hAnsi="Times New Roman"/>
                <w:sz w:val="21"/>
                <w:szCs w:val="21"/>
              </w:rPr>
              <w:t>3</w:t>
            </w:r>
            <w:r>
              <w:rPr>
                <w:rFonts w:ascii="Times New Roman" w:hAnsi="Times New Roman"/>
                <w:sz w:val="21"/>
                <w:szCs w:val="21"/>
              </w:rPr>
              <w:t xml:space="preserve"> </w:t>
            </w:r>
            <w:r w:rsidR="00BD4393">
              <w:rPr>
                <w:rFonts w:ascii="Times New Roman" w:hAnsi="Times New Roman"/>
                <w:sz w:val="21"/>
                <w:szCs w:val="21"/>
              </w:rPr>
              <w:t>czerwca</w:t>
            </w:r>
            <w:r w:rsidR="00136442">
              <w:rPr>
                <w:rFonts w:ascii="Times New Roman" w:hAnsi="Times New Roman"/>
                <w:sz w:val="21"/>
                <w:szCs w:val="21"/>
              </w:rPr>
              <w:t xml:space="preserve"> 2019 r.</w:t>
            </w:r>
          </w:p>
          <w:p w14:paraId="7BD9A422" w14:textId="77777777" w:rsidR="00F76884" w:rsidRDefault="00F76884" w:rsidP="00F76884">
            <w:pPr>
              <w:spacing w:line="240" w:lineRule="auto"/>
              <w:rPr>
                <w:rFonts w:ascii="Times New Roman" w:hAnsi="Times New Roman"/>
                <w:b/>
              </w:rPr>
            </w:pPr>
          </w:p>
          <w:p w14:paraId="677A9FBD"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2" w:name="Lista1"/>
          </w:p>
          <w:bookmarkEnd w:id="2"/>
          <w:p w14:paraId="664F0B5F" w14:textId="77777777" w:rsidR="00F76884" w:rsidRPr="0065019F" w:rsidRDefault="002C4181" w:rsidP="00F76884">
            <w:pPr>
              <w:spacing w:line="240" w:lineRule="auto"/>
              <w:rPr>
                <w:rFonts w:ascii="Times New Roman" w:hAnsi="Times New Roman"/>
              </w:rPr>
            </w:pPr>
            <w:r>
              <w:rPr>
                <w:rFonts w:ascii="Times New Roman" w:hAnsi="Times New Roman"/>
              </w:rPr>
              <w:t xml:space="preserve"> inne</w:t>
            </w:r>
          </w:p>
          <w:p w14:paraId="01742311" w14:textId="77777777" w:rsidR="00F76884" w:rsidRPr="0065019F" w:rsidRDefault="00F76884" w:rsidP="00F76884">
            <w:pPr>
              <w:spacing w:line="240" w:lineRule="auto"/>
              <w:rPr>
                <w:rFonts w:ascii="Times New Roman" w:hAnsi="Times New Roman"/>
              </w:rPr>
            </w:pPr>
          </w:p>
          <w:p w14:paraId="5F71F7B3" w14:textId="77777777" w:rsidR="006A701A"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136442">
              <w:rPr>
                <w:rFonts w:ascii="Times New Roman" w:hAnsi="Times New Roman"/>
                <w:b/>
                <w:color w:val="000000"/>
              </w:rPr>
              <w:t xml:space="preserve">legislacyjnych Rady Ministrów: </w:t>
            </w:r>
          </w:p>
          <w:p w14:paraId="32387488" w14:textId="77777777" w:rsidR="00136442" w:rsidRPr="00D77FB5" w:rsidRDefault="00136442" w:rsidP="007943E2">
            <w:pPr>
              <w:spacing w:before="120" w:line="240" w:lineRule="auto"/>
              <w:rPr>
                <w:rFonts w:ascii="Times New Roman" w:hAnsi="Times New Roman"/>
                <w:color w:val="000000"/>
              </w:rPr>
            </w:pPr>
            <w:r w:rsidRPr="00D77FB5">
              <w:rPr>
                <w:rFonts w:ascii="Times New Roman" w:hAnsi="Times New Roman"/>
                <w:color w:val="000000"/>
              </w:rPr>
              <w:t>UD145</w:t>
            </w:r>
          </w:p>
          <w:p w14:paraId="3ADB56EE" w14:textId="77777777" w:rsidR="006A701A" w:rsidRPr="008B4FE6" w:rsidRDefault="006A701A" w:rsidP="007943E2">
            <w:pPr>
              <w:spacing w:line="240" w:lineRule="auto"/>
              <w:rPr>
                <w:rFonts w:ascii="Times New Roman" w:hAnsi="Times New Roman"/>
                <w:color w:val="000000"/>
              </w:rPr>
            </w:pPr>
          </w:p>
          <w:p w14:paraId="0BA2B3EB" w14:textId="77777777" w:rsidR="006A701A" w:rsidRPr="008B4FE6" w:rsidRDefault="006A701A" w:rsidP="00A17CB2">
            <w:pPr>
              <w:spacing w:line="240" w:lineRule="auto"/>
              <w:rPr>
                <w:rFonts w:ascii="Times New Roman" w:hAnsi="Times New Roman"/>
                <w:color w:val="000000"/>
                <w:sz w:val="28"/>
                <w:szCs w:val="28"/>
              </w:rPr>
            </w:pPr>
          </w:p>
        </w:tc>
      </w:tr>
      <w:tr w:rsidR="006A701A" w:rsidRPr="0022687A" w14:paraId="00620841" w14:textId="77777777" w:rsidTr="00676C8D">
        <w:trPr>
          <w:gridAfter w:val="1"/>
          <w:wAfter w:w="10" w:type="dxa"/>
          <w:trHeight w:val="142"/>
        </w:trPr>
        <w:tc>
          <w:tcPr>
            <w:tcW w:w="10937" w:type="dxa"/>
            <w:gridSpan w:val="30"/>
            <w:shd w:val="clear" w:color="auto" w:fill="99CCFF"/>
          </w:tcPr>
          <w:p w14:paraId="65B58952"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68A49E25" w14:textId="77777777" w:rsidTr="00676C8D">
        <w:trPr>
          <w:gridAfter w:val="1"/>
          <w:wAfter w:w="10" w:type="dxa"/>
          <w:trHeight w:val="333"/>
        </w:trPr>
        <w:tc>
          <w:tcPr>
            <w:tcW w:w="10937" w:type="dxa"/>
            <w:gridSpan w:val="30"/>
            <w:shd w:val="clear" w:color="auto" w:fill="99CCFF"/>
            <w:vAlign w:val="center"/>
          </w:tcPr>
          <w:p w14:paraId="4BE34396"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14:paraId="78D84E81" w14:textId="77777777" w:rsidTr="005606C0">
        <w:tblPrEx>
          <w:tblCellMar>
            <w:left w:w="70" w:type="dxa"/>
            <w:right w:w="70" w:type="dxa"/>
          </w:tblCellMar>
        </w:tblPrEx>
        <w:trPr>
          <w:gridAfter w:val="1"/>
          <w:wAfter w:w="10" w:type="dxa"/>
          <w:trHeight w:val="142"/>
        </w:trPr>
        <w:tc>
          <w:tcPr>
            <w:tcW w:w="10937" w:type="dxa"/>
            <w:gridSpan w:val="30"/>
            <w:shd w:val="clear" w:color="auto" w:fill="FFFFFF"/>
          </w:tcPr>
          <w:p w14:paraId="0E53D2B4" w14:textId="77777777" w:rsidR="00DE0BAC" w:rsidRDefault="00DE0BAC" w:rsidP="00A866F8">
            <w:pPr>
              <w:spacing w:line="240" w:lineRule="auto"/>
              <w:jc w:val="both"/>
              <w:rPr>
                <w:rFonts w:ascii="Times New Roman" w:hAnsi="Times New Roman"/>
                <w:color w:val="000000"/>
              </w:rPr>
            </w:pPr>
            <w:r>
              <w:rPr>
                <w:rFonts w:ascii="Times New Roman" w:hAnsi="Times New Roman"/>
                <w:color w:val="000000"/>
              </w:rPr>
              <w:t>Działalność polegająca na udzielaniu pożyczek o charakterze lichwiarskim jest zjawiskiem, które pomimo prób</w:t>
            </w:r>
            <w:r w:rsidR="00AE2EDE">
              <w:rPr>
                <w:rFonts w:ascii="Times New Roman" w:hAnsi="Times New Roman"/>
                <w:color w:val="000000"/>
              </w:rPr>
              <w:t xml:space="preserve"> działania </w:t>
            </w:r>
            <w:r>
              <w:rPr>
                <w:rFonts w:ascii="Times New Roman" w:hAnsi="Times New Roman"/>
                <w:color w:val="000000"/>
              </w:rPr>
              <w:t xml:space="preserve"> ustawodawcy stanowi poważny problem społeczny. Dotychczasowe regulacje nie stanowią wystarczających narzędzi umożliwiających skuteczne zwalczanie tego procederu.</w:t>
            </w:r>
            <w:r w:rsidR="000011E4">
              <w:rPr>
                <w:rFonts w:ascii="Times New Roman" w:hAnsi="Times New Roman"/>
                <w:color w:val="000000"/>
              </w:rPr>
              <w:t xml:space="preserve"> </w:t>
            </w:r>
          </w:p>
          <w:p w14:paraId="40C6EE06" w14:textId="77777777" w:rsidR="002C143F" w:rsidRDefault="00CF36E6" w:rsidP="00A866F8">
            <w:pPr>
              <w:spacing w:line="240" w:lineRule="auto"/>
              <w:jc w:val="both"/>
              <w:rPr>
                <w:rFonts w:ascii="Times New Roman" w:hAnsi="Times New Roman"/>
                <w:color w:val="000000"/>
              </w:rPr>
            </w:pPr>
            <w:r>
              <w:rPr>
                <w:rFonts w:ascii="Times New Roman" w:hAnsi="Times New Roman"/>
                <w:color w:val="000000"/>
              </w:rPr>
              <w:t xml:space="preserve">Prowadzone w latach 2014–2017 </w:t>
            </w:r>
            <w:r w:rsidRPr="00CF36E6">
              <w:rPr>
                <w:rFonts w:ascii="Times New Roman" w:hAnsi="Times New Roman"/>
                <w:color w:val="000000"/>
              </w:rPr>
              <w:t>europejskie badanie warunków życia ludności</w:t>
            </w:r>
            <w:r w:rsidR="0008568B">
              <w:rPr>
                <w:rFonts w:ascii="Times New Roman" w:hAnsi="Times New Roman"/>
                <w:color w:val="000000"/>
              </w:rPr>
              <w:t xml:space="preserve"> pokazuje, że liczba gospodarstw domowych</w:t>
            </w:r>
            <w:r w:rsidR="00DE6B8B">
              <w:rPr>
                <w:rFonts w:ascii="Times New Roman" w:hAnsi="Times New Roman"/>
                <w:color w:val="000000"/>
              </w:rPr>
              <w:t xml:space="preserve">, które mają </w:t>
            </w:r>
            <w:r w:rsidR="0008568B">
              <w:rPr>
                <w:rFonts w:ascii="Times New Roman" w:hAnsi="Times New Roman"/>
                <w:color w:val="000000"/>
              </w:rPr>
              <w:t xml:space="preserve">problemy ze spłatą kredytów </w:t>
            </w:r>
            <w:r w:rsidR="00DE6B8B">
              <w:rPr>
                <w:rFonts w:ascii="Times New Roman" w:hAnsi="Times New Roman"/>
                <w:color w:val="000000"/>
              </w:rPr>
              <w:t xml:space="preserve">rośnie. Poniższa tabela i wykres pokazuje </w:t>
            </w:r>
            <w:r w:rsidR="002A08A1">
              <w:rPr>
                <w:rFonts w:ascii="Times New Roman" w:hAnsi="Times New Roman"/>
                <w:color w:val="000000"/>
              </w:rPr>
              <w:t>rozkład odpowiedzi na pytanie: „</w:t>
            </w:r>
            <w:r w:rsidR="002A08A1" w:rsidRPr="002A08A1">
              <w:rPr>
                <w:rFonts w:ascii="Times New Roman" w:hAnsi="Times New Roman"/>
                <w:color w:val="000000"/>
              </w:rPr>
              <w:t>Czy zdarzyło się, że w ciągu ostatnich 12 miesięcy nie byli Państwo w stanie ze względów finansowych uiszczać w terminie spłat rat kredytów, pożyczek innych niż kredyt na zakup lub wykup użytkowanego mieszkania?</w:t>
            </w:r>
            <w:r w:rsidR="002A08A1">
              <w:rPr>
                <w:rFonts w:ascii="Times New Roman" w:hAnsi="Times New Roman"/>
                <w:color w:val="000000"/>
              </w:rPr>
              <w:t>”</w:t>
            </w:r>
          </w:p>
          <w:tbl>
            <w:tblPr>
              <w:tblW w:w="10560" w:type="dxa"/>
              <w:tblLayout w:type="fixed"/>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976112" w:rsidRPr="00976112" w14:paraId="5590BFC7" w14:textId="77777777" w:rsidTr="00976112">
              <w:trPr>
                <w:trHeight w:val="300"/>
              </w:trPr>
              <w:tc>
                <w:tcPr>
                  <w:tcW w:w="960" w:type="dxa"/>
                  <w:tcBorders>
                    <w:top w:val="nil"/>
                    <w:left w:val="nil"/>
                    <w:bottom w:val="nil"/>
                    <w:right w:val="nil"/>
                  </w:tcBorders>
                  <w:shd w:val="clear" w:color="auto" w:fill="auto"/>
                  <w:noWrap/>
                  <w:vAlign w:val="bottom"/>
                  <w:hideMark/>
                </w:tcPr>
                <w:p w14:paraId="2AA6439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77B781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6BA860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CB3E66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C9AB19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59AF1B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4373AB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5D369E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A926F0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EBB1F0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BA289E3" w14:textId="77777777" w:rsidR="00976112" w:rsidRPr="00976112" w:rsidRDefault="00976112" w:rsidP="00976112">
                  <w:pPr>
                    <w:spacing w:line="240" w:lineRule="auto"/>
                    <w:rPr>
                      <w:rFonts w:eastAsia="Times New Roman"/>
                      <w:color w:val="000000"/>
                      <w:lang w:eastAsia="pl-PL"/>
                    </w:rPr>
                  </w:pPr>
                </w:p>
              </w:tc>
            </w:tr>
            <w:tr w:rsidR="00976112" w:rsidRPr="00976112" w14:paraId="7F4054B2" w14:textId="77777777" w:rsidTr="00976112">
              <w:trPr>
                <w:trHeight w:val="300"/>
              </w:trPr>
              <w:tc>
                <w:tcPr>
                  <w:tcW w:w="960" w:type="dxa"/>
                  <w:tcBorders>
                    <w:top w:val="nil"/>
                    <w:left w:val="nil"/>
                    <w:bottom w:val="nil"/>
                    <w:right w:val="nil"/>
                  </w:tcBorders>
                  <w:shd w:val="clear" w:color="auto" w:fill="auto"/>
                  <w:noWrap/>
                  <w:vAlign w:val="bottom"/>
                  <w:hideMark/>
                </w:tcPr>
                <w:p w14:paraId="2D1A07F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AAF6970" w14:textId="77777777" w:rsidR="00976112" w:rsidRPr="008D4757"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66CD311" w14:textId="77777777" w:rsidR="00976112" w:rsidRPr="008D4757" w:rsidRDefault="00976112" w:rsidP="00976112">
                  <w:pPr>
                    <w:spacing w:line="240" w:lineRule="auto"/>
                    <w:rPr>
                      <w:rFonts w:ascii="Times New Roman" w:eastAsia="Times New Roman" w:hAnsi="Times New Roman"/>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A03CC" w14:textId="77777777" w:rsidR="00976112" w:rsidRPr="008D4757" w:rsidRDefault="00976112" w:rsidP="00A94EF4">
                  <w:pPr>
                    <w:spacing w:line="240" w:lineRule="auto"/>
                    <w:jc w:val="center"/>
                    <w:rPr>
                      <w:rFonts w:ascii="Times New Roman" w:eastAsia="Times New Roman" w:hAnsi="Times New Roman"/>
                      <w:b/>
                      <w:color w:val="000000"/>
                      <w:lang w:eastAsia="pl-PL"/>
                    </w:rPr>
                  </w:pPr>
                  <w:r w:rsidRPr="008D4757">
                    <w:rPr>
                      <w:rFonts w:ascii="Times New Roman" w:eastAsia="Times New Roman" w:hAnsi="Times New Roman"/>
                      <w:b/>
                      <w:color w:val="000000"/>
                      <w:lang w:eastAsia="pl-PL"/>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A09409" w14:textId="77777777" w:rsidR="00976112" w:rsidRPr="008D4757" w:rsidRDefault="00976112" w:rsidP="00A94EF4">
                  <w:pPr>
                    <w:spacing w:line="240" w:lineRule="auto"/>
                    <w:jc w:val="center"/>
                    <w:rPr>
                      <w:rFonts w:ascii="Times New Roman" w:eastAsia="Times New Roman" w:hAnsi="Times New Roman"/>
                      <w:b/>
                      <w:color w:val="000000"/>
                      <w:lang w:eastAsia="pl-PL"/>
                    </w:rPr>
                  </w:pPr>
                  <w:r w:rsidRPr="008D4757">
                    <w:rPr>
                      <w:rFonts w:ascii="Times New Roman" w:eastAsia="Times New Roman" w:hAnsi="Times New Roman"/>
                      <w:b/>
                      <w:color w:val="000000"/>
                      <w:lang w:eastAsia="pl-PL"/>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5BD877" w14:textId="77777777" w:rsidR="00976112" w:rsidRPr="008D4757" w:rsidRDefault="00976112" w:rsidP="00A94EF4">
                  <w:pPr>
                    <w:spacing w:line="240" w:lineRule="auto"/>
                    <w:jc w:val="center"/>
                    <w:rPr>
                      <w:rFonts w:ascii="Times New Roman" w:eastAsia="Times New Roman" w:hAnsi="Times New Roman"/>
                      <w:b/>
                      <w:color w:val="000000"/>
                      <w:lang w:eastAsia="pl-PL"/>
                    </w:rPr>
                  </w:pPr>
                  <w:r w:rsidRPr="008D4757">
                    <w:rPr>
                      <w:rFonts w:ascii="Times New Roman" w:eastAsia="Times New Roman" w:hAnsi="Times New Roman"/>
                      <w:b/>
                      <w:color w:val="000000"/>
                      <w:lang w:eastAsia="pl-PL"/>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8C13BE" w14:textId="77777777" w:rsidR="00976112" w:rsidRPr="008D4757" w:rsidRDefault="00976112" w:rsidP="00A94EF4">
                  <w:pPr>
                    <w:spacing w:line="240" w:lineRule="auto"/>
                    <w:jc w:val="center"/>
                    <w:rPr>
                      <w:rFonts w:ascii="Times New Roman" w:eastAsia="Times New Roman" w:hAnsi="Times New Roman"/>
                      <w:b/>
                      <w:color w:val="000000"/>
                      <w:lang w:eastAsia="pl-PL"/>
                    </w:rPr>
                  </w:pPr>
                  <w:r w:rsidRPr="008D4757">
                    <w:rPr>
                      <w:rFonts w:ascii="Times New Roman" w:eastAsia="Times New Roman" w:hAnsi="Times New Roman"/>
                      <w:b/>
                      <w:color w:val="000000"/>
                      <w:lang w:eastAsia="pl-PL"/>
                    </w:rPr>
                    <w:t>2017</w:t>
                  </w:r>
                </w:p>
              </w:tc>
              <w:tc>
                <w:tcPr>
                  <w:tcW w:w="960" w:type="dxa"/>
                  <w:tcBorders>
                    <w:top w:val="nil"/>
                    <w:left w:val="nil"/>
                    <w:bottom w:val="nil"/>
                    <w:right w:val="nil"/>
                  </w:tcBorders>
                  <w:shd w:val="clear" w:color="auto" w:fill="auto"/>
                  <w:noWrap/>
                  <w:vAlign w:val="bottom"/>
                  <w:hideMark/>
                </w:tcPr>
                <w:p w14:paraId="74DE109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62ECC3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C5D3AB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FA24510" w14:textId="77777777" w:rsidR="00976112" w:rsidRPr="00976112" w:rsidRDefault="00976112" w:rsidP="00976112">
                  <w:pPr>
                    <w:spacing w:line="240" w:lineRule="auto"/>
                    <w:rPr>
                      <w:rFonts w:eastAsia="Times New Roman"/>
                      <w:color w:val="000000"/>
                      <w:lang w:eastAsia="pl-PL"/>
                    </w:rPr>
                  </w:pPr>
                </w:p>
              </w:tc>
            </w:tr>
            <w:tr w:rsidR="00976112" w:rsidRPr="00976112" w14:paraId="6FB27177" w14:textId="77777777" w:rsidTr="00976112">
              <w:trPr>
                <w:trHeight w:val="585"/>
              </w:trPr>
              <w:tc>
                <w:tcPr>
                  <w:tcW w:w="960" w:type="dxa"/>
                  <w:tcBorders>
                    <w:top w:val="nil"/>
                    <w:left w:val="nil"/>
                    <w:bottom w:val="nil"/>
                    <w:right w:val="nil"/>
                  </w:tcBorders>
                  <w:shd w:val="clear" w:color="auto" w:fill="auto"/>
                  <w:noWrap/>
                  <w:vAlign w:val="bottom"/>
                  <w:hideMark/>
                </w:tcPr>
                <w:p w14:paraId="61FE215B" w14:textId="77777777" w:rsidR="00976112" w:rsidRPr="00976112" w:rsidRDefault="00976112" w:rsidP="00976112">
                  <w:pPr>
                    <w:spacing w:line="240" w:lineRule="auto"/>
                    <w:rPr>
                      <w:rFonts w:eastAsia="Times New Roman"/>
                      <w:color w:val="000000"/>
                      <w:lang w:eastAsia="pl-PL"/>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528117" w14:textId="77777777" w:rsidR="00976112" w:rsidRPr="008D4757" w:rsidRDefault="00976112" w:rsidP="00976112">
                  <w:pPr>
                    <w:spacing w:line="240" w:lineRule="auto"/>
                    <w:rPr>
                      <w:rFonts w:ascii="Times New Roman" w:eastAsia="Times New Roman" w:hAnsi="Times New Roman"/>
                      <w:color w:val="000000"/>
                      <w:lang w:eastAsia="pl-PL"/>
                    </w:rPr>
                  </w:pPr>
                  <w:r w:rsidRPr="008D4757">
                    <w:rPr>
                      <w:rFonts w:ascii="Times New Roman" w:eastAsia="Times New Roman" w:hAnsi="Times New Roman"/>
                      <w:color w:val="000000"/>
                      <w:lang w:eastAsia="pl-PL"/>
                    </w:rPr>
                    <w:t>Tak, raz zdarzyła się taka sytuacja</w:t>
                  </w:r>
                </w:p>
              </w:tc>
              <w:tc>
                <w:tcPr>
                  <w:tcW w:w="960" w:type="dxa"/>
                  <w:tcBorders>
                    <w:top w:val="nil"/>
                    <w:left w:val="nil"/>
                    <w:bottom w:val="single" w:sz="4" w:space="0" w:color="auto"/>
                    <w:right w:val="single" w:sz="4" w:space="0" w:color="auto"/>
                  </w:tcBorders>
                  <w:shd w:val="clear" w:color="auto" w:fill="auto"/>
                  <w:noWrap/>
                  <w:vAlign w:val="center"/>
                  <w:hideMark/>
                </w:tcPr>
                <w:p w14:paraId="112F31D0"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111 327</w:t>
                  </w:r>
                </w:p>
              </w:tc>
              <w:tc>
                <w:tcPr>
                  <w:tcW w:w="960" w:type="dxa"/>
                  <w:tcBorders>
                    <w:top w:val="nil"/>
                    <w:left w:val="nil"/>
                    <w:bottom w:val="single" w:sz="4" w:space="0" w:color="auto"/>
                    <w:right w:val="single" w:sz="4" w:space="0" w:color="auto"/>
                  </w:tcBorders>
                  <w:shd w:val="clear" w:color="auto" w:fill="auto"/>
                  <w:noWrap/>
                  <w:vAlign w:val="center"/>
                  <w:hideMark/>
                </w:tcPr>
                <w:p w14:paraId="5A96C61D"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147 168</w:t>
                  </w:r>
                </w:p>
              </w:tc>
              <w:tc>
                <w:tcPr>
                  <w:tcW w:w="960" w:type="dxa"/>
                  <w:tcBorders>
                    <w:top w:val="nil"/>
                    <w:left w:val="nil"/>
                    <w:bottom w:val="single" w:sz="4" w:space="0" w:color="auto"/>
                    <w:right w:val="single" w:sz="4" w:space="0" w:color="auto"/>
                  </w:tcBorders>
                  <w:shd w:val="clear" w:color="auto" w:fill="auto"/>
                  <w:noWrap/>
                  <w:vAlign w:val="center"/>
                  <w:hideMark/>
                </w:tcPr>
                <w:p w14:paraId="653B204C"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153 122</w:t>
                  </w:r>
                </w:p>
              </w:tc>
              <w:tc>
                <w:tcPr>
                  <w:tcW w:w="960" w:type="dxa"/>
                  <w:tcBorders>
                    <w:top w:val="nil"/>
                    <w:left w:val="nil"/>
                    <w:bottom w:val="single" w:sz="4" w:space="0" w:color="auto"/>
                    <w:right w:val="single" w:sz="4" w:space="0" w:color="auto"/>
                  </w:tcBorders>
                  <w:shd w:val="clear" w:color="auto" w:fill="auto"/>
                  <w:noWrap/>
                  <w:vAlign w:val="center"/>
                  <w:hideMark/>
                </w:tcPr>
                <w:p w14:paraId="2852F4AE"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215 326</w:t>
                  </w:r>
                </w:p>
              </w:tc>
              <w:tc>
                <w:tcPr>
                  <w:tcW w:w="960" w:type="dxa"/>
                  <w:tcBorders>
                    <w:top w:val="nil"/>
                    <w:left w:val="nil"/>
                    <w:bottom w:val="nil"/>
                    <w:right w:val="nil"/>
                  </w:tcBorders>
                  <w:shd w:val="clear" w:color="auto" w:fill="auto"/>
                  <w:noWrap/>
                  <w:vAlign w:val="bottom"/>
                  <w:hideMark/>
                </w:tcPr>
                <w:p w14:paraId="11816E5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D738D4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4FF85B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9B92AFA" w14:textId="77777777" w:rsidR="00976112" w:rsidRPr="00976112" w:rsidRDefault="00976112" w:rsidP="00976112">
                  <w:pPr>
                    <w:spacing w:line="240" w:lineRule="auto"/>
                    <w:rPr>
                      <w:rFonts w:eastAsia="Times New Roman"/>
                      <w:color w:val="000000"/>
                      <w:lang w:eastAsia="pl-PL"/>
                    </w:rPr>
                  </w:pPr>
                </w:p>
              </w:tc>
            </w:tr>
            <w:tr w:rsidR="00976112" w:rsidRPr="00976112" w14:paraId="7BF555B3" w14:textId="77777777" w:rsidTr="00976112">
              <w:trPr>
                <w:trHeight w:val="600"/>
              </w:trPr>
              <w:tc>
                <w:tcPr>
                  <w:tcW w:w="960" w:type="dxa"/>
                  <w:tcBorders>
                    <w:top w:val="nil"/>
                    <w:left w:val="nil"/>
                    <w:bottom w:val="nil"/>
                    <w:right w:val="nil"/>
                  </w:tcBorders>
                  <w:shd w:val="clear" w:color="auto" w:fill="auto"/>
                  <w:noWrap/>
                  <w:vAlign w:val="bottom"/>
                  <w:hideMark/>
                </w:tcPr>
                <w:p w14:paraId="2BB7C85C" w14:textId="77777777" w:rsidR="00976112" w:rsidRPr="00976112" w:rsidRDefault="00976112" w:rsidP="00976112">
                  <w:pPr>
                    <w:spacing w:line="240" w:lineRule="auto"/>
                    <w:rPr>
                      <w:rFonts w:eastAsia="Times New Roman"/>
                      <w:color w:val="000000"/>
                      <w:lang w:eastAsia="pl-PL"/>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8E3B14" w14:textId="77777777" w:rsidR="00976112" w:rsidRPr="008D4757" w:rsidRDefault="00976112" w:rsidP="00976112">
                  <w:pPr>
                    <w:spacing w:line="240" w:lineRule="auto"/>
                    <w:rPr>
                      <w:rFonts w:ascii="Times New Roman" w:eastAsia="Times New Roman" w:hAnsi="Times New Roman"/>
                      <w:color w:val="000000"/>
                      <w:lang w:eastAsia="pl-PL"/>
                    </w:rPr>
                  </w:pPr>
                  <w:r w:rsidRPr="008D4757">
                    <w:rPr>
                      <w:rFonts w:ascii="Times New Roman" w:eastAsia="Times New Roman" w:hAnsi="Times New Roman"/>
                      <w:color w:val="000000"/>
                      <w:lang w:eastAsia="pl-PL"/>
                    </w:rPr>
                    <w:t>Tak, dwa lub więcej razy</w:t>
                  </w:r>
                </w:p>
              </w:tc>
              <w:tc>
                <w:tcPr>
                  <w:tcW w:w="960" w:type="dxa"/>
                  <w:tcBorders>
                    <w:top w:val="nil"/>
                    <w:left w:val="nil"/>
                    <w:bottom w:val="single" w:sz="4" w:space="0" w:color="auto"/>
                    <w:right w:val="single" w:sz="4" w:space="0" w:color="auto"/>
                  </w:tcBorders>
                  <w:shd w:val="clear" w:color="auto" w:fill="auto"/>
                  <w:noWrap/>
                  <w:vAlign w:val="center"/>
                  <w:hideMark/>
                </w:tcPr>
                <w:p w14:paraId="1F7D36F3"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211 221</w:t>
                  </w:r>
                </w:p>
              </w:tc>
              <w:tc>
                <w:tcPr>
                  <w:tcW w:w="960" w:type="dxa"/>
                  <w:tcBorders>
                    <w:top w:val="nil"/>
                    <w:left w:val="nil"/>
                    <w:bottom w:val="single" w:sz="4" w:space="0" w:color="auto"/>
                    <w:right w:val="single" w:sz="4" w:space="0" w:color="auto"/>
                  </w:tcBorders>
                  <w:shd w:val="clear" w:color="auto" w:fill="auto"/>
                  <w:noWrap/>
                  <w:vAlign w:val="center"/>
                  <w:hideMark/>
                </w:tcPr>
                <w:p w14:paraId="21B1C319"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213 514</w:t>
                  </w:r>
                </w:p>
              </w:tc>
              <w:tc>
                <w:tcPr>
                  <w:tcW w:w="960" w:type="dxa"/>
                  <w:tcBorders>
                    <w:top w:val="nil"/>
                    <w:left w:val="nil"/>
                    <w:bottom w:val="single" w:sz="4" w:space="0" w:color="auto"/>
                    <w:right w:val="single" w:sz="4" w:space="0" w:color="auto"/>
                  </w:tcBorders>
                  <w:shd w:val="clear" w:color="auto" w:fill="auto"/>
                  <w:noWrap/>
                  <w:vAlign w:val="center"/>
                  <w:hideMark/>
                </w:tcPr>
                <w:p w14:paraId="3B96601D"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228 666</w:t>
                  </w:r>
                </w:p>
              </w:tc>
              <w:tc>
                <w:tcPr>
                  <w:tcW w:w="960" w:type="dxa"/>
                  <w:tcBorders>
                    <w:top w:val="nil"/>
                    <w:left w:val="nil"/>
                    <w:bottom w:val="single" w:sz="4" w:space="0" w:color="auto"/>
                    <w:right w:val="single" w:sz="4" w:space="0" w:color="auto"/>
                  </w:tcBorders>
                  <w:shd w:val="clear" w:color="auto" w:fill="auto"/>
                  <w:noWrap/>
                  <w:vAlign w:val="center"/>
                  <w:hideMark/>
                </w:tcPr>
                <w:p w14:paraId="12F1FDB2"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199 485</w:t>
                  </w:r>
                </w:p>
              </w:tc>
              <w:tc>
                <w:tcPr>
                  <w:tcW w:w="960" w:type="dxa"/>
                  <w:tcBorders>
                    <w:top w:val="nil"/>
                    <w:left w:val="nil"/>
                    <w:bottom w:val="nil"/>
                    <w:right w:val="nil"/>
                  </w:tcBorders>
                  <w:shd w:val="clear" w:color="auto" w:fill="auto"/>
                  <w:noWrap/>
                  <w:vAlign w:val="bottom"/>
                  <w:hideMark/>
                </w:tcPr>
                <w:p w14:paraId="689E623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F2BB06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A1C1F8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3F1BD3B" w14:textId="77777777" w:rsidR="00976112" w:rsidRPr="00976112" w:rsidRDefault="00976112" w:rsidP="00976112">
                  <w:pPr>
                    <w:spacing w:line="240" w:lineRule="auto"/>
                    <w:rPr>
                      <w:rFonts w:eastAsia="Times New Roman"/>
                      <w:color w:val="000000"/>
                      <w:lang w:eastAsia="pl-PL"/>
                    </w:rPr>
                  </w:pPr>
                </w:p>
              </w:tc>
            </w:tr>
            <w:tr w:rsidR="00976112" w:rsidRPr="00976112" w14:paraId="3A60DA84" w14:textId="77777777" w:rsidTr="00976112">
              <w:trPr>
                <w:trHeight w:val="300"/>
              </w:trPr>
              <w:tc>
                <w:tcPr>
                  <w:tcW w:w="960" w:type="dxa"/>
                  <w:tcBorders>
                    <w:top w:val="nil"/>
                    <w:left w:val="nil"/>
                    <w:bottom w:val="nil"/>
                    <w:right w:val="nil"/>
                  </w:tcBorders>
                  <w:shd w:val="clear" w:color="auto" w:fill="auto"/>
                  <w:noWrap/>
                  <w:vAlign w:val="bottom"/>
                  <w:hideMark/>
                </w:tcPr>
                <w:p w14:paraId="0DE5A8FE" w14:textId="77777777" w:rsidR="00976112" w:rsidRPr="00976112" w:rsidRDefault="00976112" w:rsidP="00976112">
                  <w:pPr>
                    <w:spacing w:line="240" w:lineRule="auto"/>
                    <w:rPr>
                      <w:rFonts w:eastAsia="Times New Roman"/>
                      <w:color w:val="000000"/>
                      <w:lang w:eastAsia="pl-PL"/>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0E094" w14:textId="77777777" w:rsidR="00976112" w:rsidRPr="008D4757" w:rsidRDefault="00976112" w:rsidP="00976112">
                  <w:pPr>
                    <w:spacing w:line="240" w:lineRule="auto"/>
                    <w:jc w:val="center"/>
                    <w:rPr>
                      <w:rFonts w:ascii="Times New Roman" w:eastAsia="Times New Roman" w:hAnsi="Times New Roman"/>
                      <w:color w:val="000000"/>
                      <w:lang w:eastAsia="pl-PL"/>
                    </w:rPr>
                  </w:pPr>
                  <w:r w:rsidRPr="008D4757">
                    <w:rPr>
                      <w:rFonts w:ascii="Times New Roman" w:eastAsia="Times New Roman" w:hAnsi="Times New Roman"/>
                      <w:color w:val="000000"/>
                      <w:lang w:eastAsia="pl-PL"/>
                    </w:rPr>
                    <w:t>Razem</w:t>
                  </w:r>
                </w:p>
              </w:tc>
              <w:tc>
                <w:tcPr>
                  <w:tcW w:w="960" w:type="dxa"/>
                  <w:tcBorders>
                    <w:top w:val="nil"/>
                    <w:left w:val="nil"/>
                    <w:bottom w:val="single" w:sz="4" w:space="0" w:color="auto"/>
                    <w:right w:val="single" w:sz="4" w:space="0" w:color="auto"/>
                  </w:tcBorders>
                  <w:shd w:val="clear" w:color="auto" w:fill="auto"/>
                  <w:noWrap/>
                  <w:vAlign w:val="bottom"/>
                  <w:hideMark/>
                </w:tcPr>
                <w:p w14:paraId="57047278" w14:textId="77777777" w:rsidR="00976112" w:rsidRPr="008D4757" w:rsidRDefault="00976112" w:rsidP="00976112">
                  <w:pPr>
                    <w:spacing w:line="240" w:lineRule="auto"/>
                    <w:jc w:val="right"/>
                    <w:rPr>
                      <w:rFonts w:ascii="Times New Roman" w:eastAsia="Times New Roman" w:hAnsi="Times New Roman"/>
                      <w:color w:val="000000"/>
                      <w:lang w:eastAsia="pl-PL"/>
                    </w:rPr>
                  </w:pPr>
                  <w:r w:rsidRPr="008D4757">
                    <w:rPr>
                      <w:rFonts w:ascii="Times New Roman" w:eastAsia="Times New Roman" w:hAnsi="Times New Roman"/>
                      <w:color w:val="000000"/>
                      <w:lang w:eastAsia="pl-PL"/>
                    </w:rPr>
                    <w:t>322 548</w:t>
                  </w:r>
                </w:p>
              </w:tc>
              <w:tc>
                <w:tcPr>
                  <w:tcW w:w="960" w:type="dxa"/>
                  <w:tcBorders>
                    <w:top w:val="nil"/>
                    <w:left w:val="nil"/>
                    <w:bottom w:val="single" w:sz="4" w:space="0" w:color="auto"/>
                    <w:right w:val="single" w:sz="4" w:space="0" w:color="auto"/>
                  </w:tcBorders>
                  <w:shd w:val="clear" w:color="auto" w:fill="auto"/>
                  <w:noWrap/>
                  <w:vAlign w:val="bottom"/>
                  <w:hideMark/>
                </w:tcPr>
                <w:p w14:paraId="60A8443A" w14:textId="77777777" w:rsidR="00976112" w:rsidRPr="008D4757" w:rsidRDefault="00976112" w:rsidP="00976112">
                  <w:pPr>
                    <w:spacing w:line="240" w:lineRule="auto"/>
                    <w:jc w:val="right"/>
                    <w:rPr>
                      <w:rFonts w:ascii="Times New Roman" w:eastAsia="Times New Roman" w:hAnsi="Times New Roman"/>
                      <w:color w:val="000000"/>
                      <w:lang w:eastAsia="pl-PL"/>
                    </w:rPr>
                  </w:pPr>
                  <w:r w:rsidRPr="008D4757">
                    <w:rPr>
                      <w:rFonts w:ascii="Times New Roman" w:eastAsia="Times New Roman" w:hAnsi="Times New Roman"/>
                      <w:color w:val="000000"/>
                      <w:lang w:eastAsia="pl-PL"/>
                    </w:rPr>
                    <w:t>360 682</w:t>
                  </w:r>
                </w:p>
              </w:tc>
              <w:tc>
                <w:tcPr>
                  <w:tcW w:w="960" w:type="dxa"/>
                  <w:tcBorders>
                    <w:top w:val="nil"/>
                    <w:left w:val="nil"/>
                    <w:bottom w:val="single" w:sz="4" w:space="0" w:color="auto"/>
                    <w:right w:val="single" w:sz="4" w:space="0" w:color="auto"/>
                  </w:tcBorders>
                  <w:shd w:val="clear" w:color="auto" w:fill="auto"/>
                  <w:noWrap/>
                  <w:vAlign w:val="bottom"/>
                  <w:hideMark/>
                </w:tcPr>
                <w:p w14:paraId="324E4EB8" w14:textId="77777777" w:rsidR="00976112" w:rsidRPr="008D4757" w:rsidRDefault="00976112" w:rsidP="00976112">
                  <w:pPr>
                    <w:spacing w:line="240" w:lineRule="auto"/>
                    <w:jc w:val="right"/>
                    <w:rPr>
                      <w:rFonts w:ascii="Times New Roman" w:eastAsia="Times New Roman" w:hAnsi="Times New Roman"/>
                      <w:color w:val="000000"/>
                      <w:lang w:eastAsia="pl-PL"/>
                    </w:rPr>
                  </w:pPr>
                  <w:r w:rsidRPr="008D4757">
                    <w:rPr>
                      <w:rFonts w:ascii="Times New Roman" w:eastAsia="Times New Roman" w:hAnsi="Times New Roman"/>
                      <w:color w:val="000000"/>
                      <w:lang w:eastAsia="pl-PL"/>
                    </w:rPr>
                    <w:t>381 788</w:t>
                  </w:r>
                </w:p>
              </w:tc>
              <w:tc>
                <w:tcPr>
                  <w:tcW w:w="960" w:type="dxa"/>
                  <w:tcBorders>
                    <w:top w:val="nil"/>
                    <w:left w:val="nil"/>
                    <w:bottom w:val="single" w:sz="4" w:space="0" w:color="auto"/>
                    <w:right w:val="single" w:sz="4" w:space="0" w:color="auto"/>
                  </w:tcBorders>
                  <w:shd w:val="clear" w:color="auto" w:fill="auto"/>
                  <w:noWrap/>
                  <w:vAlign w:val="bottom"/>
                  <w:hideMark/>
                </w:tcPr>
                <w:p w14:paraId="012EC708" w14:textId="77777777" w:rsidR="00976112" w:rsidRPr="008D4757" w:rsidRDefault="00976112" w:rsidP="00976112">
                  <w:pPr>
                    <w:spacing w:line="240" w:lineRule="auto"/>
                    <w:jc w:val="right"/>
                    <w:rPr>
                      <w:rFonts w:ascii="Times New Roman" w:eastAsia="Times New Roman" w:hAnsi="Times New Roman"/>
                      <w:color w:val="000000"/>
                      <w:lang w:eastAsia="pl-PL"/>
                    </w:rPr>
                  </w:pPr>
                  <w:r w:rsidRPr="008D4757">
                    <w:rPr>
                      <w:rFonts w:ascii="Times New Roman" w:eastAsia="Times New Roman" w:hAnsi="Times New Roman"/>
                      <w:color w:val="000000"/>
                      <w:lang w:eastAsia="pl-PL"/>
                    </w:rPr>
                    <w:t>414 811</w:t>
                  </w:r>
                </w:p>
              </w:tc>
              <w:tc>
                <w:tcPr>
                  <w:tcW w:w="960" w:type="dxa"/>
                  <w:tcBorders>
                    <w:top w:val="nil"/>
                    <w:left w:val="nil"/>
                    <w:bottom w:val="nil"/>
                    <w:right w:val="nil"/>
                  </w:tcBorders>
                  <w:shd w:val="clear" w:color="auto" w:fill="auto"/>
                  <w:noWrap/>
                  <w:vAlign w:val="bottom"/>
                  <w:hideMark/>
                </w:tcPr>
                <w:p w14:paraId="7A963DB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0CB98E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DB6F86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F63FFFF" w14:textId="77777777" w:rsidR="00976112" w:rsidRPr="00976112" w:rsidRDefault="00976112" w:rsidP="00976112">
                  <w:pPr>
                    <w:spacing w:line="240" w:lineRule="auto"/>
                    <w:rPr>
                      <w:rFonts w:eastAsia="Times New Roman"/>
                      <w:color w:val="000000"/>
                      <w:lang w:eastAsia="pl-PL"/>
                    </w:rPr>
                  </w:pPr>
                </w:p>
              </w:tc>
            </w:tr>
            <w:tr w:rsidR="00976112" w:rsidRPr="00976112" w14:paraId="3F0834AC" w14:textId="77777777" w:rsidTr="00976112">
              <w:trPr>
                <w:trHeight w:val="300"/>
              </w:trPr>
              <w:tc>
                <w:tcPr>
                  <w:tcW w:w="960" w:type="dxa"/>
                  <w:tcBorders>
                    <w:top w:val="nil"/>
                    <w:left w:val="nil"/>
                    <w:bottom w:val="nil"/>
                    <w:right w:val="nil"/>
                  </w:tcBorders>
                  <w:shd w:val="clear" w:color="auto" w:fill="auto"/>
                  <w:noWrap/>
                  <w:vAlign w:val="bottom"/>
                  <w:hideMark/>
                </w:tcPr>
                <w:p w14:paraId="30ABBD9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7960AB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225469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B133A8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BB9DF3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4B4BFA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528795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CC440D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FF78AF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699DA2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752D026" w14:textId="77777777" w:rsidR="00976112" w:rsidRPr="00976112" w:rsidRDefault="00976112" w:rsidP="00976112">
                  <w:pPr>
                    <w:spacing w:line="240" w:lineRule="auto"/>
                    <w:rPr>
                      <w:rFonts w:eastAsia="Times New Roman"/>
                      <w:color w:val="000000"/>
                      <w:lang w:eastAsia="pl-PL"/>
                    </w:rPr>
                  </w:pPr>
                </w:p>
              </w:tc>
            </w:tr>
            <w:tr w:rsidR="00976112" w:rsidRPr="00976112" w14:paraId="7E921E25" w14:textId="77777777" w:rsidTr="00976112">
              <w:trPr>
                <w:trHeight w:val="300"/>
              </w:trPr>
              <w:tc>
                <w:tcPr>
                  <w:tcW w:w="960" w:type="dxa"/>
                  <w:tcBorders>
                    <w:top w:val="nil"/>
                    <w:left w:val="nil"/>
                    <w:bottom w:val="nil"/>
                    <w:right w:val="nil"/>
                  </w:tcBorders>
                  <w:shd w:val="clear" w:color="auto" w:fill="auto"/>
                  <w:noWrap/>
                  <w:vAlign w:val="bottom"/>
                  <w:hideMark/>
                </w:tcPr>
                <w:p w14:paraId="38D96F7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89719C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7C4BB7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15790D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75CDAE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045C1D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F2AB96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517DC9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F7678D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F062D0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AFAB22B" w14:textId="77777777" w:rsidR="00976112" w:rsidRPr="00976112" w:rsidRDefault="00976112" w:rsidP="00976112">
                  <w:pPr>
                    <w:spacing w:line="240" w:lineRule="auto"/>
                    <w:rPr>
                      <w:rFonts w:eastAsia="Times New Roman"/>
                      <w:color w:val="000000"/>
                      <w:lang w:eastAsia="pl-PL"/>
                    </w:rPr>
                  </w:pPr>
                </w:p>
              </w:tc>
            </w:tr>
            <w:tr w:rsidR="00976112" w:rsidRPr="00976112" w14:paraId="6EECCE91" w14:textId="77777777" w:rsidTr="00976112">
              <w:trPr>
                <w:trHeight w:val="300"/>
              </w:trPr>
              <w:tc>
                <w:tcPr>
                  <w:tcW w:w="960" w:type="dxa"/>
                  <w:tcBorders>
                    <w:top w:val="nil"/>
                    <w:left w:val="nil"/>
                    <w:bottom w:val="nil"/>
                    <w:right w:val="nil"/>
                  </w:tcBorders>
                  <w:shd w:val="clear" w:color="auto" w:fill="auto"/>
                  <w:noWrap/>
                  <w:vAlign w:val="bottom"/>
                  <w:hideMark/>
                </w:tcPr>
                <w:p w14:paraId="469B5B77" w14:textId="77777777" w:rsidR="00976112" w:rsidRPr="00976112" w:rsidRDefault="006F3738" w:rsidP="00976112">
                  <w:pPr>
                    <w:spacing w:line="240" w:lineRule="auto"/>
                    <w:rPr>
                      <w:rFonts w:eastAsia="Times New Roman"/>
                      <w:color w:val="000000"/>
                      <w:lang w:eastAsia="pl-PL"/>
                    </w:rPr>
                  </w:pPr>
                  <w:r>
                    <w:rPr>
                      <w:rFonts w:eastAsia="Times New Roman"/>
                      <w:noProof/>
                      <w:color w:val="000000"/>
                      <w:lang w:eastAsia="pl-PL"/>
                    </w:rPr>
                    <w:drawing>
                      <wp:anchor distT="0" distB="0" distL="114300" distR="114300" simplePos="0" relativeHeight="251657728" behindDoc="0" locked="0" layoutInCell="1" allowOverlap="1" wp14:anchorId="02E87725" wp14:editId="2B2F7CEA">
                        <wp:simplePos x="0" y="0"/>
                        <wp:positionH relativeFrom="column">
                          <wp:posOffset>590550</wp:posOffset>
                        </wp:positionH>
                        <wp:positionV relativeFrom="paragraph">
                          <wp:posOffset>76200</wp:posOffset>
                        </wp:positionV>
                        <wp:extent cx="5495925" cy="3228975"/>
                        <wp:effectExtent l="0" t="0" r="9525" b="9525"/>
                        <wp:wrapNone/>
                        <wp:docPr id="3" name="Wykres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32289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976112" w:rsidRPr="00976112" w14:paraId="0A7B08AA" w14:textId="77777777">
                    <w:trPr>
                      <w:trHeight w:val="300"/>
                      <w:tblCellSpacing w:w="0" w:type="dxa"/>
                    </w:trPr>
                    <w:tc>
                      <w:tcPr>
                        <w:tcW w:w="960" w:type="dxa"/>
                        <w:tcBorders>
                          <w:top w:val="nil"/>
                          <w:left w:val="nil"/>
                          <w:bottom w:val="nil"/>
                          <w:right w:val="nil"/>
                        </w:tcBorders>
                        <w:shd w:val="clear" w:color="auto" w:fill="auto"/>
                        <w:noWrap/>
                        <w:vAlign w:val="bottom"/>
                        <w:hideMark/>
                      </w:tcPr>
                      <w:p w14:paraId="5110BEF8" w14:textId="77777777" w:rsidR="00976112" w:rsidRPr="00976112" w:rsidRDefault="00976112" w:rsidP="00976112">
                        <w:pPr>
                          <w:spacing w:line="240" w:lineRule="auto"/>
                          <w:rPr>
                            <w:rFonts w:eastAsia="Times New Roman"/>
                            <w:color w:val="000000"/>
                            <w:lang w:eastAsia="pl-PL"/>
                          </w:rPr>
                        </w:pPr>
                      </w:p>
                    </w:tc>
                  </w:tr>
                </w:tbl>
                <w:p w14:paraId="2D0809B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868C46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642D1D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C78468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D3739D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AB36DF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08E435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CB9692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004827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80D118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8653D48" w14:textId="77777777" w:rsidR="00976112" w:rsidRPr="00976112" w:rsidRDefault="00976112" w:rsidP="00976112">
                  <w:pPr>
                    <w:spacing w:line="240" w:lineRule="auto"/>
                    <w:rPr>
                      <w:rFonts w:eastAsia="Times New Roman"/>
                      <w:color w:val="000000"/>
                      <w:lang w:eastAsia="pl-PL"/>
                    </w:rPr>
                  </w:pPr>
                </w:p>
              </w:tc>
            </w:tr>
            <w:tr w:rsidR="00976112" w:rsidRPr="00976112" w14:paraId="060F3624" w14:textId="77777777" w:rsidTr="00976112">
              <w:trPr>
                <w:trHeight w:val="300"/>
              </w:trPr>
              <w:tc>
                <w:tcPr>
                  <w:tcW w:w="960" w:type="dxa"/>
                  <w:tcBorders>
                    <w:top w:val="nil"/>
                    <w:left w:val="nil"/>
                    <w:bottom w:val="nil"/>
                    <w:right w:val="nil"/>
                  </w:tcBorders>
                  <w:shd w:val="clear" w:color="auto" w:fill="auto"/>
                  <w:noWrap/>
                  <w:vAlign w:val="bottom"/>
                  <w:hideMark/>
                </w:tcPr>
                <w:p w14:paraId="0DBD819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A2173D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066E8B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6FA588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D22CE5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B51D7C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DCF21B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E4C529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108B1F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5A0EF8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A1300B7" w14:textId="77777777" w:rsidR="00976112" w:rsidRPr="00976112" w:rsidRDefault="00976112" w:rsidP="00976112">
                  <w:pPr>
                    <w:spacing w:line="240" w:lineRule="auto"/>
                    <w:rPr>
                      <w:rFonts w:eastAsia="Times New Roman"/>
                      <w:color w:val="000000"/>
                      <w:lang w:eastAsia="pl-PL"/>
                    </w:rPr>
                  </w:pPr>
                </w:p>
              </w:tc>
            </w:tr>
            <w:tr w:rsidR="00976112" w:rsidRPr="00976112" w14:paraId="095D95E0" w14:textId="77777777" w:rsidTr="00976112">
              <w:trPr>
                <w:trHeight w:val="300"/>
              </w:trPr>
              <w:tc>
                <w:tcPr>
                  <w:tcW w:w="960" w:type="dxa"/>
                  <w:tcBorders>
                    <w:top w:val="nil"/>
                    <w:left w:val="nil"/>
                    <w:bottom w:val="nil"/>
                    <w:right w:val="nil"/>
                  </w:tcBorders>
                  <w:shd w:val="clear" w:color="auto" w:fill="auto"/>
                  <w:noWrap/>
                  <w:vAlign w:val="bottom"/>
                  <w:hideMark/>
                </w:tcPr>
                <w:p w14:paraId="109CA56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481F4D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89BFF6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3A1FDF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897D32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38B64E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5AA58B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31B49A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8E5D40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403DF4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39A167D" w14:textId="77777777" w:rsidR="00976112" w:rsidRPr="00976112" w:rsidRDefault="00976112" w:rsidP="00976112">
                  <w:pPr>
                    <w:spacing w:line="240" w:lineRule="auto"/>
                    <w:rPr>
                      <w:rFonts w:eastAsia="Times New Roman"/>
                      <w:color w:val="000000"/>
                      <w:lang w:eastAsia="pl-PL"/>
                    </w:rPr>
                  </w:pPr>
                </w:p>
              </w:tc>
            </w:tr>
            <w:tr w:rsidR="00976112" w:rsidRPr="00976112" w14:paraId="246B33DF" w14:textId="77777777" w:rsidTr="00976112">
              <w:trPr>
                <w:trHeight w:val="300"/>
              </w:trPr>
              <w:tc>
                <w:tcPr>
                  <w:tcW w:w="960" w:type="dxa"/>
                  <w:tcBorders>
                    <w:top w:val="nil"/>
                    <w:left w:val="nil"/>
                    <w:bottom w:val="nil"/>
                    <w:right w:val="nil"/>
                  </w:tcBorders>
                  <w:shd w:val="clear" w:color="auto" w:fill="auto"/>
                  <w:noWrap/>
                  <w:vAlign w:val="bottom"/>
                  <w:hideMark/>
                </w:tcPr>
                <w:p w14:paraId="664B6B6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663E44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13A12F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BF5B7F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C9E4CE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FF9F8A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3C5603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608B1E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69E1D9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AE33EC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AEBD585" w14:textId="77777777" w:rsidR="00976112" w:rsidRPr="00976112" w:rsidRDefault="00976112" w:rsidP="00976112">
                  <w:pPr>
                    <w:spacing w:line="240" w:lineRule="auto"/>
                    <w:rPr>
                      <w:rFonts w:eastAsia="Times New Roman"/>
                      <w:color w:val="000000"/>
                      <w:lang w:eastAsia="pl-PL"/>
                    </w:rPr>
                  </w:pPr>
                </w:p>
              </w:tc>
            </w:tr>
            <w:tr w:rsidR="00976112" w:rsidRPr="00976112" w14:paraId="25000F9A" w14:textId="77777777" w:rsidTr="00976112">
              <w:trPr>
                <w:trHeight w:val="300"/>
              </w:trPr>
              <w:tc>
                <w:tcPr>
                  <w:tcW w:w="960" w:type="dxa"/>
                  <w:tcBorders>
                    <w:top w:val="nil"/>
                    <w:left w:val="nil"/>
                    <w:bottom w:val="nil"/>
                    <w:right w:val="nil"/>
                  </w:tcBorders>
                  <w:shd w:val="clear" w:color="auto" w:fill="auto"/>
                  <w:noWrap/>
                  <w:vAlign w:val="bottom"/>
                  <w:hideMark/>
                </w:tcPr>
                <w:p w14:paraId="3FB1C2B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1878BA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805166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6384E1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919CEA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E19E33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22F7DB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2F5C3A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960653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216DC1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2078180" w14:textId="77777777" w:rsidR="00976112" w:rsidRPr="00976112" w:rsidRDefault="00976112" w:rsidP="00976112">
                  <w:pPr>
                    <w:spacing w:line="240" w:lineRule="auto"/>
                    <w:rPr>
                      <w:rFonts w:eastAsia="Times New Roman"/>
                      <w:color w:val="000000"/>
                      <w:lang w:eastAsia="pl-PL"/>
                    </w:rPr>
                  </w:pPr>
                </w:p>
              </w:tc>
            </w:tr>
            <w:tr w:rsidR="00976112" w:rsidRPr="00976112" w14:paraId="6C75BE08" w14:textId="77777777" w:rsidTr="00976112">
              <w:trPr>
                <w:trHeight w:val="300"/>
              </w:trPr>
              <w:tc>
                <w:tcPr>
                  <w:tcW w:w="960" w:type="dxa"/>
                  <w:tcBorders>
                    <w:top w:val="nil"/>
                    <w:left w:val="nil"/>
                    <w:bottom w:val="nil"/>
                    <w:right w:val="nil"/>
                  </w:tcBorders>
                  <w:shd w:val="clear" w:color="auto" w:fill="auto"/>
                  <w:noWrap/>
                  <w:vAlign w:val="bottom"/>
                  <w:hideMark/>
                </w:tcPr>
                <w:p w14:paraId="0E63436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11E036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774CA8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68B580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ABD692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F77B7C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ED18F5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8745B0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2D55A1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DEDD47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7FC7DE0" w14:textId="77777777" w:rsidR="00976112" w:rsidRPr="00976112" w:rsidRDefault="00976112" w:rsidP="00976112">
                  <w:pPr>
                    <w:spacing w:line="240" w:lineRule="auto"/>
                    <w:rPr>
                      <w:rFonts w:eastAsia="Times New Roman"/>
                      <w:color w:val="000000"/>
                      <w:lang w:eastAsia="pl-PL"/>
                    </w:rPr>
                  </w:pPr>
                </w:p>
              </w:tc>
            </w:tr>
            <w:tr w:rsidR="00976112" w:rsidRPr="00976112" w14:paraId="52962560" w14:textId="77777777" w:rsidTr="00976112">
              <w:trPr>
                <w:trHeight w:val="300"/>
              </w:trPr>
              <w:tc>
                <w:tcPr>
                  <w:tcW w:w="960" w:type="dxa"/>
                  <w:tcBorders>
                    <w:top w:val="nil"/>
                    <w:left w:val="nil"/>
                    <w:bottom w:val="nil"/>
                    <w:right w:val="nil"/>
                  </w:tcBorders>
                  <w:shd w:val="clear" w:color="auto" w:fill="auto"/>
                  <w:noWrap/>
                  <w:vAlign w:val="bottom"/>
                  <w:hideMark/>
                </w:tcPr>
                <w:p w14:paraId="7C0839E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2A3579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F635C7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1DF5F0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14D7DE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4E442D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3E4FAD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278B21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B5448D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B7A191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6219D24" w14:textId="77777777" w:rsidR="00976112" w:rsidRPr="00976112" w:rsidRDefault="00976112" w:rsidP="00976112">
                  <w:pPr>
                    <w:spacing w:line="240" w:lineRule="auto"/>
                    <w:rPr>
                      <w:rFonts w:eastAsia="Times New Roman"/>
                      <w:color w:val="000000"/>
                      <w:lang w:eastAsia="pl-PL"/>
                    </w:rPr>
                  </w:pPr>
                </w:p>
              </w:tc>
            </w:tr>
            <w:tr w:rsidR="00976112" w:rsidRPr="00976112" w14:paraId="34287688" w14:textId="77777777" w:rsidTr="00976112">
              <w:trPr>
                <w:trHeight w:val="300"/>
              </w:trPr>
              <w:tc>
                <w:tcPr>
                  <w:tcW w:w="960" w:type="dxa"/>
                  <w:tcBorders>
                    <w:top w:val="nil"/>
                    <w:left w:val="nil"/>
                    <w:bottom w:val="nil"/>
                    <w:right w:val="nil"/>
                  </w:tcBorders>
                  <w:shd w:val="clear" w:color="auto" w:fill="auto"/>
                  <w:noWrap/>
                  <w:vAlign w:val="bottom"/>
                  <w:hideMark/>
                </w:tcPr>
                <w:p w14:paraId="6524AFA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B73D3C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590CDB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F30BD7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BE0A1B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3A7F6F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DBB332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1A5766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3BCC36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BA1532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6FF1DD5" w14:textId="77777777" w:rsidR="00976112" w:rsidRPr="00976112" w:rsidRDefault="00976112" w:rsidP="00976112">
                  <w:pPr>
                    <w:spacing w:line="240" w:lineRule="auto"/>
                    <w:rPr>
                      <w:rFonts w:eastAsia="Times New Roman"/>
                      <w:color w:val="000000"/>
                      <w:lang w:eastAsia="pl-PL"/>
                    </w:rPr>
                  </w:pPr>
                </w:p>
              </w:tc>
            </w:tr>
            <w:tr w:rsidR="00976112" w:rsidRPr="00976112" w14:paraId="7C1129C4" w14:textId="77777777" w:rsidTr="00976112">
              <w:trPr>
                <w:trHeight w:val="300"/>
              </w:trPr>
              <w:tc>
                <w:tcPr>
                  <w:tcW w:w="960" w:type="dxa"/>
                  <w:tcBorders>
                    <w:top w:val="nil"/>
                    <w:left w:val="nil"/>
                    <w:bottom w:val="nil"/>
                    <w:right w:val="nil"/>
                  </w:tcBorders>
                  <w:shd w:val="clear" w:color="auto" w:fill="auto"/>
                  <w:noWrap/>
                  <w:vAlign w:val="bottom"/>
                  <w:hideMark/>
                </w:tcPr>
                <w:p w14:paraId="0F58068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EFEB7E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CE179A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1059F2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FB6F1E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86A41B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F68143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6DD9E0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F03ACD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B0B509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C203EAB" w14:textId="77777777" w:rsidR="00976112" w:rsidRPr="00976112" w:rsidRDefault="00976112" w:rsidP="00976112">
                  <w:pPr>
                    <w:spacing w:line="240" w:lineRule="auto"/>
                    <w:rPr>
                      <w:rFonts w:eastAsia="Times New Roman"/>
                      <w:color w:val="000000"/>
                      <w:lang w:eastAsia="pl-PL"/>
                    </w:rPr>
                  </w:pPr>
                </w:p>
              </w:tc>
            </w:tr>
            <w:tr w:rsidR="00976112" w:rsidRPr="00976112" w14:paraId="7979F5A9" w14:textId="77777777" w:rsidTr="00976112">
              <w:trPr>
                <w:trHeight w:val="300"/>
              </w:trPr>
              <w:tc>
                <w:tcPr>
                  <w:tcW w:w="960" w:type="dxa"/>
                  <w:tcBorders>
                    <w:top w:val="nil"/>
                    <w:left w:val="nil"/>
                    <w:bottom w:val="nil"/>
                    <w:right w:val="nil"/>
                  </w:tcBorders>
                  <w:shd w:val="clear" w:color="auto" w:fill="auto"/>
                  <w:noWrap/>
                  <w:vAlign w:val="bottom"/>
                  <w:hideMark/>
                </w:tcPr>
                <w:p w14:paraId="397C49F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02DD1F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8DC865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F196A8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D18911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283D7B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6F804D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3DD7E4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3420DB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813CCB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AA14FA9" w14:textId="77777777" w:rsidR="00976112" w:rsidRPr="00976112" w:rsidRDefault="00976112" w:rsidP="00976112">
                  <w:pPr>
                    <w:spacing w:line="240" w:lineRule="auto"/>
                    <w:rPr>
                      <w:rFonts w:eastAsia="Times New Roman"/>
                      <w:color w:val="000000"/>
                      <w:lang w:eastAsia="pl-PL"/>
                    </w:rPr>
                  </w:pPr>
                </w:p>
              </w:tc>
            </w:tr>
            <w:tr w:rsidR="00976112" w:rsidRPr="00976112" w14:paraId="637C6F57" w14:textId="77777777" w:rsidTr="00976112">
              <w:trPr>
                <w:trHeight w:val="300"/>
              </w:trPr>
              <w:tc>
                <w:tcPr>
                  <w:tcW w:w="960" w:type="dxa"/>
                  <w:tcBorders>
                    <w:top w:val="nil"/>
                    <w:left w:val="nil"/>
                    <w:bottom w:val="nil"/>
                    <w:right w:val="nil"/>
                  </w:tcBorders>
                  <w:shd w:val="clear" w:color="auto" w:fill="auto"/>
                  <w:noWrap/>
                  <w:vAlign w:val="bottom"/>
                  <w:hideMark/>
                </w:tcPr>
                <w:p w14:paraId="56D24A7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C8034B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D7316C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33D1F3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AE35BC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F455A4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2A55D5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CFA9CA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557DE6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6FAEC7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34E0758" w14:textId="77777777" w:rsidR="00976112" w:rsidRPr="00976112" w:rsidRDefault="00976112" w:rsidP="00976112">
                  <w:pPr>
                    <w:spacing w:line="240" w:lineRule="auto"/>
                    <w:rPr>
                      <w:rFonts w:eastAsia="Times New Roman"/>
                      <w:color w:val="000000"/>
                      <w:lang w:eastAsia="pl-PL"/>
                    </w:rPr>
                  </w:pPr>
                </w:p>
              </w:tc>
            </w:tr>
            <w:tr w:rsidR="00976112" w:rsidRPr="00976112" w14:paraId="257F6BEA" w14:textId="77777777" w:rsidTr="00976112">
              <w:trPr>
                <w:trHeight w:val="300"/>
              </w:trPr>
              <w:tc>
                <w:tcPr>
                  <w:tcW w:w="960" w:type="dxa"/>
                  <w:tcBorders>
                    <w:top w:val="nil"/>
                    <w:left w:val="nil"/>
                    <w:bottom w:val="nil"/>
                    <w:right w:val="nil"/>
                  </w:tcBorders>
                  <w:shd w:val="clear" w:color="auto" w:fill="auto"/>
                  <w:noWrap/>
                  <w:vAlign w:val="bottom"/>
                  <w:hideMark/>
                </w:tcPr>
                <w:p w14:paraId="37C85B8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C6C7C1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8E0AE8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E956CA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5753DA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DCBB98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B98C21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E5B9F2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BF6C74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548F7A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B513587" w14:textId="77777777" w:rsidR="00976112" w:rsidRPr="00976112" w:rsidRDefault="00976112" w:rsidP="00976112">
                  <w:pPr>
                    <w:spacing w:line="240" w:lineRule="auto"/>
                    <w:rPr>
                      <w:rFonts w:eastAsia="Times New Roman"/>
                      <w:color w:val="000000"/>
                      <w:lang w:eastAsia="pl-PL"/>
                    </w:rPr>
                  </w:pPr>
                </w:p>
              </w:tc>
            </w:tr>
            <w:tr w:rsidR="00976112" w:rsidRPr="00976112" w14:paraId="0333EF7A" w14:textId="77777777" w:rsidTr="00976112">
              <w:trPr>
                <w:trHeight w:val="300"/>
              </w:trPr>
              <w:tc>
                <w:tcPr>
                  <w:tcW w:w="960" w:type="dxa"/>
                  <w:tcBorders>
                    <w:top w:val="nil"/>
                    <w:left w:val="nil"/>
                    <w:bottom w:val="nil"/>
                    <w:right w:val="nil"/>
                  </w:tcBorders>
                  <w:shd w:val="clear" w:color="auto" w:fill="auto"/>
                  <w:noWrap/>
                  <w:vAlign w:val="bottom"/>
                  <w:hideMark/>
                </w:tcPr>
                <w:p w14:paraId="245BAAD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BB5510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5F2FE8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61B00F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500FCF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1F565A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E4A5E7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615B83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A4810E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9BD7DB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58C5208" w14:textId="77777777" w:rsidR="00976112" w:rsidRPr="00976112" w:rsidRDefault="00976112" w:rsidP="00976112">
                  <w:pPr>
                    <w:spacing w:line="240" w:lineRule="auto"/>
                    <w:rPr>
                      <w:rFonts w:eastAsia="Times New Roman"/>
                      <w:color w:val="000000"/>
                      <w:lang w:eastAsia="pl-PL"/>
                    </w:rPr>
                  </w:pPr>
                </w:p>
              </w:tc>
            </w:tr>
            <w:tr w:rsidR="00976112" w:rsidRPr="00976112" w14:paraId="54A0C6DE" w14:textId="77777777" w:rsidTr="00976112">
              <w:trPr>
                <w:trHeight w:val="300"/>
              </w:trPr>
              <w:tc>
                <w:tcPr>
                  <w:tcW w:w="960" w:type="dxa"/>
                  <w:tcBorders>
                    <w:top w:val="nil"/>
                    <w:left w:val="nil"/>
                    <w:bottom w:val="nil"/>
                    <w:right w:val="nil"/>
                  </w:tcBorders>
                  <w:shd w:val="clear" w:color="auto" w:fill="auto"/>
                  <w:noWrap/>
                  <w:vAlign w:val="bottom"/>
                  <w:hideMark/>
                </w:tcPr>
                <w:p w14:paraId="7A76C46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958ABC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9C21F4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73591B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D23436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CDD121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80CEB2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2A52FE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62C4FE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D01D1E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9DDFF87" w14:textId="77777777" w:rsidR="00976112" w:rsidRPr="00976112" w:rsidRDefault="00976112" w:rsidP="00976112">
                  <w:pPr>
                    <w:spacing w:line="240" w:lineRule="auto"/>
                    <w:rPr>
                      <w:rFonts w:eastAsia="Times New Roman"/>
                      <w:color w:val="000000"/>
                      <w:lang w:eastAsia="pl-PL"/>
                    </w:rPr>
                  </w:pPr>
                </w:p>
              </w:tc>
            </w:tr>
            <w:tr w:rsidR="00976112" w:rsidRPr="00976112" w14:paraId="209C2775" w14:textId="77777777" w:rsidTr="00976112">
              <w:trPr>
                <w:trHeight w:val="300"/>
              </w:trPr>
              <w:tc>
                <w:tcPr>
                  <w:tcW w:w="960" w:type="dxa"/>
                  <w:tcBorders>
                    <w:top w:val="nil"/>
                    <w:left w:val="nil"/>
                    <w:bottom w:val="nil"/>
                    <w:right w:val="nil"/>
                  </w:tcBorders>
                  <w:shd w:val="clear" w:color="auto" w:fill="auto"/>
                  <w:noWrap/>
                  <w:vAlign w:val="bottom"/>
                  <w:hideMark/>
                </w:tcPr>
                <w:p w14:paraId="36FA10F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26A615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624757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FBAEE3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15145E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5F2FF1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631D9B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17A4E0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C10F2E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143923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84DED7A" w14:textId="77777777" w:rsidR="00976112" w:rsidRPr="00976112" w:rsidRDefault="00976112" w:rsidP="00976112">
                  <w:pPr>
                    <w:spacing w:line="240" w:lineRule="auto"/>
                    <w:rPr>
                      <w:rFonts w:eastAsia="Times New Roman"/>
                      <w:color w:val="000000"/>
                      <w:lang w:eastAsia="pl-PL"/>
                    </w:rPr>
                  </w:pPr>
                </w:p>
              </w:tc>
            </w:tr>
            <w:tr w:rsidR="00976112" w:rsidRPr="00976112" w14:paraId="5EF816F6" w14:textId="77777777" w:rsidTr="00976112">
              <w:trPr>
                <w:trHeight w:val="300"/>
              </w:trPr>
              <w:tc>
                <w:tcPr>
                  <w:tcW w:w="960" w:type="dxa"/>
                  <w:tcBorders>
                    <w:top w:val="nil"/>
                    <w:left w:val="nil"/>
                    <w:bottom w:val="nil"/>
                    <w:right w:val="nil"/>
                  </w:tcBorders>
                  <w:shd w:val="clear" w:color="auto" w:fill="auto"/>
                  <w:noWrap/>
                  <w:vAlign w:val="bottom"/>
                  <w:hideMark/>
                </w:tcPr>
                <w:p w14:paraId="21A2679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E6C7BD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2D7061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E10D83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742F97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F68208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8B4583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9A853C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9A1C19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D8BC93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6B23DC2" w14:textId="77777777" w:rsidR="00976112" w:rsidRPr="00976112" w:rsidRDefault="00976112" w:rsidP="00976112">
                  <w:pPr>
                    <w:spacing w:line="240" w:lineRule="auto"/>
                    <w:rPr>
                      <w:rFonts w:eastAsia="Times New Roman"/>
                      <w:color w:val="000000"/>
                      <w:lang w:eastAsia="pl-PL"/>
                    </w:rPr>
                  </w:pPr>
                </w:p>
              </w:tc>
            </w:tr>
            <w:tr w:rsidR="00976112" w:rsidRPr="00976112" w14:paraId="70D09C13" w14:textId="77777777" w:rsidTr="00976112">
              <w:trPr>
                <w:trHeight w:val="300"/>
              </w:trPr>
              <w:tc>
                <w:tcPr>
                  <w:tcW w:w="960" w:type="dxa"/>
                  <w:tcBorders>
                    <w:top w:val="nil"/>
                    <w:left w:val="nil"/>
                    <w:bottom w:val="nil"/>
                    <w:right w:val="nil"/>
                  </w:tcBorders>
                  <w:shd w:val="clear" w:color="auto" w:fill="auto"/>
                  <w:noWrap/>
                  <w:vAlign w:val="bottom"/>
                  <w:hideMark/>
                </w:tcPr>
                <w:p w14:paraId="6E95D34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4D63012"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7FED2B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5E6AED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DCD56D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988C0D5"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E5A7F9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0DDF0B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D68780B"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BD2167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5B58C35" w14:textId="77777777" w:rsidR="00976112" w:rsidRPr="00976112" w:rsidRDefault="00976112" w:rsidP="00976112">
                  <w:pPr>
                    <w:spacing w:line="240" w:lineRule="auto"/>
                    <w:rPr>
                      <w:rFonts w:eastAsia="Times New Roman"/>
                      <w:color w:val="000000"/>
                      <w:lang w:eastAsia="pl-PL"/>
                    </w:rPr>
                  </w:pPr>
                </w:p>
              </w:tc>
            </w:tr>
            <w:tr w:rsidR="00976112" w:rsidRPr="00976112" w14:paraId="00C62E30" w14:textId="77777777" w:rsidTr="00976112">
              <w:trPr>
                <w:trHeight w:val="300"/>
              </w:trPr>
              <w:tc>
                <w:tcPr>
                  <w:tcW w:w="960" w:type="dxa"/>
                  <w:tcBorders>
                    <w:top w:val="nil"/>
                    <w:left w:val="nil"/>
                    <w:bottom w:val="nil"/>
                    <w:right w:val="nil"/>
                  </w:tcBorders>
                  <w:shd w:val="clear" w:color="auto" w:fill="auto"/>
                  <w:noWrap/>
                  <w:vAlign w:val="bottom"/>
                  <w:hideMark/>
                </w:tcPr>
                <w:p w14:paraId="0E00886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57DA8DD"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0C41123"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CD21FF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4202B2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12565C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12BEEDAC"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41B0998E"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EFFB92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36F308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BA4EA87" w14:textId="77777777" w:rsidR="00976112" w:rsidRPr="00976112" w:rsidRDefault="00976112" w:rsidP="00976112">
                  <w:pPr>
                    <w:spacing w:line="240" w:lineRule="auto"/>
                    <w:rPr>
                      <w:rFonts w:eastAsia="Times New Roman"/>
                      <w:color w:val="000000"/>
                      <w:lang w:eastAsia="pl-PL"/>
                    </w:rPr>
                  </w:pPr>
                </w:p>
              </w:tc>
            </w:tr>
            <w:tr w:rsidR="00976112" w:rsidRPr="00976112" w14:paraId="5E629484" w14:textId="77777777" w:rsidTr="00976112">
              <w:trPr>
                <w:trHeight w:val="300"/>
              </w:trPr>
              <w:tc>
                <w:tcPr>
                  <w:tcW w:w="960" w:type="dxa"/>
                  <w:tcBorders>
                    <w:top w:val="nil"/>
                    <w:left w:val="nil"/>
                    <w:bottom w:val="nil"/>
                    <w:right w:val="nil"/>
                  </w:tcBorders>
                  <w:shd w:val="clear" w:color="auto" w:fill="auto"/>
                  <w:noWrap/>
                  <w:vAlign w:val="bottom"/>
                  <w:hideMark/>
                </w:tcPr>
                <w:p w14:paraId="4DE6A5B4"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246FC20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E748C51"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837FB96"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6BB5C37"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CCDA90F"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38DB80B0"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57E4AA6A"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7A6A9379"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65A88988" w14:textId="77777777" w:rsidR="00976112" w:rsidRPr="00976112" w:rsidRDefault="00976112" w:rsidP="00976112">
                  <w:pPr>
                    <w:spacing w:line="240" w:lineRule="auto"/>
                    <w:rPr>
                      <w:rFonts w:eastAsia="Times New Roman"/>
                      <w:color w:val="000000"/>
                      <w:lang w:eastAsia="pl-PL"/>
                    </w:rPr>
                  </w:pPr>
                </w:p>
              </w:tc>
              <w:tc>
                <w:tcPr>
                  <w:tcW w:w="960" w:type="dxa"/>
                  <w:tcBorders>
                    <w:top w:val="nil"/>
                    <w:left w:val="nil"/>
                    <w:bottom w:val="nil"/>
                    <w:right w:val="nil"/>
                  </w:tcBorders>
                  <w:shd w:val="clear" w:color="auto" w:fill="auto"/>
                  <w:noWrap/>
                  <w:vAlign w:val="bottom"/>
                  <w:hideMark/>
                </w:tcPr>
                <w:p w14:paraId="0DB11AEC" w14:textId="77777777" w:rsidR="00976112" w:rsidRPr="00976112" w:rsidRDefault="00976112" w:rsidP="00976112">
                  <w:pPr>
                    <w:spacing w:line="240" w:lineRule="auto"/>
                    <w:rPr>
                      <w:rFonts w:eastAsia="Times New Roman"/>
                      <w:color w:val="000000"/>
                      <w:lang w:eastAsia="pl-PL"/>
                    </w:rPr>
                  </w:pPr>
                </w:p>
              </w:tc>
            </w:tr>
          </w:tbl>
          <w:p w14:paraId="06E8826B" w14:textId="77777777" w:rsidR="00CF36E6" w:rsidRDefault="00CF36E6" w:rsidP="00A866F8">
            <w:pPr>
              <w:spacing w:line="240" w:lineRule="auto"/>
              <w:jc w:val="both"/>
              <w:rPr>
                <w:rFonts w:ascii="Times New Roman" w:hAnsi="Times New Roman"/>
                <w:color w:val="000000"/>
              </w:rPr>
            </w:pPr>
          </w:p>
          <w:p w14:paraId="20DFFD05" w14:textId="77777777" w:rsidR="00CF36E6" w:rsidRDefault="00CF36E6" w:rsidP="00A866F8">
            <w:pPr>
              <w:spacing w:line="240" w:lineRule="auto"/>
              <w:jc w:val="both"/>
              <w:rPr>
                <w:rFonts w:ascii="Times New Roman" w:hAnsi="Times New Roman"/>
                <w:color w:val="000000"/>
              </w:rPr>
            </w:pPr>
          </w:p>
          <w:p w14:paraId="4BFA5A7E" w14:textId="77777777" w:rsidR="00A147F5" w:rsidRDefault="00DE0BAC" w:rsidP="00A866F8">
            <w:pPr>
              <w:spacing w:line="240" w:lineRule="auto"/>
              <w:jc w:val="both"/>
              <w:rPr>
                <w:rFonts w:ascii="Times New Roman" w:hAnsi="Times New Roman"/>
                <w:color w:val="000000"/>
              </w:rPr>
            </w:pPr>
            <w:r>
              <w:rPr>
                <w:rFonts w:ascii="Times New Roman" w:hAnsi="Times New Roman"/>
                <w:color w:val="000000"/>
              </w:rPr>
              <w:lastRenderedPageBreak/>
              <w:t xml:space="preserve">Wprowadzony na mocy tzw. ustawy </w:t>
            </w:r>
            <w:proofErr w:type="spellStart"/>
            <w:r>
              <w:rPr>
                <w:rFonts w:ascii="Times New Roman" w:hAnsi="Times New Roman"/>
                <w:color w:val="000000"/>
              </w:rPr>
              <w:t>antylichwiarskiej</w:t>
            </w:r>
            <w:proofErr w:type="spellEnd"/>
            <w:r w:rsidR="00301D61">
              <w:rPr>
                <w:rStyle w:val="Odwoanieprzypisudolnego"/>
                <w:rFonts w:ascii="Times New Roman" w:hAnsi="Times New Roman"/>
                <w:color w:val="000000"/>
              </w:rPr>
              <w:footnoteReference w:id="2"/>
            </w:r>
            <w:r>
              <w:rPr>
                <w:rFonts w:ascii="Times New Roman" w:hAnsi="Times New Roman"/>
                <w:color w:val="000000"/>
              </w:rPr>
              <w:t>, przepis art. 359 § 2</w:t>
            </w:r>
            <w:r w:rsidR="000737EE" w:rsidRPr="00A147F5">
              <w:rPr>
                <w:rFonts w:ascii="Times New Roman" w:hAnsi="Times New Roman"/>
                <w:color w:val="000000"/>
                <w:vertAlign w:val="superscript"/>
              </w:rPr>
              <w:t>1</w:t>
            </w:r>
            <w:r w:rsidR="000737EE">
              <w:rPr>
                <w:rFonts w:ascii="Times New Roman" w:hAnsi="Times New Roman"/>
                <w:color w:val="000000"/>
              </w:rPr>
              <w:t xml:space="preserve"> </w:t>
            </w:r>
            <w:r w:rsidR="00145BE7" w:rsidRPr="00145BE7">
              <w:rPr>
                <w:rFonts w:ascii="Times New Roman" w:hAnsi="Times New Roman"/>
                <w:color w:val="000000"/>
              </w:rPr>
              <w:t xml:space="preserve">ustawy z dnia 23 kwietnia 1964 r. </w:t>
            </w:r>
            <w:r w:rsidR="008D1D39">
              <w:rPr>
                <w:rFonts w:ascii="Times New Roman" w:hAnsi="Times New Roman"/>
                <w:color w:val="000000"/>
              </w:rPr>
              <w:t>–</w:t>
            </w:r>
            <w:r w:rsidR="00145BE7" w:rsidRPr="00145BE7">
              <w:rPr>
                <w:rFonts w:ascii="Times New Roman" w:hAnsi="Times New Roman"/>
                <w:color w:val="000000"/>
              </w:rPr>
              <w:t xml:space="preserve"> </w:t>
            </w:r>
            <w:r w:rsidR="00145BE7" w:rsidRPr="00723FCB">
              <w:rPr>
                <w:rFonts w:ascii="Times New Roman" w:hAnsi="Times New Roman"/>
                <w:i/>
                <w:color w:val="000000"/>
              </w:rPr>
              <w:t>Kodeks cywilny</w:t>
            </w:r>
            <w:r w:rsidR="00145BE7" w:rsidRPr="00145BE7">
              <w:rPr>
                <w:rFonts w:ascii="Times New Roman" w:hAnsi="Times New Roman"/>
                <w:color w:val="000000"/>
              </w:rPr>
              <w:t xml:space="preserve"> (Dz.</w:t>
            </w:r>
            <w:r w:rsidR="00082EE4">
              <w:rPr>
                <w:rFonts w:ascii="Times New Roman" w:hAnsi="Times New Roman"/>
                <w:color w:val="000000"/>
              </w:rPr>
              <w:t xml:space="preserve"> </w:t>
            </w:r>
            <w:r w:rsidR="00145BE7" w:rsidRPr="00145BE7">
              <w:rPr>
                <w:rFonts w:ascii="Times New Roman" w:hAnsi="Times New Roman"/>
                <w:color w:val="000000"/>
              </w:rPr>
              <w:t>U.</w:t>
            </w:r>
            <w:r w:rsidR="00145BE7">
              <w:rPr>
                <w:rFonts w:ascii="Times New Roman" w:hAnsi="Times New Roman"/>
                <w:color w:val="000000"/>
              </w:rPr>
              <w:t xml:space="preserve"> z </w:t>
            </w:r>
            <w:r w:rsidR="00145BE7" w:rsidRPr="00145BE7">
              <w:rPr>
                <w:rFonts w:ascii="Times New Roman" w:hAnsi="Times New Roman"/>
                <w:color w:val="000000"/>
              </w:rPr>
              <w:t>2018</w:t>
            </w:r>
            <w:r w:rsidR="00145BE7">
              <w:rPr>
                <w:rFonts w:ascii="Times New Roman" w:hAnsi="Times New Roman"/>
                <w:color w:val="000000"/>
              </w:rPr>
              <w:t xml:space="preserve"> r</w:t>
            </w:r>
            <w:r w:rsidR="00145BE7" w:rsidRPr="00145BE7">
              <w:rPr>
                <w:rFonts w:ascii="Times New Roman" w:hAnsi="Times New Roman"/>
                <w:color w:val="000000"/>
              </w:rPr>
              <w:t>.</w:t>
            </w:r>
            <w:r w:rsidR="00145BE7">
              <w:rPr>
                <w:rFonts w:ascii="Times New Roman" w:hAnsi="Times New Roman"/>
                <w:color w:val="000000"/>
              </w:rPr>
              <w:t xml:space="preserve"> poz. </w:t>
            </w:r>
            <w:r w:rsidR="00145BE7" w:rsidRPr="00145BE7">
              <w:rPr>
                <w:rFonts w:ascii="Times New Roman" w:hAnsi="Times New Roman"/>
                <w:color w:val="000000"/>
              </w:rPr>
              <w:t>1025</w:t>
            </w:r>
            <w:r w:rsidR="00082EE4">
              <w:rPr>
                <w:rFonts w:ascii="Times New Roman" w:hAnsi="Times New Roman"/>
                <w:color w:val="000000"/>
              </w:rPr>
              <w:t xml:space="preserve"> z </w:t>
            </w:r>
            <w:proofErr w:type="spellStart"/>
            <w:r w:rsidR="00082EE4">
              <w:rPr>
                <w:rFonts w:ascii="Times New Roman" w:hAnsi="Times New Roman"/>
                <w:color w:val="000000"/>
              </w:rPr>
              <w:t>późn</w:t>
            </w:r>
            <w:proofErr w:type="spellEnd"/>
            <w:r w:rsidR="00082EE4">
              <w:rPr>
                <w:rFonts w:ascii="Times New Roman" w:hAnsi="Times New Roman"/>
                <w:color w:val="000000"/>
              </w:rPr>
              <w:t>. zm.</w:t>
            </w:r>
            <w:r w:rsidR="00145BE7" w:rsidRPr="00145BE7">
              <w:rPr>
                <w:rFonts w:ascii="Times New Roman" w:hAnsi="Times New Roman"/>
                <w:color w:val="000000"/>
              </w:rPr>
              <w:t>)</w:t>
            </w:r>
            <w:r w:rsidR="00082EE4">
              <w:rPr>
                <w:rFonts w:ascii="Times New Roman" w:hAnsi="Times New Roman"/>
                <w:color w:val="000000"/>
              </w:rPr>
              <w:t>, zwanej</w:t>
            </w:r>
            <w:r w:rsidR="002C143F">
              <w:rPr>
                <w:rFonts w:ascii="Times New Roman" w:hAnsi="Times New Roman"/>
                <w:color w:val="000000"/>
              </w:rPr>
              <w:t xml:space="preserve"> </w:t>
            </w:r>
            <w:r w:rsidR="0038413A">
              <w:rPr>
                <w:rFonts w:ascii="Times New Roman" w:hAnsi="Times New Roman"/>
                <w:color w:val="000000"/>
              </w:rPr>
              <w:t>dalej</w:t>
            </w:r>
            <w:r w:rsidR="00145BE7">
              <w:rPr>
                <w:rFonts w:ascii="Times New Roman" w:hAnsi="Times New Roman"/>
                <w:color w:val="000000"/>
              </w:rPr>
              <w:t xml:space="preserve"> </w:t>
            </w:r>
            <w:r w:rsidR="00082EE4">
              <w:rPr>
                <w:rFonts w:ascii="Times New Roman" w:hAnsi="Times New Roman"/>
                <w:color w:val="000000"/>
              </w:rPr>
              <w:t>„</w:t>
            </w:r>
            <w:r w:rsidR="0038413A">
              <w:rPr>
                <w:rFonts w:ascii="Times New Roman" w:hAnsi="Times New Roman"/>
                <w:color w:val="000000"/>
              </w:rPr>
              <w:t>k.c.</w:t>
            </w:r>
            <w:r w:rsidR="00082EE4">
              <w:rPr>
                <w:rFonts w:ascii="Times New Roman" w:hAnsi="Times New Roman"/>
                <w:color w:val="000000"/>
              </w:rPr>
              <w:t>”</w:t>
            </w:r>
            <w:r w:rsidR="002C143F">
              <w:rPr>
                <w:rFonts w:ascii="Times New Roman" w:hAnsi="Times New Roman"/>
                <w:color w:val="000000"/>
              </w:rPr>
              <w:t>,</w:t>
            </w:r>
            <w:r w:rsidR="0038413A">
              <w:rPr>
                <w:rFonts w:ascii="Times New Roman" w:hAnsi="Times New Roman"/>
                <w:color w:val="000000"/>
              </w:rPr>
              <w:t xml:space="preserve"> </w:t>
            </w:r>
            <w:r w:rsidR="00A147F5">
              <w:rPr>
                <w:rFonts w:ascii="Times New Roman" w:hAnsi="Times New Roman"/>
                <w:color w:val="000000"/>
              </w:rPr>
              <w:t xml:space="preserve">określał </w:t>
            </w:r>
            <w:r w:rsidR="003E463D">
              <w:rPr>
                <w:rFonts w:ascii="Times New Roman" w:hAnsi="Times New Roman"/>
                <w:color w:val="000000"/>
              </w:rPr>
              <w:t xml:space="preserve">maksymalną wysokość odsetek jako czterokrotność </w:t>
            </w:r>
            <w:r w:rsidR="00504C71">
              <w:rPr>
                <w:rFonts w:ascii="Times New Roman" w:hAnsi="Times New Roman"/>
                <w:color w:val="000000"/>
              </w:rPr>
              <w:t xml:space="preserve">wysokości </w:t>
            </w:r>
            <w:r w:rsidR="003E463D">
              <w:rPr>
                <w:rFonts w:ascii="Times New Roman" w:hAnsi="Times New Roman"/>
                <w:color w:val="000000"/>
              </w:rPr>
              <w:t xml:space="preserve">stopy </w:t>
            </w:r>
            <w:r w:rsidR="00504C71" w:rsidRPr="00504C71">
              <w:rPr>
                <w:rFonts w:ascii="Times New Roman" w:hAnsi="Times New Roman"/>
                <w:color w:val="000000"/>
              </w:rPr>
              <w:t>kredytu</w:t>
            </w:r>
            <w:r w:rsidR="00504C71">
              <w:rPr>
                <w:rFonts w:ascii="Times New Roman" w:hAnsi="Times New Roman"/>
                <w:color w:val="000000"/>
              </w:rPr>
              <w:t xml:space="preserve"> </w:t>
            </w:r>
            <w:r w:rsidR="003E463D">
              <w:rPr>
                <w:rFonts w:ascii="Times New Roman" w:hAnsi="Times New Roman"/>
                <w:color w:val="000000"/>
              </w:rPr>
              <w:t>lombardowe</w:t>
            </w:r>
            <w:r w:rsidR="00504C71">
              <w:rPr>
                <w:rFonts w:ascii="Times New Roman" w:hAnsi="Times New Roman"/>
                <w:color w:val="000000"/>
              </w:rPr>
              <w:t>go</w:t>
            </w:r>
            <w:r w:rsidR="003E463D">
              <w:rPr>
                <w:rFonts w:ascii="Times New Roman" w:hAnsi="Times New Roman"/>
                <w:color w:val="000000"/>
              </w:rPr>
              <w:t xml:space="preserve"> Narodowego Banku Polskiego. Przepis ten został znowelizowany z dniem 1 stycznia </w:t>
            </w:r>
            <w:r w:rsidR="00386B75">
              <w:rPr>
                <w:rFonts w:ascii="Times New Roman" w:hAnsi="Times New Roman"/>
                <w:color w:val="000000"/>
              </w:rPr>
              <w:t xml:space="preserve">2016 r. na mocy ustawy z dn. 9 października 2015 r. </w:t>
            </w:r>
            <w:r w:rsidR="00386B75" w:rsidRPr="002F2AA5">
              <w:rPr>
                <w:rFonts w:ascii="Times New Roman" w:hAnsi="Times New Roman"/>
                <w:i/>
                <w:color w:val="000000"/>
              </w:rPr>
              <w:t>o zmianie ustawy o terminach zapłaty w</w:t>
            </w:r>
            <w:r w:rsidR="009868A1">
              <w:rPr>
                <w:rFonts w:ascii="Times New Roman" w:hAnsi="Times New Roman"/>
                <w:i/>
                <w:color w:val="000000"/>
              </w:rPr>
              <w:t> </w:t>
            </w:r>
            <w:r w:rsidR="00386B75" w:rsidRPr="002F2AA5">
              <w:rPr>
                <w:rFonts w:ascii="Times New Roman" w:hAnsi="Times New Roman"/>
                <w:i/>
                <w:color w:val="000000"/>
              </w:rPr>
              <w:t>transakcjach handlowych, ustawy – Kodeks cywilny oraz niektórych innych ustaw</w:t>
            </w:r>
            <w:r w:rsidR="00386B75">
              <w:rPr>
                <w:rFonts w:ascii="Times New Roman" w:hAnsi="Times New Roman"/>
                <w:color w:val="000000"/>
              </w:rPr>
              <w:t xml:space="preserve"> (Dz. U. poz. 1830)</w:t>
            </w:r>
            <w:r w:rsidR="00B0037D">
              <w:rPr>
                <w:rFonts w:ascii="Times New Roman" w:hAnsi="Times New Roman"/>
                <w:color w:val="000000"/>
              </w:rPr>
              <w:t>. Nowe przepisy</w:t>
            </w:r>
            <w:r w:rsidR="00386B75">
              <w:rPr>
                <w:rFonts w:ascii="Times New Roman" w:hAnsi="Times New Roman"/>
                <w:color w:val="000000"/>
              </w:rPr>
              <w:t xml:space="preserve"> dostosował</w:t>
            </w:r>
            <w:r w:rsidR="00A02F25">
              <w:rPr>
                <w:rFonts w:ascii="Times New Roman" w:hAnsi="Times New Roman"/>
                <w:color w:val="000000"/>
              </w:rPr>
              <w:t>y</w:t>
            </w:r>
            <w:r w:rsidR="00386B75">
              <w:rPr>
                <w:rFonts w:ascii="Times New Roman" w:hAnsi="Times New Roman"/>
                <w:color w:val="000000"/>
              </w:rPr>
              <w:t xml:space="preserve"> mechanizm ustalania wysokości odsetek maksymalnych opierając go na stopie referency</w:t>
            </w:r>
            <w:r w:rsidR="00AA2195">
              <w:rPr>
                <w:rFonts w:ascii="Times New Roman" w:hAnsi="Times New Roman"/>
                <w:color w:val="000000"/>
              </w:rPr>
              <w:t>jnej w</w:t>
            </w:r>
            <w:r w:rsidR="00B0037D">
              <w:rPr>
                <w:rFonts w:ascii="Times New Roman" w:hAnsi="Times New Roman"/>
                <w:color w:val="000000"/>
              </w:rPr>
              <w:t> </w:t>
            </w:r>
            <w:r w:rsidR="00AA2195">
              <w:rPr>
                <w:rFonts w:ascii="Times New Roman" w:hAnsi="Times New Roman"/>
                <w:color w:val="000000"/>
              </w:rPr>
              <w:t>miejsce stopy lombardowe</w:t>
            </w:r>
            <w:r w:rsidR="00186E5C">
              <w:rPr>
                <w:rFonts w:ascii="Times New Roman" w:hAnsi="Times New Roman"/>
                <w:color w:val="000000"/>
              </w:rPr>
              <w:t>j</w:t>
            </w:r>
            <w:r w:rsidR="00AA2195">
              <w:rPr>
                <w:rFonts w:ascii="Times New Roman" w:hAnsi="Times New Roman"/>
                <w:color w:val="000000"/>
              </w:rPr>
              <w:t xml:space="preserve">. Zgodnie z obecną treścią przepisu maksymalna wysokość </w:t>
            </w:r>
            <w:r w:rsidR="004D5D77">
              <w:rPr>
                <w:rFonts w:ascii="Times New Roman" w:hAnsi="Times New Roman"/>
                <w:color w:val="000000"/>
              </w:rPr>
              <w:t xml:space="preserve">odsetek wynikających </w:t>
            </w:r>
            <w:r w:rsidR="00AA2195">
              <w:rPr>
                <w:rFonts w:ascii="Times New Roman" w:hAnsi="Times New Roman"/>
                <w:color w:val="000000"/>
              </w:rPr>
              <w:t>z</w:t>
            </w:r>
            <w:r w:rsidR="004D5D77">
              <w:rPr>
                <w:rFonts w:ascii="Times New Roman" w:hAnsi="Times New Roman"/>
                <w:color w:val="000000"/>
              </w:rPr>
              <w:t> </w:t>
            </w:r>
            <w:r w:rsidR="00AA2195">
              <w:rPr>
                <w:rFonts w:ascii="Times New Roman" w:hAnsi="Times New Roman"/>
                <w:color w:val="000000"/>
              </w:rPr>
              <w:t>czynności prawnej nie może w stosunku rocznym przekraczać dwukrotności wysokości odsetek ustawowych</w:t>
            </w:r>
            <w:r w:rsidR="00052286">
              <w:rPr>
                <w:rFonts w:ascii="Times New Roman" w:hAnsi="Times New Roman"/>
                <w:color w:val="000000"/>
              </w:rPr>
              <w:t xml:space="preserve">. Odsetki ustawowe </w:t>
            </w:r>
            <w:r w:rsidR="00BD315E">
              <w:rPr>
                <w:rFonts w:ascii="Times New Roman" w:hAnsi="Times New Roman"/>
                <w:color w:val="000000"/>
              </w:rPr>
              <w:t>na dzień sporządzenia OSR wynoszą 5%</w:t>
            </w:r>
            <w:r w:rsidR="00BD315E">
              <w:rPr>
                <w:rStyle w:val="Odwoanieprzypisudolnego"/>
                <w:rFonts w:ascii="Times New Roman" w:hAnsi="Times New Roman"/>
                <w:color w:val="000000"/>
              </w:rPr>
              <w:footnoteReference w:id="3"/>
            </w:r>
            <w:r w:rsidR="00AA2195">
              <w:rPr>
                <w:rFonts w:ascii="Times New Roman" w:hAnsi="Times New Roman"/>
                <w:color w:val="000000"/>
              </w:rPr>
              <w:t xml:space="preserve">. </w:t>
            </w:r>
          </w:p>
          <w:p w14:paraId="5E6E7E05" w14:textId="77777777" w:rsidR="002C6B16" w:rsidRDefault="002C6B16" w:rsidP="00A866F8">
            <w:pPr>
              <w:spacing w:line="240" w:lineRule="auto"/>
              <w:jc w:val="both"/>
              <w:rPr>
                <w:rFonts w:ascii="Times New Roman" w:hAnsi="Times New Roman"/>
                <w:color w:val="000000"/>
              </w:rPr>
            </w:pPr>
          </w:p>
          <w:p w14:paraId="4FE57562" w14:textId="77777777" w:rsidR="00F7656B" w:rsidRPr="00686B84" w:rsidRDefault="00F7656B" w:rsidP="00F7656B">
            <w:pPr>
              <w:spacing w:line="240" w:lineRule="auto"/>
              <w:jc w:val="both"/>
              <w:rPr>
                <w:rFonts w:ascii="Times New Roman" w:hAnsi="Times New Roman"/>
                <w:color w:val="000000"/>
                <w:spacing w:val="-2"/>
              </w:rPr>
            </w:pPr>
            <w:r w:rsidRPr="00686B84">
              <w:rPr>
                <w:rFonts w:ascii="Times New Roman" w:hAnsi="Times New Roman"/>
                <w:color w:val="000000"/>
                <w:spacing w:val="-2"/>
              </w:rPr>
              <w:t xml:space="preserve">Wątpliwości budzi </w:t>
            </w:r>
            <w:r>
              <w:rPr>
                <w:rFonts w:ascii="Times New Roman" w:hAnsi="Times New Roman"/>
                <w:color w:val="000000"/>
                <w:spacing w:val="-2"/>
              </w:rPr>
              <w:t xml:space="preserve">szczególnie </w:t>
            </w:r>
            <w:r w:rsidRPr="00686B84">
              <w:rPr>
                <w:rFonts w:ascii="Times New Roman" w:hAnsi="Times New Roman"/>
                <w:color w:val="000000"/>
                <w:spacing w:val="-2"/>
              </w:rPr>
              <w:t>oferowanie pożyczek lichwiarskich osobom starszym lub niedołężnym, których sytuacja materialna jest trudna. Wykres poniżej przedstawia wysokość zadłużenia osób w wieku emerytalnym w latach 2013-2017.</w:t>
            </w:r>
            <w:r w:rsidRPr="00686B84">
              <w:rPr>
                <w:rStyle w:val="Odwoanieprzypisudolnego"/>
                <w:rFonts w:ascii="Times New Roman" w:hAnsi="Times New Roman"/>
                <w:color w:val="000000"/>
                <w:spacing w:val="-2"/>
              </w:rPr>
              <w:footnoteReference w:id="4"/>
            </w:r>
          </w:p>
          <w:p w14:paraId="30D51C33" w14:textId="77777777" w:rsidR="00F7656B" w:rsidRPr="00686B84" w:rsidRDefault="00F7656B" w:rsidP="00F7656B">
            <w:pPr>
              <w:spacing w:line="240" w:lineRule="auto"/>
              <w:jc w:val="both"/>
              <w:rPr>
                <w:rFonts w:ascii="Times New Roman" w:hAnsi="Times New Roman"/>
                <w:color w:val="000000"/>
                <w:spacing w:val="-2"/>
              </w:rPr>
            </w:pPr>
          </w:p>
          <w:p w14:paraId="7AA7A412" w14:textId="77777777" w:rsidR="00F7656B" w:rsidRPr="005C0306" w:rsidRDefault="006F3738" w:rsidP="00F7656B">
            <w:pPr>
              <w:spacing w:line="240" w:lineRule="auto"/>
              <w:jc w:val="center"/>
              <w:rPr>
                <w:rFonts w:ascii="Times New Roman" w:hAnsi="Times New Roman"/>
                <w:color w:val="000000"/>
                <w:spacing w:val="-2"/>
              </w:rPr>
            </w:pPr>
            <w:r w:rsidRPr="005C0306">
              <w:rPr>
                <w:rFonts w:ascii="Times New Roman" w:hAnsi="Times New Roman"/>
                <w:noProof/>
                <w:lang w:eastAsia="pl-PL"/>
              </w:rPr>
              <w:drawing>
                <wp:inline distT="0" distB="0" distL="0" distR="0" wp14:anchorId="57D7F8DF" wp14:editId="13736805">
                  <wp:extent cx="4572000" cy="3028950"/>
                  <wp:effectExtent l="0" t="0" r="0" b="0"/>
                  <wp:docPr id="1" name="Obiek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4E34B0" w14:textId="77777777" w:rsidR="00F7656B" w:rsidRDefault="00F7656B" w:rsidP="00F7656B">
            <w:pPr>
              <w:spacing w:line="240" w:lineRule="auto"/>
              <w:jc w:val="both"/>
              <w:rPr>
                <w:rFonts w:ascii="Times New Roman" w:hAnsi="Times New Roman"/>
                <w:color w:val="000000"/>
                <w:spacing w:val="-2"/>
              </w:rPr>
            </w:pPr>
            <w:r w:rsidRPr="00686B84">
              <w:rPr>
                <w:rFonts w:ascii="Times New Roman" w:hAnsi="Times New Roman"/>
                <w:color w:val="000000"/>
                <w:spacing w:val="-2"/>
              </w:rPr>
              <w:t xml:space="preserve">Szacuje się, że niezapłacone zobowiązania wobec banków i firm pożyczkowych stanowią 21% całkowitego zadłużenie emerytów. Pozostałą kwotę w zasadniczym stopniu tworzą zobowiązania wobec funduszy </w:t>
            </w:r>
            <w:proofErr w:type="spellStart"/>
            <w:r w:rsidRPr="00686B84">
              <w:rPr>
                <w:rFonts w:ascii="Times New Roman" w:hAnsi="Times New Roman"/>
                <w:color w:val="000000"/>
                <w:spacing w:val="-2"/>
              </w:rPr>
              <w:t>sekurytyzacyjnych</w:t>
            </w:r>
            <w:proofErr w:type="spellEnd"/>
            <w:r w:rsidRPr="00686B84">
              <w:rPr>
                <w:rFonts w:ascii="Times New Roman" w:hAnsi="Times New Roman"/>
                <w:color w:val="000000"/>
                <w:spacing w:val="-2"/>
              </w:rPr>
              <w:t xml:space="preserve"> i firm windykacyjnych – 40%.</w:t>
            </w:r>
            <w:r w:rsidRPr="00686B84">
              <w:rPr>
                <w:rStyle w:val="Odwoanieprzypisudolnego"/>
                <w:rFonts w:ascii="Times New Roman" w:hAnsi="Times New Roman"/>
                <w:color w:val="000000"/>
                <w:spacing w:val="-2"/>
              </w:rPr>
              <w:footnoteReference w:id="5"/>
            </w:r>
            <w:r w:rsidRPr="00686B84">
              <w:rPr>
                <w:rFonts w:ascii="Times New Roman" w:hAnsi="Times New Roman"/>
                <w:color w:val="000000"/>
                <w:spacing w:val="-2"/>
              </w:rPr>
              <w:t xml:space="preserve"> </w:t>
            </w:r>
          </w:p>
          <w:p w14:paraId="2F47F804" w14:textId="77777777" w:rsidR="00F7656B" w:rsidRPr="00686B84" w:rsidRDefault="00F7656B" w:rsidP="00F7656B">
            <w:pPr>
              <w:spacing w:line="240" w:lineRule="auto"/>
              <w:jc w:val="both"/>
              <w:rPr>
                <w:rFonts w:ascii="Times New Roman" w:hAnsi="Times New Roman"/>
                <w:color w:val="000000"/>
                <w:spacing w:val="-2"/>
              </w:rPr>
            </w:pPr>
          </w:p>
          <w:p w14:paraId="77026E24" w14:textId="77777777" w:rsidR="00F7656B" w:rsidRPr="00723FCB" w:rsidRDefault="00F7656B" w:rsidP="00F7656B">
            <w:pPr>
              <w:spacing w:line="240" w:lineRule="auto"/>
              <w:jc w:val="both"/>
              <w:rPr>
                <w:rFonts w:ascii="Times New Roman" w:hAnsi="Times New Roman"/>
                <w:color w:val="000000"/>
              </w:rPr>
            </w:pPr>
            <w:r w:rsidRPr="00723FCB">
              <w:rPr>
                <w:rFonts w:ascii="Times New Roman" w:hAnsi="Times New Roman"/>
                <w:color w:val="000000"/>
              </w:rPr>
              <w:t xml:space="preserve">Zgodnie z informacjami prezentowanymi przez Krajowy Rejestr Długów w 2013 r. w rejestrze wpisanych było 221 tys. seniorów. Obecne odnotowano już prawie 328 tys. takich osób. Według badania „Dlaczego Polacy się zadłużają”, przeprowadzonego na zlecenie Krajowego Rejestru Długów Biura Informacji Gospodarczej przez IMAS International osoby pobierające emeryturę znacznie częściej sięgają po kredyt niż osoby aktywne zawodowo. 41% emerytów przyznaje, że brało pożyczkę wiele razy, a tylko 10 proc. nigdy nie zaciągnęło długu, podczas gdy wśród osób pracujących odsetek ten wynosi odpowiednio 35% i 21%. </w:t>
            </w:r>
          </w:p>
          <w:p w14:paraId="3348603A" w14:textId="77777777" w:rsidR="00F7656B" w:rsidRPr="00723FCB" w:rsidRDefault="00F7656B" w:rsidP="00F7656B">
            <w:pPr>
              <w:spacing w:line="240" w:lineRule="auto"/>
              <w:jc w:val="both"/>
              <w:rPr>
                <w:rFonts w:ascii="Times New Roman" w:hAnsi="Times New Roman"/>
                <w:color w:val="000000"/>
              </w:rPr>
            </w:pPr>
            <w:r w:rsidRPr="00723FCB">
              <w:rPr>
                <w:rFonts w:ascii="Times New Roman" w:hAnsi="Times New Roman"/>
                <w:color w:val="000000"/>
              </w:rPr>
              <w:t>Zauważa się, że seniorzy mają głównie kredyty w bankach (86% badanych osób), 12% zadłuża się na zakupy ratalne w</w:t>
            </w:r>
            <w:r w:rsidR="002C6B16">
              <w:rPr>
                <w:rFonts w:ascii="Times New Roman" w:hAnsi="Times New Roman"/>
                <w:color w:val="000000"/>
              </w:rPr>
              <w:t> </w:t>
            </w:r>
            <w:r w:rsidRPr="00723FCB">
              <w:rPr>
                <w:rFonts w:ascii="Times New Roman" w:hAnsi="Times New Roman"/>
                <w:color w:val="000000"/>
              </w:rPr>
              <w:t>sklepach. Jednocześnie niewielka grupa – 5% osób korzysta z pożyczek-chwilówek. Z kolei 6% szuka wsparcia u</w:t>
            </w:r>
            <w:r w:rsidR="002C6B16">
              <w:rPr>
                <w:rFonts w:ascii="Times New Roman" w:hAnsi="Times New Roman"/>
                <w:color w:val="000000"/>
              </w:rPr>
              <w:t> </w:t>
            </w:r>
            <w:r w:rsidRPr="00723FCB">
              <w:rPr>
                <w:rFonts w:ascii="Times New Roman" w:hAnsi="Times New Roman"/>
                <w:color w:val="000000"/>
              </w:rPr>
              <w:t xml:space="preserve">rodziny. </w:t>
            </w:r>
          </w:p>
          <w:p w14:paraId="7AA0625D" w14:textId="77777777" w:rsidR="00F7656B" w:rsidRPr="00723FCB" w:rsidRDefault="00F7656B" w:rsidP="00F7656B">
            <w:pPr>
              <w:spacing w:line="240" w:lineRule="auto"/>
              <w:jc w:val="both"/>
              <w:rPr>
                <w:rFonts w:ascii="Times New Roman" w:hAnsi="Times New Roman"/>
                <w:color w:val="000000"/>
              </w:rPr>
            </w:pPr>
            <w:r w:rsidRPr="00723FCB">
              <w:rPr>
                <w:rFonts w:ascii="Times New Roman" w:hAnsi="Times New Roman"/>
                <w:color w:val="000000"/>
              </w:rPr>
              <w:t>Osoby młode też korzystają z kredytów w bankach, ale jest to nieco mniejsza grupa – 75%, a co piąta osoba kupiła sprzęt RTV lub AGD na raty, kredytowane w rzeczywistości przez bank. Wnuczkowie częściej niż dziadkowie sięgają po pożyczki-chwilówki (13%) i zadłużają się u rodziny (11%)</w:t>
            </w:r>
            <w:r w:rsidRPr="00723FCB">
              <w:rPr>
                <w:rFonts w:ascii="Times New Roman" w:hAnsi="Times New Roman"/>
                <w:color w:val="000000"/>
                <w:vertAlign w:val="superscript"/>
              </w:rPr>
              <w:footnoteReference w:id="6"/>
            </w:r>
            <w:r w:rsidR="00A62551">
              <w:rPr>
                <w:rFonts w:ascii="Times New Roman" w:hAnsi="Times New Roman"/>
                <w:color w:val="000000"/>
              </w:rPr>
              <w:t>.</w:t>
            </w:r>
          </w:p>
          <w:p w14:paraId="75EA8D0E" w14:textId="77777777" w:rsidR="00F7656B" w:rsidRPr="00B67254" w:rsidRDefault="00F7656B" w:rsidP="00B67254">
            <w:pPr>
              <w:spacing w:line="240" w:lineRule="auto"/>
              <w:jc w:val="both"/>
              <w:rPr>
                <w:rFonts w:ascii="Times New Roman" w:hAnsi="Times New Roman"/>
                <w:color w:val="000000"/>
              </w:rPr>
            </w:pPr>
          </w:p>
          <w:p w14:paraId="42325B48" w14:textId="77777777" w:rsidR="00A719ED" w:rsidRDefault="00B67254" w:rsidP="00A866F8">
            <w:pPr>
              <w:spacing w:line="240" w:lineRule="auto"/>
              <w:jc w:val="both"/>
              <w:rPr>
                <w:rFonts w:ascii="Times New Roman" w:hAnsi="Times New Roman"/>
                <w:color w:val="000000"/>
              </w:rPr>
            </w:pPr>
            <w:r w:rsidRPr="00B67254">
              <w:rPr>
                <w:rFonts w:ascii="Times New Roman" w:hAnsi="Times New Roman"/>
                <w:color w:val="000000"/>
              </w:rPr>
              <w:t xml:space="preserve">W zakresie </w:t>
            </w:r>
            <w:r>
              <w:rPr>
                <w:rFonts w:ascii="Times New Roman" w:hAnsi="Times New Roman"/>
                <w:color w:val="000000"/>
              </w:rPr>
              <w:t>obowiązujących</w:t>
            </w:r>
            <w:r w:rsidRPr="00B67254">
              <w:rPr>
                <w:rFonts w:ascii="Times New Roman" w:hAnsi="Times New Roman"/>
                <w:color w:val="000000"/>
              </w:rPr>
              <w:t xml:space="preserve"> roz</w:t>
            </w:r>
            <w:r>
              <w:rPr>
                <w:rFonts w:ascii="Times New Roman" w:hAnsi="Times New Roman"/>
                <w:color w:val="000000"/>
              </w:rPr>
              <w:t xml:space="preserve">wiązań prawnokarnych, </w:t>
            </w:r>
            <w:r w:rsidR="008673F1">
              <w:rPr>
                <w:rFonts w:ascii="Times New Roman" w:hAnsi="Times New Roman"/>
                <w:color w:val="000000"/>
              </w:rPr>
              <w:t>zauważa się</w:t>
            </w:r>
            <w:r w:rsidRPr="00B67254">
              <w:rPr>
                <w:rFonts w:ascii="Times New Roman" w:hAnsi="Times New Roman"/>
                <w:color w:val="000000"/>
              </w:rPr>
              <w:t xml:space="preserve">, że znamiona czynu z art. 304 </w:t>
            </w:r>
            <w:r>
              <w:rPr>
                <w:rFonts w:ascii="Times New Roman" w:hAnsi="Times New Roman"/>
                <w:color w:val="000000"/>
              </w:rPr>
              <w:t xml:space="preserve">ustawy </w:t>
            </w:r>
            <w:r w:rsidR="008D1FD5" w:rsidRPr="00FE065E">
              <w:rPr>
                <w:rFonts w:ascii="Times New Roman" w:hAnsi="Times New Roman"/>
              </w:rPr>
              <w:t>z dnia 6</w:t>
            </w:r>
            <w:r w:rsidR="00430424">
              <w:rPr>
                <w:rFonts w:ascii="Times New Roman" w:hAnsi="Times New Roman"/>
              </w:rPr>
              <w:t> </w:t>
            </w:r>
            <w:r w:rsidR="008D1FD5" w:rsidRPr="00FE065E">
              <w:rPr>
                <w:rFonts w:ascii="Times New Roman" w:hAnsi="Times New Roman"/>
              </w:rPr>
              <w:t>czerwca 1997 r.</w:t>
            </w:r>
            <w:r w:rsidR="008D1FD5">
              <w:rPr>
                <w:rFonts w:ascii="Times New Roman" w:hAnsi="Times New Roman"/>
              </w:rPr>
              <w:t xml:space="preserve"> </w:t>
            </w:r>
            <w:r w:rsidR="00052286">
              <w:rPr>
                <w:rFonts w:ascii="Times New Roman" w:hAnsi="Times New Roman"/>
              </w:rPr>
              <w:t xml:space="preserve">– </w:t>
            </w:r>
            <w:r w:rsidR="008D1FD5" w:rsidRPr="00723FCB">
              <w:rPr>
                <w:rFonts w:ascii="Times New Roman" w:hAnsi="Times New Roman"/>
                <w:i/>
              </w:rPr>
              <w:t>Kodeks karny</w:t>
            </w:r>
            <w:r w:rsidR="008D1FD5" w:rsidRPr="00FE065E">
              <w:rPr>
                <w:rFonts w:ascii="Times New Roman" w:hAnsi="Times New Roman"/>
              </w:rPr>
              <w:t xml:space="preserve"> (Dz.</w:t>
            </w:r>
            <w:r w:rsidR="00430424">
              <w:rPr>
                <w:rFonts w:ascii="Times New Roman" w:hAnsi="Times New Roman"/>
              </w:rPr>
              <w:t xml:space="preserve"> </w:t>
            </w:r>
            <w:r w:rsidR="008D1FD5" w:rsidRPr="00FE065E">
              <w:rPr>
                <w:rFonts w:ascii="Times New Roman" w:hAnsi="Times New Roman"/>
              </w:rPr>
              <w:t>U. z 2018 r. poz. 1600</w:t>
            </w:r>
            <w:r w:rsidR="00F249FE">
              <w:rPr>
                <w:rFonts w:ascii="Times New Roman" w:hAnsi="Times New Roman"/>
              </w:rPr>
              <w:t xml:space="preserve"> z </w:t>
            </w:r>
            <w:proofErr w:type="spellStart"/>
            <w:r w:rsidR="00F249FE">
              <w:rPr>
                <w:rFonts w:ascii="Times New Roman" w:hAnsi="Times New Roman"/>
              </w:rPr>
              <w:t>późn</w:t>
            </w:r>
            <w:proofErr w:type="spellEnd"/>
            <w:r w:rsidR="00F249FE">
              <w:rPr>
                <w:rFonts w:ascii="Times New Roman" w:hAnsi="Times New Roman"/>
              </w:rPr>
              <w:t>.</w:t>
            </w:r>
            <w:r w:rsidR="001E7D42">
              <w:rPr>
                <w:rFonts w:ascii="Times New Roman" w:hAnsi="Times New Roman"/>
              </w:rPr>
              <w:t xml:space="preserve"> </w:t>
            </w:r>
            <w:r w:rsidR="00F249FE">
              <w:rPr>
                <w:rFonts w:ascii="Times New Roman" w:hAnsi="Times New Roman"/>
              </w:rPr>
              <w:t>zm.</w:t>
            </w:r>
            <w:r w:rsidR="008D1FD5" w:rsidRPr="00FE065E">
              <w:rPr>
                <w:rFonts w:ascii="Times New Roman" w:hAnsi="Times New Roman"/>
              </w:rPr>
              <w:t>)</w:t>
            </w:r>
            <w:r w:rsidR="00F249FE">
              <w:rPr>
                <w:rFonts w:ascii="Times New Roman" w:hAnsi="Times New Roman"/>
              </w:rPr>
              <w:t>, zwanej</w:t>
            </w:r>
            <w:r w:rsidR="008D1FD5" w:rsidRPr="00FE065E">
              <w:rPr>
                <w:rFonts w:ascii="Times New Roman" w:hAnsi="Times New Roman"/>
              </w:rPr>
              <w:t xml:space="preserve"> dalej </w:t>
            </w:r>
            <w:r w:rsidR="00F249FE">
              <w:rPr>
                <w:rFonts w:ascii="Times New Roman" w:hAnsi="Times New Roman"/>
              </w:rPr>
              <w:t>„</w:t>
            </w:r>
            <w:r w:rsidR="008D1FD5" w:rsidRPr="00FE065E">
              <w:rPr>
                <w:rFonts w:ascii="Times New Roman" w:hAnsi="Times New Roman"/>
              </w:rPr>
              <w:t>k.k.</w:t>
            </w:r>
            <w:r w:rsidR="00F249FE">
              <w:rPr>
                <w:rFonts w:ascii="Times New Roman" w:hAnsi="Times New Roman"/>
              </w:rPr>
              <w:t>”</w:t>
            </w:r>
            <w:r w:rsidR="008D1FD5" w:rsidRPr="00FE065E">
              <w:rPr>
                <w:rFonts w:ascii="Times New Roman" w:hAnsi="Times New Roman"/>
              </w:rPr>
              <w:t xml:space="preserve">, </w:t>
            </w:r>
            <w:r w:rsidRPr="00B67254">
              <w:rPr>
                <w:rFonts w:ascii="Times New Roman" w:hAnsi="Times New Roman"/>
                <w:color w:val="000000"/>
              </w:rPr>
              <w:t>w je</w:t>
            </w:r>
            <w:r w:rsidR="008D74F1">
              <w:rPr>
                <w:rFonts w:ascii="Times New Roman" w:hAnsi="Times New Roman"/>
                <w:color w:val="000000"/>
              </w:rPr>
              <w:t>j</w:t>
            </w:r>
            <w:r w:rsidRPr="00B67254">
              <w:rPr>
                <w:rFonts w:ascii="Times New Roman" w:hAnsi="Times New Roman"/>
                <w:color w:val="000000"/>
              </w:rPr>
              <w:t xml:space="preserve"> aktualnym brzmieniu zostały określone w sposób</w:t>
            </w:r>
            <w:r w:rsidR="008673F1">
              <w:rPr>
                <w:rFonts w:ascii="Times New Roman" w:hAnsi="Times New Roman"/>
                <w:color w:val="000000"/>
              </w:rPr>
              <w:t>, który może</w:t>
            </w:r>
            <w:r w:rsidRPr="00B67254">
              <w:rPr>
                <w:rFonts w:ascii="Times New Roman" w:hAnsi="Times New Roman"/>
                <w:color w:val="000000"/>
              </w:rPr>
              <w:t xml:space="preserve"> </w:t>
            </w:r>
            <w:r w:rsidR="00D24357">
              <w:rPr>
                <w:rFonts w:ascii="Times New Roman" w:hAnsi="Times New Roman"/>
                <w:color w:val="000000"/>
              </w:rPr>
              <w:t>nie uwzględniać w pełni warunków panujących na rynku</w:t>
            </w:r>
            <w:r w:rsidR="00BB20E0">
              <w:rPr>
                <w:rFonts w:ascii="Times New Roman" w:hAnsi="Times New Roman"/>
                <w:color w:val="000000"/>
              </w:rPr>
              <w:t xml:space="preserve">. </w:t>
            </w:r>
            <w:r w:rsidR="00700290">
              <w:rPr>
                <w:rFonts w:ascii="Times New Roman" w:hAnsi="Times New Roman"/>
                <w:color w:val="000000"/>
              </w:rPr>
              <w:t>Zauważa się</w:t>
            </w:r>
            <w:r w:rsidR="00F249FE">
              <w:rPr>
                <w:rFonts w:ascii="Times New Roman" w:hAnsi="Times New Roman"/>
                <w:color w:val="000000"/>
              </w:rPr>
              <w:t>,</w:t>
            </w:r>
            <w:r w:rsidR="00700290">
              <w:rPr>
                <w:rFonts w:ascii="Times New Roman" w:hAnsi="Times New Roman"/>
                <w:color w:val="000000"/>
              </w:rPr>
              <w:t xml:space="preserve"> </w:t>
            </w:r>
            <w:r w:rsidR="00700290">
              <w:rPr>
                <w:rFonts w:ascii="Times New Roman" w:hAnsi="Times New Roman"/>
                <w:color w:val="000000"/>
              </w:rPr>
              <w:lastRenderedPageBreak/>
              <w:t>że</w:t>
            </w:r>
            <w:r w:rsidR="00A275E8">
              <w:rPr>
                <w:rFonts w:ascii="Times New Roman" w:hAnsi="Times New Roman"/>
                <w:color w:val="000000"/>
              </w:rPr>
              <w:t xml:space="preserve"> w wielu</w:t>
            </w:r>
            <w:r w:rsidR="00530D23">
              <w:rPr>
                <w:rFonts w:ascii="Times New Roman" w:hAnsi="Times New Roman"/>
                <w:color w:val="000000"/>
              </w:rPr>
              <w:t xml:space="preserve"> </w:t>
            </w:r>
            <w:r w:rsidR="0096759B">
              <w:rPr>
                <w:rFonts w:ascii="Times New Roman" w:hAnsi="Times New Roman"/>
                <w:color w:val="000000"/>
              </w:rPr>
              <w:t>spraw</w:t>
            </w:r>
            <w:r w:rsidR="00A275E8">
              <w:rPr>
                <w:rFonts w:ascii="Times New Roman" w:hAnsi="Times New Roman"/>
                <w:color w:val="000000"/>
              </w:rPr>
              <w:t>ach</w:t>
            </w:r>
            <w:r w:rsidR="0096759B">
              <w:rPr>
                <w:rFonts w:ascii="Times New Roman" w:hAnsi="Times New Roman"/>
                <w:color w:val="000000"/>
              </w:rPr>
              <w:t xml:space="preserve"> </w:t>
            </w:r>
            <w:r w:rsidR="00015E37">
              <w:rPr>
                <w:rFonts w:ascii="Times New Roman" w:hAnsi="Times New Roman"/>
                <w:color w:val="000000"/>
              </w:rPr>
              <w:t>n</w:t>
            </w:r>
            <w:r w:rsidR="00015E37" w:rsidRPr="00015E37">
              <w:rPr>
                <w:rFonts w:ascii="Times New Roman" w:hAnsi="Times New Roman"/>
                <w:color w:val="000000"/>
              </w:rPr>
              <w:t>iespłacona należność główna wraz z odsetkami umownymi</w:t>
            </w:r>
            <w:r w:rsidR="0096759B">
              <w:rPr>
                <w:rFonts w:ascii="Times New Roman" w:hAnsi="Times New Roman"/>
                <w:color w:val="000000"/>
              </w:rPr>
              <w:t xml:space="preserve"> </w:t>
            </w:r>
            <w:r w:rsidR="00862C62">
              <w:rPr>
                <w:rFonts w:ascii="Times New Roman" w:hAnsi="Times New Roman"/>
                <w:color w:val="000000"/>
              </w:rPr>
              <w:t xml:space="preserve">jest </w:t>
            </w:r>
            <w:r w:rsidR="00862C62" w:rsidRPr="00862C62">
              <w:rPr>
                <w:rFonts w:ascii="Times New Roman" w:hAnsi="Times New Roman"/>
                <w:color w:val="000000"/>
              </w:rPr>
              <w:t>niewspółmiern</w:t>
            </w:r>
            <w:r w:rsidR="00700290">
              <w:rPr>
                <w:rFonts w:ascii="Times New Roman" w:hAnsi="Times New Roman"/>
                <w:color w:val="000000"/>
              </w:rPr>
              <w:t>ie wysoka,</w:t>
            </w:r>
            <w:r w:rsidR="00862C62">
              <w:rPr>
                <w:rFonts w:ascii="Times New Roman" w:hAnsi="Times New Roman"/>
                <w:color w:val="000000"/>
              </w:rPr>
              <w:t xml:space="preserve"> a</w:t>
            </w:r>
            <w:r w:rsidR="008D74F1">
              <w:rPr>
                <w:rFonts w:ascii="Times New Roman" w:hAnsi="Times New Roman"/>
                <w:color w:val="000000"/>
              </w:rPr>
              <w:t> </w:t>
            </w:r>
            <w:r w:rsidR="00862C62">
              <w:rPr>
                <w:rFonts w:ascii="Times New Roman" w:hAnsi="Times New Roman"/>
                <w:color w:val="000000"/>
              </w:rPr>
              <w:t>często też wielokrotnie przewyższa wartość zaciągniętej pożyczki</w:t>
            </w:r>
            <w:r w:rsidR="00A275E8">
              <w:rPr>
                <w:rFonts w:ascii="Times New Roman" w:hAnsi="Times New Roman"/>
                <w:color w:val="000000"/>
              </w:rPr>
              <w:t>. W związku z powyższym</w:t>
            </w:r>
            <w:r w:rsidR="00D6405B">
              <w:rPr>
                <w:rFonts w:ascii="Times New Roman" w:hAnsi="Times New Roman"/>
                <w:color w:val="000000"/>
              </w:rPr>
              <w:t>,</w:t>
            </w:r>
            <w:r w:rsidR="00A275E8">
              <w:rPr>
                <w:rFonts w:ascii="Times New Roman" w:hAnsi="Times New Roman"/>
                <w:color w:val="000000"/>
              </w:rPr>
              <w:t xml:space="preserve"> i</w:t>
            </w:r>
            <w:r w:rsidR="002F1A7A">
              <w:rPr>
                <w:rFonts w:ascii="Times New Roman" w:hAnsi="Times New Roman"/>
                <w:color w:val="000000"/>
              </w:rPr>
              <w:t xml:space="preserve">stnieje wysokie prawdopodobieństwo, że </w:t>
            </w:r>
            <w:r w:rsidR="003D2CE2">
              <w:rPr>
                <w:rFonts w:ascii="Times New Roman" w:hAnsi="Times New Roman"/>
                <w:color w:val="000000"/>
              </w:rPr>
              <w:t xml:space="preserve">niewłaściwe określenie czynu zabronionego </w:t>
            </w:r>
            <w:r w:rsidR="00530D23">
              <w:rPr>
                <w:rFonts w:ascii="Times New Roman" w:hAnsi="Times New Roman"/>
                <w:color w:val="000000"/>
              </w:rPr>
              <w:t xml:space="preserve">w przepisach karnych </w:t>
            </w:r>
            <w:r w:rsidR="001F1F30">
              <w:rPr>
                <w:rFonts w:ascii="Times New Roman" w:hAnsi="Times New Roman"/>
                <w:color w:val="000000"/>
              </w:rPr>
              <w:t xml:space="preserve">stanowi zasadniczy problem w </w:t>
            </w:r>
            <w:r w:rsidR="00880AB5" w:rsidRPr="00880AB5">
              <w:rPr>
                <w:rFonts w:ascii="Times New Roman" w:hAnsi="Times New Roman"/>
                <w:color w:val="000000"/>
              </w:rPr>
              <w:t>uznani</w:t>
            </w:r>
            <w:r w:rsidR="00880AB5">
              <w:rPr>
                <w:rFonts w:ascii="Times New Roman" w:hAnsi="Times New Roman"/>
                <w:color w:val="000000"/>
              </w:rPr>
              <w:t>u</w:t>
            </w:r>
            <w:r w:rsidR="00880AB5" w:rsidRPr="00880AB5">
              <w:rPr>
                <w:rFonts w:ascii="Times New Roman" w:hAnsi="Times New Roman"/>
                <w:color w:val="000000"/>
              </w:rPr>
              <w:t xml:space="preserve"> określonego czynu za czyn zabroniony </w:t>
            </w:r>
            <w:r w:rsidR="00D6405B">
              <w:rPr>
                <w:rFonts w:ascii="Times New Roman" w:hAnsi="Times New Roman"/>
                <w:color w:val="000000"/>
              </w:rPr>
              <w:t xml:space="preserve">oraz do </w:t>
            </w:r>
            <w:r w:rsidR="003D2CE2" w:rsidRPr="002F1A7A">
              <w:rPr>
                <w:rFonts w:ascii="Times New Roman" w:hAnsi="Times New Roman"/>
                <w:color w:val="000000"/>
              </w:rPr>
              <w:t>pociągnięci</w:t>
            </w:r>
            <w:r w:rsidR="00D6405B">
              <w:rPr>
                <w:rFonts w:ascii="Times New Roman" w:hAnsi="Times New Roman"/>
                <w:color w:val="000000"/>
              </w:rPr>
              <w:t>a</w:t>
            </w:r>
            <w:r w:rsidR="003D2CE2" w:rsidRPr="002F1A7A">
              <w:rPr>
                <w:rFonts w:ascii="Times New Roman" w:hAnsi="Times New Roman"/>
                <w:color w:val="000000"/>
              </w:rPr>
              <w:t xml:space="preserve"> </w:t>
            </w:r>
            <w:r w:rsidR="003D2CE2">
              <w:rPr>
                <w:rFonts w:ascii="Times New Roman" w:hAnsi="Times New Roman"/>
                <w:color w:val="000000"/>
              </w:rPr>
              <w:t xml:space="preserve">danego podmiotu </w:t>
            </w:r>
            <w:r w:rsidR="003D2CE2" w:rsidRPr="002F1A7A">
              <w:rPr>
                <w:rFonts w:ascii="Times New Roman" w:hAnsi="Times New Roman"/>
                <w:color w:val="000000"/>
              </w:rPr>
              <w:t>do odpowiedzialności karnej</w:t>
            </w:r>
            <w:r w:rsidR="00530D23">
              <w:rPr>
                <w:rFonts w:ascii="Times New Roman" w:hAnsi="Times New Roman"/>
                <w:color w:val="000000"/>
              </w:rPr>
              <w:t>.</w:t>
            </w:r>
          </w:p>
          <w:p w14:paraId="20E4A31D" w14:textId="77777777" w:rsidR="00261362" w:rsidRDefault="00261362" w:rsidP="00A866F8">
            <w:pPr>
              <w:spacing w:line="240" w:lineRule="auto"/>
              <w:jc w:val="both"/>
              <w:rPr>
                <w:rFonts w:ascii="Times New Roman" w:hAnsi="Times New Roman"/>
                <w:color w:val="000000"/>
              </w:rPr>
            </w:pPr>
          </w:p>
          <w:p w14:paraId="7E524DB9" w14:textId="77777777" w:rsidR="00D6405B" w:rsidRDefault="00D6405B" w:rsidP="00A866F8">
            <w:pPr>
              <w:spacing w:line="240" w:lineRule="auto"/>
              <w:jc w:val="both"/>
              <w:rPr>
                <w:rFonts w:ascii="Times New Roman" w:hAnsi="Times New Roman"/>
                <w:color w:val="000000"/>
              </w:rPr>
            </w:pPr>
            <w:r>
              <w:rPr>
                <w:rFonts w:ascii="Times New Roman" w:hAnsi="Times New Roman"/>
                <w:color w:val="000000"/>
              </w:rPr>
              <w:t>Tabela poniżej przedstawia liczbę</w:t>
            </w:r>
            <w:r w:rsidR="005B38BF" w:rsidRPr="005B38BF">
              <w:rPr>
                <w:rFonts w:ascii="Times New Roman" w:hAnsi="Times New Roman"/>
                <w:color w:val="000000"/>
              </w:rPr>
              <w:t xml:space="preserve"> postępowań wszczętych</w:t>
            </w:r>
            <w:r w:rsidR="005B38BF">
              <w:rPr>
                <w:rFonts w:ascii="Times New Roman" w:hAnsi="Times New Roman"/>
                <w:color w:val="000000"/>
              </w:rPr>
              <w:t xml:space="preserve"> oraz stwierdzonych przestępstw za czyn określonych w</w:t>
            </w:r>
            <w:r w:rsidR="00F272BD">
              <w:rPr>
                <w:rFonts w:ascii="Times New Roman" w:hAnsi="Times New Roman"/>
                <w:color w:val="000000"/>
              </w:rPr>
              <w:t> </w:t>
            </w:r>
            <w:r w:rsidR="005B38BF">
              <w:rPr>
                <w:rFonts w:ascii="Times New Roman" w:hAnsi="Times New Roman"/>
                <w:color w:val="000000"/>
              </w:rPr>
              <w:t>a</w:t>
            </w:r>
            <w:r w:rsidR="005B38BF" w:rsidRPr="005B38BF">
              <w:rPr>
                <w:rFonts w:ascii="Times New Roman" w:hAnsi="Times New Roman"/>
                <w:color w:val="000000"/>
              </w:rPr>
              <w:t>rt.</w:t>
            </w:r>
            <w:r w:rsidR="00F272BD">
              <w:rPr>
                <w:rFonts w:ascii="Times New Roman" w:hAnsi="Times New Roman"/>
                <w:color w:val="000000"/>
              </w:rPr>
              <w:t> </w:t>
            </w:r>
            <w:r w:rsidR="005B38BF" w:rsidRPr="005B38BF">
              <w:rPr>
                <w:rFonts w:ascii="Times New Roman" w:hAnsi="Times New Roman"/>
                <w:color w:val="000000"/>
              </w:rPr>
              <w:t>304</w:t>
            </w:r>
            <w:r w:rsidR="005B38BF">
              <w:rPr>
                <w:rFonts w:ascii="Times New Roman" w:hAnsi="Times New Roman"/>
                <w:color w:val="000000"/>
              </w:rPr>
              <w:t xml:space="preserve"> k</w:t>
            </w:r>
            <w:r w:rsidR="002D556C">
              <w:rPr>
                <w:rFonts w:ascii="Times New Roman" w:hAnsi="Times New Roman"/>
                <w:color w:val="000000"/>
              </w:rPr>
              <w:t>.</w:t>
            </w:r>
            <w:r w:rsidR="005B38BF">
              <w:rPr>
                <w:rFonts w:ascii="Times New Roman" w:hAnsi="Times New Roman"/>
                <w:color w:val="000000"/>
              </w:rPr>
              <w:t>k</w:t>
            </w:r>
            <w:r w:rsidR="002D556C">
              <w:rPr>
                <w:rFonts w:ascii="Times New Roman" w:hAnsi="Times New Roman"/>
                <w:color w:val="000000"/>
              </w:rPr>
              <w:t>. (</w:t>
            </w:r>
            <w:r w:rsidR="002D556C" w:rsidRPr="0082742B">
              <w:rPr>
                <w:rFonts w:ascii="Times New Roman" w:hAnsi="Times New Roman"/>
                <w:i/>
                <w:color w:val="000000"/>
              </w:rPr>
              <w:t>Lichwa</w:t>
            </w:r>
            <w:r w:rsidR="002D556C">
              <w:rPr>
                <w:rFonts w:ascii="Times New Roman" w:hAnsi="Times New Roman"/>
                <w:color w:val="000000"/>
              </w:rPr>
              <w:t>)</w:t>
            </w:r>
            <w:r w:rsidR="002D556C">
              <w:rPr>
                <w:rStyle w:val="Odwoanieprzypisudolnego"/>
                <w:rFonts w:ascii="Times New Roman" w:hAnsi="Times New Roman"/>
                <w:color w:val="000000"/>
              </w:rPr>
              <w:footnoteReference w:id="7"/>
            </w:r>
            <w:r w:rsidR="00FF4B49">
              <w:rPr>
                <w:rFonts w:ascii="Times New Roman" w:hAnsi="Times New Roman"/>
                <w:color w:val="000000"/>
              </w:rPr>
              <w:t>.</w:t>
            </w:r>
          </w:p>
          <w:tbl>
            <w:tblPr>
              <w:tblW w:w="8985" w:type="dxa"/>
              <w:jc w:val="center"/>
              <w:tblLayout w:type="fixed"/>
              <w:tblCellMar>
                <w:left w:w="70" w:type="dxa"/>
                <w:right w:w="70" w:type="dxa"/>
              </w:tblCellMar>
              <w:tblLook w:val="04A0" w:firstRow="1" w:lastRow="0" w:firstColumn="1" w:lastColumn="0" w:noHBand="0" w:noVBand="1"/>
            </w:tblPr>
            <w:tblGrid>
              <w:gridCol w:w="2234"/>
              <w:gridCol w:w="3131"/>
              <w:gridCol w:w="3620"/>
            </w:tblGrid>
            <w:tr w:rsidR="00FF4B49" w:rsidRPr="00FF4B49" w14:paraId="2671F0CE" w14:textId="77777777" w:rsidTr="00FF4B49">
              <w:trPr>
                <w:trHeight w:val="788"/>
                <w:jc w:val="center"/>
              </w:trPr>
              <w:tc>
                <w:tcPr>
                  <w:tcW w:w="22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7CA945" w14:textId="77777777" w:rsidR="00F60A9F" w:rsidRPr="00F60A9F" w:rsidRDefault="00F60A9F" w:rsidP="00BB20E0">
                  <w:pPr>
                    <w:spacing w:line="240" w:lineRule="auto"/>
                    <w:jc w:val="center"/>
                    <w:rPr>
                      <w:rFonts w:ascii="Times New Roman" w:eastAsia="Times New Roman" w:hAnsi="Times New Roman"/>
                      <w:b/>
                      <w:bCs/>
                      <w:color w:val="000000"/>
                      <w:lang w:eastAsia="pl-PL"/>
                    </w:rPr>
                  </w:pPr>
                  <w:r w:rsidRPr="00F60A9F">
                    <w:rPr>
                      <w:rFonts w:ascii="Times New Roman" w:eastAsia="Times New Roman" w:hAnsi="Times New Roman"/>
                      <w:b/>
                      <w:bCs/>
                      <w:color w:val="000000"/>
                      <w:lang w:eastAsia="pl-PL"/>
                    </w:rPr>
                    <w:t>R</w:t>
                  </w:r>
                  <w:r w:rsidR="00BB20E0" w:rsidRPr="00FF4B49">
                    <w:rPr>
                      <w:rFonts w:ascii="Times New Roman" w:eastAsia="Times New Roman" w:hAnsi="Times New Roman"/>
                      <w:b/>
                      <w:bCs/>
                      <w:color w:val="000000"/>
                      <w:lang w:eastAsia="pl-PL"/>
                    </w:rPr>
                    <w:t>ok</w:t>
                  </w:r>
                </w:p>
              </w:tc>
              <w:tc>
                <w:tcPr>
                  <w:tcW w:w="3131" w:type="dxa"/>
                  <w:tcBorders>
                    <w:top w:val="single" w:sz="4" w:space="0" w:color="auto"/>
                    <w:left w:val="nil"/>
                    <w:bottom w:val="single" w:sz="4" w:space="0" w:color="auto"/>
                    <w:right w:val="single" w:sz="4" w:space="0" w:color="auto"/>
                  </w:tcBorders>
                  <w:shd w:val="clear" w:color="000000" w:fill="D9D9D9"/>
                  <w:vAlign w:val="center"/>
                  <w:hideMark/>
                </w:tcPr>
                <w:p w14:paraId="677687AB" w14:textId="77777777" w:rsidR="00F60A9F" w:rsidRPr="00F60A9F" w:rsidRDefault="00BB20E0" w:rsidP="00F60A9F">
                  <w:pPr>
                    <w:spacing w:line="240" w:lineRule="auto"/>
                    <w:jc w:val="center"/>
                    <w:rPr>
                      <w:rFonts w:ascii="Times New Roman" w:eastAsia="Times New Roman" w:hAnsi="Times New Roman"/>
                      <w:b/>
                      <w:bCs/>
                      <w:color w:val="000000"/>
                      <w:lang w:eastAsia="pl-PL"/>
                    </w:rPr>
                  </w:pPr>
                  <w:r w:rsidRPr="00FF4B49">
                    <w:rPr>
                      <w:rFonts w:ascii="Times New Roman" w:eastAsia="Times New Roman" w:hAnsi="Times New Roman"/>
                      <w:b/>
                      <w:bCs/>
                      <w:color w:val="000000"/>
                      <w:lang w:eastAsia="pl-PL"/>
                    </w:rPr>
                    <w:t>Li</w:t>
                  </w:r>
                  <w:r w:rsidR="00F60A9F" w:rsidRPr="00F60A9F">
                    <w:rPr>
                      <w:rFonts w:ascii="Times New Roman" w:eastAsia="Times New Roman" w:hAnsi="Times New Roman"/>
                      <w:b/>
                      <w:bCs/>
                      <w:color w:val="000000"/>
                      <w:lang w:eastAsia="pl-PL"/>
                    </w:rPr>
                    <w:t>czba postępowań wszczętych</w:t>
                  </w:r>
                </w:p>
              </w:tc>
              <w:tc>
                <w:tcPr>
                  <w:tcW w:w="3620" w:type="dxa"/>
                  <w:tcBorders>
                    <w:top w:val="single" w:sz="4" w:space="0" w:color="auto"/>
                    <w:left w:val="nil"/>
                    <w:bottom w:val="single" w:sz="4" w:space="0" w:color="auto"/>
                    <w:right w:val="single" w:sz="4" w:space="0" w:color="auto"/>
                  </w:tcBorders>
                  <w:shd w:val="clear" w:color="000000" w:fill="D9D9D9"/>
                  <w:vAlign w:val="center"/>
                  <w:hideMark/>
                </w:tcPr>
                <w:p w14:paraId="493F8F86" w14:textId="77777777" w:rsidR="00F60A9F" w:rsidRPr="00F60A9F" w:rsidRDefault="00BB20E0" w:rsidP="00F60A9F">
                  <w:pPr>
                    <w:spacing w:line="240" w:lineRule="auto"/>
                    <w:jc w:val="center"/>
                    <w:rPr>
                      <w:rFonts w:ascii="Times New Roman" w:eastAsia="Times New Roman" w:hAnsi="Times New Roman"/>
                      <w:b/>
                      <w:bCs/>
                      <w:color w:val="000000"/>
                      <w:lang w:eastAsia="pl-PL"/>
                    </w:rPr>
                  </w:pPr>
                  <w:r w:rsidRPr="00FF4B49">
                    <w:rPr>
                      <w:rFonts w:ascii="Times New Roman" w:eastAsia="Times New Roman" w:hAnsi="Times New Roman"/>
                      <w:b/>
                      <w:bCs/>
                      <w:color w:val="000000"/>
                      <w:lang w:eastAsia="pl-PL"/>
                    </w:rPr>
                    <w:t>L</w:t>
                  </w:r>
                  <w:r w:rsidR="00F60A9F" w:rsidRPr="00F60A9F">
                    <w:rPr>
                      <w:rFonts w:ascii="Times New Roman" w:eastAsia="Times New Roman" w:hAnsi="Times New Roman"/>
                      <w:b/>
                      <w:bCs/>
                      <w:color w:val="000000"/>
                      <w:lang w:eastAsia="pl-PL"/>
                    </w:rPr>
                    <w:t>iczba przestępstw stwierdzonych</w:t>
                  </w:r>
                </w:p>
              </w:tc>
            </w:tr>
            <w:tr w:rsidR="00FF4B49" w:rsidRPr="00FF4B49" w14:paraId="08586E6E"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7C2FE29A"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2016</w:t>
                  </w:r>
                </w:p>
              </w:tc>
              <w:tc>
                <w:tcPr>
                  <w:tcW w:w="3131" w:type="dxa"/>
                  <w:tcBorders>
                    <w:top w:val="nil"/>
                    <w:left w:val="nil"/>
                    <w:bottom w:val="single" w:sz="4" w:space="0" w:color="auto"/>
                    <w:right w:val="single" w:sz="4" w:space="0" w:color="auto"/>
                  </w:tcBorders>
                  <w:shd w:val="clear" w:color="auto" w:fill="auto"/>
                  <w:vAlign w:val="center"/>
                  <w:hideMark/>
                </w:tcPr>
                <w:p w14:paraId="541530FE"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32</w:t>
                  </w:r>
                </w:p>
              </w:tc>
              <w:tc>
                <w:tcPr>
                  <w:tcW w:w="3620" w:type="dxa"/>
                  <w:tcBorders>
                    <w:top w:val="nil"/>
                    <w:left w:val="nil"/>
                    <w:bottom w:val="single" w:sz="4" w:space="0" w:color="auto"/>
                    <w:right w:val="single" w:sz="4" w:space="0" w:color="auto"/>
                  </w:tcBorders>
                  <w:shd w:val="clear" w:color="auto" w:fill="auto"/>
                  <w:vAlign w:val="center"/>
                  <w:hideMark/>
                </w:tcPr>
                <w:p w14:paraId="4C0574A3"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40</w:t>
                  </w:r>
                </w:p>
              </w:tc>
            </w:tr>
            <w:tr w:rsidR="00FF4B49" w:rsidRPr="00FF4B49" w14:paraId="669C32BB"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439123F0"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2015</w:t>
                  </w:r>
                </w:p>
              </w:tc>
              <w:tc>
                <w:tcPr>
                  <w:tcW w:w="3131" w:type="dxa"/>
                  <w:tcBorders>
                    <w:top w:val="nil"/>
                    <w:left w:val="nil"/>
                    <w:bottom w:val="single" w:sz="4" w:space="0" w:color="auto"/>
                    <w:right w:val="single" w:sz="4" w:space="0" w:color="auto"/>
                  </w:tcBorders>
                  <w:shd w:val="clear" w:color="auto" w:fill="auto"/>
                  <w:vAlign w:val="center"/>
                  <w:hideMark/>
                </w:tcPr>
                <w:p w14:paraId="321C8DF2"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30</w:t>
                  </w:r>
                </w:p>
              </w:tc>
              <w:tc>
                <w:tcPr>
                  <w:tcW w:w="3620" w:type="dxa"/>
                  <w:tcBorders>
                    <w:top w:val="nil"/>
                    <w:left w:val="nil"/>
                    <w:bottom w:val="single" w:sz="4" w:space="0" w:color="auto"/>
                    <w:right w:val="single" w:sz="4" w:space="0" w:color="auto"/>
                  </w:tcBorders>
                  <w:shd w:val="clear" w:color="auto" w:fill="auto"/>
                  <w:vAlign w:val="center"/>
                  <w:hideMark/>
                </w:tcPr>
                <w:p w14:paraId="0C7E5C00"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158</w:t>
                  </w:r>
                </w:p>
              </w:tc>
            </w:tr>
            <w:tr w:rsidR="00FF4B49" w:rsidRPr="00FF4B49" w14:paraId="7A2C4D21"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11531BC2"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2014</w:t>
                  </w:r>
                </w:p>
              </w:tc>
              <w:tc>
                <w:tcPr>
                  <w:tcW w:w="3131" w:type="dxa"/>
                  <w:tcBorders>
                    <w:top w:val="nil"/>
                    <w:left w:val="nil"/>
                    <w:bottom w:val="single" w:sz="4" w:space="0" w:color="auto"/>
                    <w:right w:val="single" w:sz="4" w:space="0" w:color="auto"/>
                  </w:tcBorders>
                  <w:shd w:val="clear" w:color="auto" w:fill="auto"/>
                  <w:vAlign w:val="center"/>
                  <w:hideMark/>
                </w:tcPr>
                <w:p w14:paraId="3C5CA390"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46</w:t>
                  </w:r>
                </w:p>
              </w:tc>
              <w:tc>
                <w:tcPr>
                  <w:tcW w:w="3620" w:type="dxa"/>
                  <w:tcBorders>
                    <w:top w:val="nil"/>
                    <w:left w:val="nil"/>
                    <w:bottom w:val="single" w:sz="4" w:space="0" w:color="auto"/>
                    <w:right w:val="single" w:sz="4" w:space="0" w:color="auto"/>
                  </w:tcBorders>
                  <w:shd w:val="clear" w:color="auto" w:fill="auto"/>
                  <w:vAlign w:val="center"/>
                  <w:hideMark/>
                </w:tcPr>
                <w:p w14:paraId="48FBAD18"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170</w:t>
                  </w:r>
                </w:p>
              </w:tc>
            </w:tr>
            <w:tr w:rsidR="00FF4B49" w:rsidRPr="00FF4B49" w14:paraId="4BBC9C15"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1097DBE9"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2013</w:t>
                  </w:r>
                </w:p>
              </w:tc>
              <w:tc>
                <w:tcPr>
                  <w:tcW w:w="3131" w:type="dxa"/>
                  <w:tcBorders>
                    <w:top w:val="nil"/>
                    <w:left w:val="nil"/>
                    <w:bottom w:val="single" w:sz="4" w:space="0" w:color="auto"/>
                    <w:right w:val="single" w:sz="4" w:space="0" w:color="auto"/>
                  </w:tcBorders>
                  <w:shd w:val="clear" w:color="auto" w:fill="auto"/>
                  <w:vAlign w:val="center"/>
                  <w:hideMark/>
                </w:tcPr>
                <w:p w14:paraId="2CDC22EE"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43</w:t>
                  </w:r>
                </w:p>
              </w:tc>
              <w:tc>
                <w:tcPr>
                  <w:tcW w:w="3620" w:type="dxa"/>
                  <w:tcBorders>
                    <w:top w:val="nil"/>
                    <w:left w:val="nil"/>
                    <w:bottom w:val="single" w:sz="4" w:space="0" w:color="auto"/>
                    <w:right w:val="single" w:sz="4" w:space="0" w:color="auto"/>
                  </w:tcBorders>
                  <w:shd w:val="clear" w:color="auto" w:fill="auto"/>
                  <w:vAlign w:val="center"/>
                  <w:hideMark/>
                </w:tcPr>
                <w:p w14:paraId="1434E186"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21</w:t>
                  </w:r>
                </w:p>
              </w:tc>
            </w:tr>
            <w:tr w:rsidR="00FF4B49" w:rsidRPr="00FF4B49" w14:paraId="34118B6B"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1DBCB9A2"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2012</w:t>
                  </w:r>
                </w:p>
              </w:tc>
              <w:tc>
                <w:tcPr>
                  <w:tcW w:w="3131" w:type="dxa"/>
                  <w:tcBorders>
                    <w:top w:val="nil"/>
                    <w:left w:val="nil"/>
                    <w:bottom w:val="single" w:sz="4" w:space="0" w:color="auto"/>
                    <w:right w:val="single" w:sz="4" w:space="0" w:color="auto"/>
                  </w:tcBorders>
                  <w:shd w:val="clear" w:color="auto" w:fill="auto"/>
                  <w:vAlign w:val="center"/>
                  <w:hideMark/>
                </w:tcPr>
                <w:p w14:paraId="6C2A33D2"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29</w:t>
                  </w:r>
                </w:p>
              </w:tc>
              <w:tc>
                <w:tcPr>
                  <w:tcW w:w="3620" w:type="dxa"/>
                  <w:tcBorders>
                    <w:top w:val="nil"/>
                    <w:left w:val="nil"/>
                    <w:bottom w:val="single" w:sz="4" w:space="0" w:color="auto"/>
                    <w:right w:val="single" w:sz="4" w:space="0" w:color="auto"/>
                  </w:tcBorders>
                  <w:shd w:val="clear" w:color="auto" w:fill="auto"/>
                  <w:vAlign w:val="center"/>
                  <w:hideMark/>
                </w:tcPr>
                <w:p w14:paraId="2A12F36E"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15</w:t>
                  </w:r>
                </w:p>
              </w:tc>
            </w:tr>
            <w:tr w:rsidR="00FF4B49" w:rsidRPr="00FF4B49" w14:paraId="6F289F74"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201E5426"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2011</w:t>
                  </w:r>
                </w:p>
              </w:tc>
              <w:tc>
                <w:tcPr>
                  <w:tcW w:w="3131" w:type="dxa"/>
                  <w:tcBorders>
                    <w:top w:val="nil"/>
                    <w:left w:val="nil"/>
                    <w:bottom w:val="single" w:sz="4" w:space="0" w:color="auto"/>
                    <w:right w:val="single" w:sz="4" w:space="0" w:color="auto"/>
                  </w:tcBorders>
                  <w:shd w:val="clear" w:color="auto" w:fill="auto"/>
                  <w:vAlign w:val="center"/>
                  <w:hideMark/>
                </w:tcPr>
                <w:p w14:paraId="468F0C32"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21</w:t>
                  </w:r>
                </w:p>
              </w:tc>
              <w:tc>
                <w:tcPr>
                  <w:tcW w:w="3620" w:type="dxa"/>
                  <w:tcBorders>
                    <w:top w:val="nil"/>
                    <w:left w:val="nil"/>
                    <w:bottom w:val="single" w:sz="4" w:space="0" w:color="auto"/>
                    <w:right w:val="single" w:sz="4" w:space="0" w:color="auto"/>
                  </w:tcBorders>
                  <w:shd w:val="clear" w:color="auto" w:fill="auto"/>
                  <w:vAlign w:val="center"/>
                  <w:hideMark/>
                </w:tcPr>
                <w:p w14:paraId="78D3C48F"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13</w:t>
                  </w:r>
                </w:p>
              </w:tc>
            </w:tr>
            <w:tr w:rsidR="00FF4B49" w:rsidRPr="00FF4B49" w14:paraId="3D12D259"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047A0893"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2010</w:t>
                  </w:r>
                </w:p>
              </w:tc>
              <w:tc>
                <w:tcPr>
                  <w:tcW w:w="3131" w:type="dxa"/>
                  <w:tcBorders>
                    <w:top w:val="nil"/>
                    <w:left w:val="nil"/>
                    <w:bottom w:val="single" w:sz="4" w:space="0" w:color="auto"/>
                    <w:right w:val="single" w:sz="4" w:space="0" w:color="auto"/>
                  </w:tcBorders>
                  <w:shd w:val="clear" w:color="auto" w:fill="auto"/>
                  <w:vAlign w:val="center"/>
                  <w:hideMark/>
                </w:tcPr>
                <w:p w14:paraId="58A7A460"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39</w:t>
                  </w:r>
                </w:p>
              </w:tc>
              <w:tc>
                <w:tcPr>
                  <w:tcW w:w="3620" w:type="dxa"/>
                  <w:tcBorders>
                    <w:top w:val="nil"/>
                    <w:left w:val="nil"/>
                    <w:bottom w:val="single" w:sz="4" w:space="0" w:color="auto"/>
                    <w:right w:val="single" w:sz="4" w:space="0" w:color="auto"/>
                  </w:tcBorders>
                  <w:shd w:val="clear" w:color="auto" w:fill="auto"/>
                  <w:vAlign w:val="center"/>
                  <w:hideMark/>
                </w:tcPr>
                <w:p w14:paraId="3259E0D3"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57</w:t>
                  </w:r>
                </w:p>
              </w:tc>
            </w:tr>
            <w:tr w:rsidR="00FF4B49" w:rsidRPr="00FF4B49" w14:paraId="110CC350"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161C760E"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2009</w:t>
                  </w:r>
                </w:p>
              </w:tc>
              <w:tc>
                <w:tcPr>
                  <w:tcW w:w="3131" w:type="dxa"/>
                  <w:tcBorders>
                    <w:top w:val="nil"/>
                    <w:left w:val="nil"/>
                    <w:bottom w:val="single" w:sz="4" w:space="0" w:color="auto"/>
                    <w:right w:val="single" w:sz="4" w:space="0" w:color="auto"/>
                  </w:tcBorders>
                  <w:shd w:val="clear" w:color="auto" w:fill="auto"/>
                  <w:vAlign w:val="center"/>
                  <w:hideMark/>
                </w:tcPr>
                <w:p w14:paraId="5CE9A2C5"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23</w:t>
                  </w:r>
                </w:p>
              </w:tc>
              <w:tc>
                <w:tcPr>
                  <w:tcW w:w="3620" w:type="dxa"/>
                  <w:tcBorders>
                    <w:top w:val="nil"/>
                    <w:left w:val="nil"/>
                    <w:bottom w:val="single" w:sz="4" w:space="0" w:color="auto"/>
                    <w:right w:val="single" w:sz="4" w:space="0" w:color="auto"/>
                  </w:tcBorders>
                  <w:shd w:val="clear" w:color="auto" w:fill="auto"/>
                  <w:vAlign w:val="center"/>
                  <w:hideMark/>
                </w:tcPr>
                <w:p w14:paraId="0A163570"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6</w:t>
                  </w:r>
                </w:p>
              </w:tc>
            </w:tr>
            <w:tr w:rsidR="00FF4B49" w:rsidRPr="00FF4B49" w14:paraId="759BA03E"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31AD7B53"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2008</w:t>
                  </w:r>
                </w:p>
              </w:tc>
              <w:tc>
                <w:tcPr>
                  <w:tcW w:w="3131" w:type="dxa"/>
                  <w:tcBorders>
                    <w:top w:val="nil"/>
                    <w:left w:val="nil"/>
                    <w:bottom w:val="single" w:sz="4" w:space="0" w:color="auto"/>
                    <w:right w:val="single" w:sz="4" w:space="0" w:color="auto"/>
                  </w:tcBorders>
                  <w:shd w:val="clear" w:color="auto" w:fill="auto"/>
                  <w:vAlign w:val="center"/>
                  <w:hideMark/>
                </w:tcPr>
                <w:p w14:paraId="6760FFE2"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30</w:t>
                  </w:r>
                </w:p>
              </w:tc>
              <w:tc>
                <w:tcPr>
                  <w:tcW w:w="3620" w:type="dxa"/>
                  <w:tcBorders>
                    <w:top w:val="nil"/>
                    <w:left w:val="nil"/>
                    <w:bottom w:val="single" w:sz="4" w:space="0" w:color="auto"/>
                    <w:right w:val="single" w:sz="4" w:space="0" w:color="auto"/>
                  </w:tcBorders>
                  <w:shd w:val="clear" w:color="auto" w:fill="auto"/>
                  <w:vAlign w:val="center"/>
                  <w:hideMark/>
                </w:tcPr>
                <w:p w14:paraId="0F456E0D"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10</w:t>
                  </w:r>
                </w:p>
              </w:tc>
            </w:tr>
            <w:tr w:rsidR="00FF4B49" w:rsidRPr="00FF4B49" w14:paraId="0E07A722" w14:textId="77777777" w:rsidTr="00FF4B49">
              <w:trPr>
                <w:trHeight w:val="30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6E5F5B37"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2007</w:t>
                  </w:r>
                </w:p>
              </w:tc>
              <w:tc>
                <w:tcPr>
                  <w:tcW w:w="3131" w:type="dxa"/>
                  <w:tcBorders>
                    <w:top w:val="nil"/>
                    <w:left w:val="nil"/>
                    <w:bottom w:val="single" w:sz="4" w:space="0" w:color="auto"/>
                    <w:right w:val="single" w:sz="4" w:space="0" w:color="auto"/>
                  </w:tcBorders>
                  <w:shd w:val="clear" w:color="auto" w:fill="auto"/>
                  <w:vAlign w:val="center"/>
                  <w:hideMark/>
                </w:tcPr>
                <w:p w14:paraId="5B3B2E03"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31</w:t>
                  </w:r>
                </w:p>
              </w:tc>
              <w:tc>
                <w:tcPr>
                  <w:tcW w:w="3620" w:type="dxa"/>
                  <w:tcBorders>
                    <w:top w:val="nil"/>
                    <w:left w:val="nil"/>
                    <w:bottom w:val="single" w:sz="4" w:space="0" w:color="auto"/>
                    <w:right w:val="single" w:sz="4" w:space="0" w:color="auto"/>
                  </w:tcBorders>
                  <w:shd w:val="clear" w:color="auto" w:fill="auto"/>
                  <w:vAlign w:val="center"/>
                  <w:hideMark/>
                </w:tcPr>
                <w:p w14:paraId="08610BA0" w14:textId="77777777" w:rsidR="00F60A9F" w:rsidRPr="00F60A9F" w:rsidRDefault="00F60A9F" w:rsidP="00CE2666">
                  <w:pPr>
                    <w:spacing w:line="240" w:lineRule="auto"/>
                    <w:ind w:firstLineChars="100" w:firstLine="220"/>
                    <w:jc w:val="center"/>
                    <w:rPr>
                      <w:rFonts w:ascii="Times New Roman" w:eastAsia="Times New Roman" w:hAnsi="Times New Roman"/>
                      <w:color w:val="000000"/>
                      <w:lang w:eastAsia="pl-PL"/>
                    </w:rPr>
                  </w:pPr>
                  <w:r w:rsidRPr="00F60A9F">
                    <w:rPr>
                      <w:rFonts w:ascii="Times New Roman" w:eastAsia="Times New Roman" w:hAnsi="Times New Roman"/>
                      <w:color w:val="000000"/>
                      <w:lang w:eastAsia="pl-PL"/>
                    </w:rPr>
                    <w:t>15</w:t>
                  </w:r>
                </w:p>
              </w:tc>
            </w:tr>
            <w:tr w:rsidR="00FF4B49" w:rsidRPr="00FF4B49" w14:paraId="176CC47E" w14:textId="77777777" w:rsidTr="00FF4B49">
              <w:trPr>
                <w:trHeight w:val="570"/>
                <w:jc w:val="center"/>
              </w:trPr>
              <w:tc>
                <w:tcPr>
                  <w:tcW w:w="2234" w:type="dxa"/>
                  <w:tcBorders>
                    <w:top w:val="nil"/>
                    <w:left w:val="single" w:sz="4" w:space="0" w:color="auto"/>
                    <w:bottom w:val="single" w:sz="4" w:space="0" w:color="auto"/>
                    <w:right w:val="single" w:sz="4" w:space="0" w:color="auto"/>
                  </w:tcBorders>
                  <w:shd w:val="clear" w:color="000000" w:fill="D9D9D9"/>
                  <w:vAlign w:val="center"/>
                  <w:hideMark/>
                </w:tcPr>
                <w:p w14:paraId="56A38B0F" w14:textId="77777777" w:rsidR="00F60A9F" w:rsidRPr="00F60A9F" w:rsidRDefault="00CE2666" w:rsidP="00CE2666">
                  <w:pPr>
                    <w:spacing w:line="240" w:lineRule="auto"/>
                    <w:ind w:firstLineChars="100" w:firstLine="220"/>
                    <w:jc w:val="center"/>
                    <w:rPr>
                      <w:rFonts w:ascii="Times New Roman" w:eastAsia="Times New Roman" w:hAnsi="Times New Roman"/>
                      <w:color w:val="000000"/>
                      <w:lang w:eastAsia="pl-PL"/>
                    </w:rPr>
                  </w:pPr>
                  <w:r w:rsidRPr="00FF4B49">
                    <w:rPr>
                      <w:rFonts w:ascii="Times New Roman" w:eastAsia="Times New Roman" w:hAnsi="Times New Roman"/>
                      <w:color w:val="000000"/>
                      <w:lang w:eastAsia="pl-PL"/>
                    </w:rPr>
                    <w:t>Ś</w:t>
                  </w:r>
                  <w:r w:rsidR="00F60A9F" w:rsidRPr="00F60A9F">
                    <w:rPr>
                      <w:rFonts w:ascii="Times New Roman" w:eastAsia="Times New Roman" w:hAnsi="Times New Roman"/>
                      <w:color w:val="000000"/>
                      <w:lang w:eastAsia="pl-PL"/>
                    </w:rPr>
                    <w:t>redniorocznie</w:t>
                  </w:r>
                </w:p>
              </w:tc>
              <w:tc>
                <w:tcPr>
                  <w:tcW w:w="3131" w:type="dxa"/>
                  <w:tcBorders>
                    <w:top w:val="nil"/>
                    <w:left w:val="nil"/>
                    <w:bottom w:val="single" w:sz="4" w:space="0" w:color="auto"/>
                    <w:right w:val="single" w:sz="4" w:space="0" w:color="auto"/>
                  </w:tcBorders>
                  <w:shd w:val="clear" w:color="auto" w:fill="auto"/>
                  <w:vAlign w:val="center"/>
                  <w:hideMark/>
                </w:tcPr>
                <w:p w14:paraId="5B1A91C5" w14:textId="77777777" w:rsidR="00F60A9F" w:rsidRPr="00F60A9F" w:rsidRDefault="00F60A9F" w:rsidP="000E5E28">
                  <w:pPr>
                    <w:spacing w:line="240" w:lineRule="auto"/>
                    <w:ind w:firstLineChars="100" w:firstLine="221"/>
                    <w:jc w:val="center"/>
                    <w:rPr>
                      <w:rFonts w:ascii="Times New Roman" w:eastAsia="Times New Roman" w:hAnsi="Times New Roman"/>
                      <w:b/>
                      <w:color w:val="000000"/>
                      <w:lang w:eastAsia="pl-PL"/>
                    </w:rPr>
                  </w:pPr>
                  <w:r w:rsidRPr="00F60A9F">
                    <w:rPr>
                      <w:rFonts w:ascii="Times New Roman" w:eastAsia="Times New Roman" w:hAnsi="Times New Roman"/>
                      <w:b/>
                      <w:color w:val="000000"/>
                      <w:lang w:eastAsia="pl-PL"/>
                    </w:rPr>
                    <w:t>32</w:t>
                  </w:r>
                </w:p>
              </w:tc>
              <w:tc>
                <w:tcPr>
                  <w:tcW w:w="3620" w:type="dxa"/>
                  <w:tcBorders>
                    <w:top w:val="nil"/>
                    <w:left w:val="nil"/>
                    <w:bottom w:val="single" w:sz="4" w:space="0" w:color="auto"/>
                    <w:right w:val="single" w:sz="4" w:space="0" w:color="auto"/>
                  </w:tcBorders>
                  <w:shd w:val="clear" w:color="auto" w:fill="auto"/>
                  <w:vAlign w:val="center"/>
                  <w:hideMark/>
                </w:tcPr>
                <w:p w14:paraId="25570BCF" w14:textId="77777777" w:rsidR="00F60A9F" w:rsidRPr="00F60A9F" w:rsidRDefault="00F60A9F" w:rsidP="000E5E28">
                  <w:pPr>
                    <w:spacing w:line="240" w:lineRule="auto"/>
                    <w:ind w:firstLineChars="100" w:firstLine="221"/>
                    <w:jc w:val="center"/>
                    <w:rPr>
                      <w:rFonts w:ascii="Times New Roman" w:eastAsia="Times New Roman" w:hAnsi="Times New Roman"/>
                      <w:b/>
                      <w:color w:val="000000"/>
                      <w:lang w:eastAsia="pl-PL"/>
                    </w:rPr>
                  </w:pPr>
                  <w:r w:rsidRPr="00F60A9F">
                    <w:rPr>
                      <w:rFonts w:ascii="Times New Roman" w:eastAsia="Times New Roman" w:hAnsi="Times New Roman"/>
                      <w:b/>
                      <w:color w:val="000000"/>
                      <w:lang w:eastAsia="pl-PL"/>
                    </w:rPr>
                    <w:t>50</w:t>
                  </w:r>
                </w:p>
              </w:tc>
            </w:tr>
          </w:tbl>
          <w:p w14:paraId="42BAC368" w14:textId="77777777" w:rsidR="00170C4B" w:rsidRDefault="00170C4B" w:rsidP="00A866F8">
            <w:pPr>
              <w:spacing w:line="240" w:lineRule="auto"/>
              <w:jc w:val="both"/>
              <w:rPr>
                <w:rFonts w:ascii="Times New Roman" w:hAnsi="Times New Roman"/>
                <w:color w:val="000000"/>
              </w:rPr>
            </w:pPr>
          </w:p>
          <w:p w14:paraId="11E73803" w14:textId="77777777" w:rsidR="00170C4B" w:rsidRDefault="00170C4B" w:rsidP="00A866F8">
            <w:pPr>
              <w:spacing w:line="240" w:lineRule="auto"/>
              <w:jc w:val="both"/>
              <w:rPr>
                <w:rFonts w:ascii="Times New Roman" w:hAnsi="Times New Roman"/>
                <w:color w:val="000000"/>
              </w:rPr>
            </w:pPr>
          </w:p>
          <w:p w14:paraId="6E5C8CA6" w14:textId="77777777" w:rsidR="00170C4B" w:rsidRDefault="00DB207A" w:rsidP="00A866F8">
            <w:pPr>
              <w:spacing w:line="240" w:lineRule="auto"/>
              <w:jc w:val="both"/>
              <w:rPr>
                <w:rFonts w:ascii="Times New Roman" w:hAnsi="Times New Roman"/>
                <w:color w:val="000000"/>
              </w:rPr>
            </w:pPr>
            <w:r>
              <w:rPr>
                <w:rFonts w:ascii="Times New Roman" w:hAnsi="Times New Roman"/>
                <w:color w:val="000000"/>
              </w:rPr>
              <w:t xml:space="preserve">Analizując </w:t>
            </w:r>
            <w:r w:rsidR="00D8673E">
              <w:rPr>
                <w:rFonts w:ascii="Times New Roman" w:hAnsi="Times New Roman"/>
                <w:color w:val="000000"/>
              </w:rPr>
              <w:t xml:space="preserve">zagadnienie pożyczek </w:t>
            </w:r>
            <w:r w:rsidR="002A0E53">
              <w:rPr>
                <w:rFonts w:ascii="Times New Roman" w:hAnsi="Times New Roman"/>
                <w:color w:val="000000"/>
              </w:rPr>
              <w:t>lichwiarskich niezbędne jest prze</w:t>
            </w:r>
            <w:r w:rsidR="00C32CEB">
              <w:rPr>
                <w:rFonts w:ascii="Times New Roman" w:hAnsi="Times New Roman"/>
                <w:color w:val="000000"/>
              </w:rPr>
              <w:t>d</w:t>
            </w:r>
            <w:r w:rsidR="002A0E53">
              <w:rPr>
                <w:rFonts w:ascii="Times New Roman" w:hAnsi="Times New Roman"/>
                <w:color w:val="000000"/>
              </w:rPr>
              <w:t>stawienie liczb</w:t>
            </w:r>
            <w:r w:rsidR="00C32CEB">
              <w:rPr>
                <w:rFonts w:ascii="Times New Roman" w:hAnsi="Times New Roman"/>
                <w:color w:val="000000"/>
              </w:rPr>
              <w:t>y</w:t>
            </w:r>
            <w:r w:rsidR="002A0E53">
              <w:rPr>
                <w:rFonts w:ascii="Times New Roman" w:hAnsi="Times New Roman"/>
                <w:color w:val="000000"/>
              </w:rPr>
              <w:t xml:space="preserve"> osób skazanych </w:t>
            </w:r>
            <w:r w:rsidR="009B04E1">
              <w:rPr>
                <w:rFonts w:ascii="Times New Roman" w:hAnsi="Times New Roman"/>
                <w:color w:val="000000"/>
              </w:rPr>
              <w:t>za czyn główny na podstawie</w:t>
            </w:r>
            <w:r>
              <w:rPr>
                <w:rFonts w:ascii="Times New Roman" w:hAnsi="Times New Roman"/>
                <w:color w:val="000000"/>
              </w:rPr>
              <w:t xml:space="preserve"> art. 304</w:t>
            </w:r>
            <w:r w:rsidR="000F761B">
              <w:rPr>
                <w:rFonts w:ascii="Times New Roman" w:hAnsi="Times New Roman"/>
                <w:color w:val="000000"/>
              </w:rPr>
              <w:t xml:space="preserve"> k.k.</w:t>
            </w:r>
            <w:r w:rsidR="009B04E1">
              <w:rPr>
                <w:rFonts w:ascii="Times New Roman" w:hAnsi="Times New Roman"/>
                <w:color w:val="000000"/>
              </w:rPr>
              <w:t xml:space="preserve"> </w:t>
            </w:r>
            <w:r w:rsidR="003C59C3">
              <w:rPr>
                <w:rFonts w:ascii="Times New Roman" w:hAnsi="Times New Roman"/>
                <w:color w:val="000000"/>
              </w:rPr>
              <w:t xml:space="preserve">Liczba ww. osób w 2017 r. wynosiła 4, natomiast </w:t>
            </w:r>
            <w:r w:rsidR="00BD4393">
              <w:rPr>
                <w:rFonts w:ascii="Times New Roman" w:hAnsi="Times New Roman"/>
                <w:color w:val="000000"/>
              </w:rPr>
              <w:t xml:space="preserve">w </w:t>
            </w:r>
            <w:r w:rsidR="003C59C3">
              <w:rPr>
                <w:rFonts w:ascii="Times New Roman" w:hAnsi="Times New Roman"/>
                <w:color w:val="000000"/>
              </w:rPr>
              <w:t>całym analizowanym okresie</w:t>
            </w:r>
            <w:r w:rsidR="00D0429E">
              <w:rPr>
                <w:rFonts w:ascii="Times New Roman" w:hAnsi="Times New Roman"/>
                <w:color w:val="000000"/>
              </w:rPr>
              <w:t xml:space="preserve"> 2011-2017</w:t>
            </w:r>
            <w:r w:rsidR="00BA7375">
              <w:rPr>
                <w:rFonts w:ascii="Times New Roman" w:hAnsi="Times New Roman"/>
                <w:color w:val="000000"/>
              </w:rPr>
              <w:t xml:space="preserve"> suma </w:t>
            </w:r>
            <w:r w:rsidR="00D0429E">
              <w:rPr>
                <w:rFonts w:ascii="Times New Roman" w:hAnsi="Times New Roman"/>
                <w:color w:val="000000"/>
              </w:rPr>
              <w:t xml:space="preserve"> </w:t>
            </w:r>
            <w:r w:rsidR="00BA7375">
              <w:rPr>
                <w:rFonts w:ascii="Times New Roman" w:hAnsi="Times New Roman"/>
                <w:color w:val="000000"/>
              </w:rPr>
              <w:t>wszystkich</w:t>
            </w:r>
            <w:r w:rsidR="00AC7B93">
              <w:rPr>
                <w:rFonts w:ascii="Times New Roman" w:hAnsi="Times New Roman"/>
                <w:color w:val="000000"/>
              </w:rPr>
              <w:t xml:space="preserve"> skazanych nie przekroczyła 20</w:t>
            </w:r>
            <w:r w:rsidR="00BA7375">
              <w:rPr>
                <w:rFonts w:ascii="Times New Roman" w:hAnsi="Times New Roman"/>
                <w:color w:val="000000"/>
              </w:rPr>
              <w:t xml:space="preserve"> osób</w:t>
            </w:r>
            <w:r w:rsidR="00D0429E">
              <w:rPr>
                <w:rFonts w:ascii="Times New Roman" w:hAnsi="Times New Roman"/>
                <w:color w:val="000000"/>
              </w:rPr>
              <w:t xml:space="preserve">. </w:t>
            </w:r>
            <w:r w:rsidR="00BA7375">
              <w:rPr>
                <w:rFonts w:ascii="Times New Roman" w:hAnsi="Times New Roman"/>
                <w:color w:val="000000"/>
              </w:rPr>
              <w:t xml:space="preserve">Biorąc pod uwagę rodzaj orzeczonej kary </w:t>
            </w:r>
            <w:r w:rsidR="00041A2C">
              <w:rPr>
                <w:rFonts w:ascii="Times New Roman" w:hAnsi="Times New Roman"/>
                <w:color w:val="000000"/>
              </w:rPr>
              <w:t xml:space="preserve">w latach 2015-2017 </w:t>
            </w:r>
            <w:r w:rsidR="00C32CEB">
              <w:rPr>
                <w:rFonts w:ascii="Times New Roman" w:hAnsi="Times New Roman"/>
                <w:color w:val="000000"/>
              </w:rPr>
              <w:t xml:space="preserve">należy zauważyć, że sądy </w:t>
            </w:r>
            <w:r w:rsidR="00041A2C">
              <w:rPr>
                <w:rFonts w:ascii="Times New Roman" w:hAnsi="Times New Roman"/>
                <w:color w:val="000000"/>
              </w:rPr>
              <w:t>orzekały wyłącznie karę pozbawienia wolności z zawieszeniem.</w:t>
            </w:r>
          </w:p>
          <w:p w14:paraId="6F8CBA08" w14:textId="77777777" w:rsidR="00170C4B" w:rsidRDefault="00170C4B" w:rsidP="00A866F8">
            <w:pPr>
              <w:spacing w:line="240" w:lineRule="auto"/>
              <w:jc w:val="both"/>
              <w:rPr>
                <w:rFonts w:ascii="Times New Roman" w:hAnsi="Times New Roman"/>
                <w:color w:val="000000"/>
              </w:rPr>
            </w:pPr>
          </w:p>
          <w:p w14:paraId="04C9BD52" w14:textId="77777777" w:rsidR="00170C4B" w:rsidRPr="00FE065E" w:rsidRDefault="00567E80" w:rsidP="00723FCB">
            <w:pPr>
              <w:spacing w:line="240" w:lineRule="auto"/>
              <w:jc w:val="both"/>
              <w:rPr>
                <w:rFonts w:ascii="Times New Roman" w:hAnsi="Times New Roman"/>
                <w:color w:val="000000"/>
                <w:spacing w:val="-2"/>
              </w:rPr>
            </w:pPr>
            <w:r w:rsidRPr="00FE065E">
              <w:rPr>
                <w:rFonts w:ascii="Times New Roman" w:hAnsi="Times New Roman"/>
                <w:color w:val="000000"/>
                <w:spacing w:val="-2"/>
              </w:rPr>
              <w:t>Tabela poniżej przedstawia liczbę prawomocnie skazanych osób</w:t>
            </w:r>
            <w:r w:rsidRPr="00FE065E">
              <w:rPr>
                <w:rFonts w:ascii="Times New Roman" w:hAnsi="Times New Roman"/>
              </w:rPr>
              <w:t xml:space="preserve"> </w:t>
            </w:r>
            <w:r w:rsidRPr="00FE065E">
              <w:rPr>
                <w:rFonts w:ascii="Times New Roman" w:hAnsi="Times New Roman"/>
                <w:color w:val="000000"/>
                <w:spacing w:val="-2"/>
              </w:rPr>
              <w:t>za przestępstwo stypizowane w art. 304 k.k. w latach 2011-2017</w:t>
            </w:r>
            <w:r w:rsidR="00041A2C">
              <w:rPr>
                <w:rStyle w:val="Odwoanieprzypisudolnego"/>
                <w:rFonts w:ascii="Times New Roman" w:hAnsi="Times New Roman"/>
                <w:color w:val="000000"/>
                <w:spacing w:val="-2"/>
              </w:rPr>
              <w:footnoteReference w:id="8"/>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44"/>
              <w:gridCol w:w="624"/>
              <w:gridCol w:w="624"/>
              <w:gridCol w:w="624"/>
              <w:gridCol w:w="624"/>
              <w:gridCol w:w="624"/>
              <w:gridCol w:w="624"/>
              <w:gridCol w:w="624"/>
            </w:tblGrid>
            <w:tr w:rsidR="00567E80" w:rsidRPr="00FE065E" w14:paraId="61F207B3" w14:textId="77777777" w:rsidTr="00567E80">
              <w:trPr>
                <w:trHeight w:val="345"/>
              </w:trPr>
              <w:tc>
                <w:tcPr>
                  <w:tcW w:w="3844" w:type="dxa"/>
                  <w:shd w:val="clear" w:color="auto" w:fill="D9D9D9"/>
                  <w:vAlign w:val="center"/>
                </w:tcPr>
                <w:p w14:paraId="4A70A25E"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Rok</w:t>
                  </w:r>
                </w:p>
              </w:tc>
              <w:tc>
                <w:tcPr>
                  <w:tcW w:w="624" w:type="dxa"/>
                  <w:shd w:val="clear" w:color="auto" w:fill="D9D9D9"/>
                  <w:noWrap/>
                  <w:vAlign w:val="center"/>
                </w:tcPr>
                <w:p w14:paraId="5E11D719"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2011</w:t>
                  </w:r>
                </w:p>
              </w:tc>
              <w:tc>
                <w:tcPr>
                  <w:tcW w:w="624" w:type="dxa"/>
                  <w:shd w:val="clear" w:color="auto" w:fill="D9D9D9"/>
                  <w:noWrap/>
                  <w:vAlign w:val="center"/>
                </w:tcPr>
                <w:p w14:paraId="6D75C9F3"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2012</w:t>
                  </w:r>
                </w:p>
              </w:tc>
              <w:tc>
                <w:tcPr>
                  <w:tcW w:w="624" w:type="dxa"/>
                  <w:shd w:val="clear" w:color="auto" w:fill="D9D9D9"/>
                  <w:noWrap/>
                  <w:vAlign w:val="center"/>
                </w:tcPr>
                <w:p w14:paraId="5AD15062"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2013</w:t>
                  </w:r>
                </w:p>
              </w:tc>
              <w:tc>
                <w:tcPr>
                  <w:tcW w:w="624" w:type="dxa"/>
                  <w:shd w:val="clear" w:color="auto" w:fill="D9D9D9"/>
                  <w:noWrap/>
                  <w:vAlign w:val="center"/>
                </w:tcPr>
                <w:p w14:paraId="2B05A907"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2014</w:t>
                  </w:r>
                </w:p>
              </w:tc>
              <w:tc>
                <w:tcPr>
                  <w:tcW w:w="624" w:type="dxa"/>
                  <w:shd w:val="clear" w:color="auto" w:fill="D9D9D9"/>
                  <w:noWrap/>
                  <w:vAlign w:val="center"/>
                </w:tcPr>
                <w:p w14:paraId="13323AD3"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2015</w:t>
                  </w:r>
                </w:p>
              </w:tc>
              <w:tc>
                <w:tcPr>
                  <w:tcW w:w="624" w:type="dxa"/>
                  <w:shd w:val="clear" w:color="auto" w:fill="D9D9D9"/>
                  <w:noWrap/>
                  <w:vAlign w:val="center"/>
                </w:tcPr>
                <w:p w14:paraId="09077CDC"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2016</w:t>
                  </w:r>
                </w:p>
              </w:tc>
              <w:tc>
                <w:tcPr>
                  <w:tcW w:w="624" w:type="dxa"/>
                  <w:shd w:val="clear" w:color="auto" w:fill="D9D9D9"/>
                  <w:noWrap/>
                  <w:vAlign w:val="center"/>
                </w:tcPr>
                <w:p w14:paraId="7F4DACFB"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2017</w:t>
                  </w:r>
                </w:p>
              </w:tc>
            </w:tr>
            <w:tr w:rsidR="00567E80" w:rsidRPr="00FE065E" w14:paraId="7A175FFC" w14:textId="77777777" w:rsidTr="00567E80">
              <w:trPr>
                <w:trHeight w:val="345"/>
              </w:trPr>
              <w:tc>
                <w:tcPr>
                  <w:tcW w:w="3844" w:type="dxa"/>
                  <w:shd w:val="clear" w:color="auto" w:fill="D9D9D9"/>
                  <w:vAlign w:val="center"/>
                </w:tcPr>
                <w:p w14:paraId="1D1E5B3C" w14:textId="77777777" w:rsidR="00567E80" w:rsidRPr="00FE065E" w:rsidRDefault="00567E80" w:rsidP="004E41BA">
                  <w:pPr>
                    <w:spacing w:line="360" w:lineRule="auto"/>
                    <w:jc w:val="center"/>
                    <w:rPr>
                      <w:rFonts w:ascii="Times New Roman" w:eastAsia="Times New Roman" w:hAnsi="Times New Roman"/>
                      <w:lang w:eastAsia="pl-PL"/>
                    </w:rPr>
                  </w:pPr>
                  <w:r w:rsidRPr="00FE065E">
                    <w:rPr>
                      <w:rFonts w:ascii="Times New Roman" w:eastAsia="Times New Roman" w:hAnsi="Times New Roman"/>
                      <w:lang w:eastAsia="pl-PL"/>
                    </w:rPr>
                    <w:t>Prawomocne skazania osób dorosłych - czyn główny</w:t>
                  </w:r>
                </w:p>
              </w:tc>
              <w:tc>
                <w:tcPr>
                  <w:tcW w:w="624" w:type="dxa"/>
                  <w:shd w:val="clear" w:color="auto" w:fill="auto"/>
                  <w:noWrap/>
                  <w:vAlign w:val="center"/>
                  <w:hideMark/>
                </w:tcPr>
                <w:p w14:paraId="309ED448" w14:textId="77777777" w:rsidR="00567E80" w:rsidRPr="00D76768" w:rsidRDefault="00567E80" w:rsidP="004E41BA">
                  <w:pPr>
                    <w:spacing w:line="360" w:lineRule="auto"/>
                    <w:jc w:val="center"/>
                    <w:rPr>
                      <w:rFonts w:ascii="Times New Roman" w:eastAsia="Times New Roman" w:hAnsi="Times New Roman"/>
                      <w:lang w:eastAsia="pl-PL"/>
                    </w:rPr>
                  </w:pPr>
                  <w:r w:rsidRPr="00D76768">
                    <w:rPr>
                      <w:rFonts w:ascii="Times New Roman" w:eastAsia="Times New Roman" w:hAnsi="Times New Roman"/>
                      <w:lang w:eastAsia="pl-PL"/>
                    </w:rPr>
                    <w:t>2</w:t>
                  </w:r>
                </w:p>
              </w:tc>
              <w:tc>
                <w:tcPr>
                  <w:tcW w:w="624" w:type="dxa"/>
                  <w:shd w:val="clear" w:color="auto" w:fill="auto"/>
                  <w:noWrap/>
                  <w:vAlign w:val="center"/>
                  <w:hideMark/>
                </w:tcPr>
                <w:p w14:paraId="58428C92" w14:textId="77777777" w:rsidR="00567E80" w:rsidRPr="00D76768" w:rsidRDefault="00567E80" w:rsidP="004E41BA">
                  <w:pPr>
                    <w:spacing w:line="360" w:lineRule="auto"/>
                    <w:jc w:val="center"/>
                    <w:rPr>
                      <w:rFonts w:ascii="Times New Roman" w:eastAsia="Times New Roman" w:hAnsi="Times New Roman"/>
                      <w:lang w:eastAsia="pl-PL"/>
                    </w:rPr>
                  </w:pPr>
                  <w:r w:rsidRPr="00D76768">
                    <w:rPr>
                      <w:rFonts w:ascii="Times New Roman" w:eastAsia="Times New Roman" w:hAnsi="Times New Roman"/>
                      <w:lang w:eastAsia="pl-PL"/>
                    </w:rPr>
                    <w:t>2</w:t>
                  </w:r>
                </w:p>
              </w:tc>
              <w:tc>
                <w:tcPr>
                  <w:tcW w:w="624" w:type="dxa"/>
                  <w:shd w:val="clear" w:color="auto" w:fill="auto"/>
                  <w:noWrap/>
                  <w:vAlign w:val="center"/>
                  <w:hideMark/>
                </w:tcPr>
                <w:p w14:paraId="0C17A2A5" w14:textId="77777777" w:rsidR="00567E80" w:rsidRPr="00D76768" w:rsidRDefault="00567E80" w:rsidP="004E41BA">
                  <w:pPr>
                    <w:spacing w:line="360" w:lineRule="auto"/>
                    <w:jc w:val="center"/>
                    <w:rPr>
                      <w:rFonts w:ascii="Times New Roman" w:eastAsia="Times New Roman" w:hAnsi="Times New Roman"/>
                      <w:lang w:eastAsia="pl-PL"/>
                    </w:rPr>
                  </w:pPr>
                  <w:r w:rsidRPr="00D76768">
                    <w:rPr>
                      <w:rFonts w:ascii="Times New Roman" w:eastAsia="Times New Roman" w:hAnsi="Times New Roman"/>
                      <w:lang w:eastAsia="pl-PL"/>
                    </w:rPr>
                    <w:t>3</w:t>
                  </w:r>
                </w:p>
              </w:tc>
              <w:tc>
                <w:tcPr>
                  <w:tcW w:w="624" w:type="dxa"/>
                  <w:shd w:val="clear" w:color="auto" w:fill="auto"/>
                  <w:noWrap/>
                  <w:vAlign w:val="center"/>
                  <w:hideMark/>
                </w:tcPr>
                <w:p w14:paraId="01C7531C" w14:textId="77777777" w:rsidR="00567E80" w:rsidRPr="00D76768" w:rsidRDefault="00567E80" w:rsidP="004E41BA">
                  <w:pPr>
                    <w:spacing w:line="360" w:lineRule="auto"/>
                    <w:jc w:val="center"/>
                    <w:rPr>
                      <w:rFonts w:ascii="Times New Roman" w:eastAsia="Times New Roman" w:hAnsi="Times New Roman"/>
                      <w:lang w:eastAsia="pl-PL"/>
                    </w:rPr>
                  </w:pPr>
                  <w:r w:rsidRPr="00D76768">
                    <w:rPr>
                      <w:rFonts w:ascii="Times New Roman" w:eastAsia="Times New Roman" w:hAnsi="Times New Roman"/>
                      <w:lang w:eastAsia="pl-PL"/>
                    </w:rPr>
                    <w:t>3</w:t>
                  </w:r>
                </w:p>
              </w:tc>
              <w:tc>
                <w:tcPr>
                  <w:tcW w:w="624" w:type="dxa"/>
                  <w:shd w:val="clear" w:color="auto" w:fill="auto"/>
                  <w:noWrap/>
                  <w:vAlign w:val="center"/>
                  <w:hideMark/>
                </w:tcPr>
                <w:p w14:paraId="56CC115E" w14:textId="77777777" w:rsidR="00567E80" w:rsidRPr="00D76768" w:rsidRDefault="00567E80" w:rsidP="004E41BA">
                  <w:pPr>
                    <w:spacing w:line="360" w:lineRule="auto"/>
                    <w:jc w:val="center"/>
                    <w:rPr>
                      <w:rFonts w:ascii="Times New Roman" w:eastAsia="Times New Roman" w:hAnsi="Times New Roman"/>
                      <w:lang w:eastAsia="pl-PL"/>
                    </w:rPr>
                  </w:pPr>
                  <w:r w:rsidRPr="00D76768">
                    <w:rPr>
                      <w:rFonts w:ascii="Times New Roman" w:eastAsia="Times New Roman" w:hAnsi="Times New Roman"/>
                      <w:lang w:eastAsia="pl-PL"/>
                    </w:rPr>
                    <w:t>2</w:t>
                  </w:r>
                </w:p>
              </w:tc>
              <w:tc>
                <w:tcPr>
                  <w:tcW w:w="624" w:type="dxa"/>
                  <w:shd w:val="clear" w:color="auto" w:fill="auto"/>
                  <w:noWrap/>
                  <w:vAlign w:val="center"/>
                  <w:hideMark/>
                </w:tcPr>
                <w:p w14:paraId="6DC325D4" w14:textId="77777777" w:rsidR="00567E80" w:rsidRPr="00D76768" w:rsidRDefault="00567E80" w:rsidP="004E41BA">
                  <w:pPr>
                    <w:spacing w:line="360" w:lineRule="auto"/>
                    <w:jc w:val="center"/>
                    <w:rPr>
                      <w:rFonts w:ascii="Times New Roman" w:eastAsia="Times New Roman" w:hAnsi="Times New Roman"/>
                      <w:lang w:eastAsia="pl-PL"/>
                    </w:rPr>
                  </w:pPr>
                  <w:r w:rsidRPr="00D76768">
                    <w:rPr>
                      <w:rFonts w:ascii="Times New Roman" w:eastAsia="Times New Roman" w:hAnsi="Times New Roman"/>
                      <w:lang w:eastAsia="pl-PL"/>
                    </w:rPr>
                    <w:t>2</w:t>
                  </w:r>
                </w:p>
              </w:tc>
              <w:tc>
                <w:tcPr>
                  <w:tcW w:w="624" w:type="dxa"/>
                  <w:shd w:val="clear" w:color="auto" w:fill="auto"/>
                  <w:noWrap/>
                  <w:vAlign w:val="center"/>
                  <w:hideMark/>
                </w:tcPr>
                <w:p w14:paraId="728F2F52" w14:textId="77777777" w:rsidR="00567E80" w:rsidRPr="00D76768" w:rsidRDefault="00567E80" w:rsidP="004E41BA">
                  <w:pPr>
                    <w:spacing w:line="360" w:lineRule="auto"/>
                    <w:jc w:val="center"/>
                    <w:rPr>
                      <w:rFonts w:ascii="Times New Roman" w:eastAsia="Times New Roman" w:hAnsi="Times New Roman"/>
                      <w:lang w:eastAsia="pl-PL"/>
                    </w:rPr>
                  </w:pPr>
                  <w:r w:rsidRPr="00D76768">
                    <w:rPr>
                      <w:rFonts w:ascii="Times New Roman" w:eastAsia="Times New Roman" w:hAnsi="Times New Roman"/>
                      <w:lang w:eastAsia="pl-PL"/>
                    </w:rPr>
                    <w:t>4</w:t>
                  </w:r>
                </w:p>
              </w:tc>
            </w:tr>
          </w:tbl>
          <w:p w14:paraId="6DCA48D8" w14:textId="77777777" w:rsidR="00567E80" w:rsidRDefault="00567E80" w:rsidP="00567E80">
            <w:pPr>
              <w:tabs>
                <w:tab w:val="left" w:pos="2640"/>
              </w:tabs>
              <w:spacing w:line="240" w:lineRule="auto"/>
              <w:jc w:val="both"/>
              <w:rPr>
                <w:rFonts w:ascii="Times New Roman" w:hAnsi="Times New Roman"/>
                <w:color w:val="000000"/>
              </w:rPr>
            </w:pPr>
          </w:p>
          <w:p w14:paraId="045981E1" w14:textId="77777777" w:rsidR="003E67BC" w:rsidRPr="00B37C80" w:rsidRDefault="003E67BC" w:rsidP="00532CFD">
            <w:pPr>
              <w:tabs>
                <w:tab w:val="left" w:pos="2640"/>
              </w:tabs>
              <w:spacing w:line="240" w:lineRule="auto"/>
              <w:jc w:val="both"/>
              <w:rPr>
                <w:rFonts w:ascii="Times New Roman" w:hAnsi="Times New Roman"/>
                <w:color w:val="000000"/>
              </w:rPr>
            </w:pPr>
          </w:p>
        </w:tc>
      </w:tr>
      <w:tr w:rsidR="006A701A" w:rsidRPr="008B4FE6" w14:paraId="08199A07" w14:textId="77777777" w:rsidTr="00676C8D">
        <w:trPr>
          <w:gridAfter w:val="1"/>
          <w:wAfter w:w="10" w:type="dxa"/>
          <w:trHeight w:val="142"/>
        </w:trPr>
        <w:tc>
          <w:tcPr>
            <w:tcW w:w="10937" w:type="dxa"/>
            <w:gridSpan w:val="30"/>
            <w:shd w:val="clear" w:color="auto" w:fill="99CCFF"/>
            <w:vAlign w:val="center"/>
          </w:tcPr>
          <w:p w14:paraId="1D48ACCB" w14:textId="77777777"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4D2268" w:rsidRPr="008B4FE6" w14:paraId="0F08F31C" w14:textId="77777777" w:rsidTr="00676C8D">
        <w:trPr>
          <w:gridAfter w:val="1"/>
          <w:wAfter w:w="10" w:type="dxa"/>
          <w:trHeight w:val="142"/>
        </w:trPr>
        <w:tc>
          <w:tcPr>
            <w:tcW w:w="10937" w:type="dxa"/>
            <w:gridSpan w:val="30"/>
            <w:shd w:val="clear" w:color="auto" w:fill="auto"/>
          </w:tcPr>
          <w:p w14:paraId="5936AD72" w14:textId="77777777" w:rsidR="007C6581" w:rsidRDefault="007C6581" w:rsidP="000F2DCD">
            <w:pPr>
              <w:jc w:val="both"/>
              <w:rPr>
                <w:rFonts w:ascii="Times New Roman" w:hAnsi="Times New Roman"/>
                <w:color w:val="000000"/>
                <w:spacing w:val="-2"/>
              </w:rPr>
            </w:pPr>
          </w:p>
          <w:p w14:paraId="21A8E361" w14:textId="77777777" w:rsidR="004D2268" w:rsidRDefault="004D2268" w:rsidP="000F2DCD">
            <w:pPr>
              <w:jc w:val="both"/>
              <w:rPr>
                <w:rFonts w:ascii="Times New Roman" w:hAnsi="Times New Roman"/>
                <w:color w:val="000000"/>
                <w:spacing w:val="-2"/>
              </w:rPr>
            </w:pPr>
            <w:r>
              <w:rPr>
                <w:rFonts w:ascii="Times New Roman" w:hAnsi="Times New Roman"/>
                <w:color w:val="000000"/>
                <w:spacing w:val="-2"/>
              </w:rPr>
              <w:t xml:space="preserve">W trakcie prac nad projektem rozważano opcję braku regulacji (opcja 0) oraz interwencję legislacyjną. W przypadku wyboru opcji 0 działalność </w:t>
            </w:r>
            <w:r w:rsidRPr="00603F64">
              <w:rPr>
                <w:rFonts w:ascii="Times New Roman" w:hAnsi="Times New Roman"/>
                <w:color w:val="000000"/>
                <w:spacing w:val="-2"/>
              </w:rPr>
              <w:t>polegająca na udzielaniu pożyczek o charakterze lichwiarskim</w:t>
            </w:r>
            <w:r>
              <w:rPr>
                <w:rFonts w:ascii="Times New Roman" w:hAnsi="Times New Roman"/>
                <w:color w:val="000000"/>
                <w:spacing w:val="-2"/>
              </w:rPr>
              <w:t xml:space="preserve"> mogłaby się w dals</w:t>
            </w:r>
            <w:r w:rsidR="00BD4393">
              <w:rPr>
                <w:rFonts w:ascii="Times New Roman" w:hAnsi="Times New Roman"/>
                <w:color w:val="000000"/>
                <w:spacing w:val="-2"/>
              </w:rPr>
              <w:t>zym ciągu rozwijać. Konsekwencją</w:t>
            </w:r>
            <w:r>
              <w:rPr>
                <w:rFonts w:ascii="Times New Roman" w:hAnsi="Times New Roman"/>
                <w:color w:val="000000"/>
                <w:spacing w:val="-2"/>
              </w:rPr>
              <w:t xml:space="preserve"> tego byłoby dalsze pogarszanie sytuacji ekonomicznej gospodarstw domowych. W związku z powyższym projektodawca proponuje podjąć działania legislacyjne. </w:t>
            </w:r>
          </w:p>
          <w:p w14:paraId="6727C878" w14:textId="77777777" w:rsidR="004D2268" w:rsidRDefault="004D2268" w:rsidP="000F2DCD">
            <w:pPr>
              <w:jc w:val="both"/>
              <w:rPr>
                <w:rFonts w:ascii="Times New Roman" w:hAnsi="Times New Roman"/>
                <w:color w:val="000000"/>
                <w:spacing w:val="-2"/>
              </w:rPr>
            </w:pPr>
          </w:p>
          <w:p w14:paraId="7C428153" w14:textId="77777777" w:rsidR="004D2268" w:rsidRDefault="004D2268" w:rsidP="000F2DCD">
            <w:pPr>
              <w:jc w:val="both"/>
              <w:rPr>
                <w:rFonts w:ascii="Times New Roman" w:hAnsi="Times New Roman"/>
                <w:color w:val="000000"/>
                <w:spacing w:val="-2"/>
              </w:rPr>
            </w:pPr>
            <w:r w:rsidRPr="00D52303">
              <w:rPr>
                <w:rFonts w:ascii="Times New Roman" w:hAnsi="Times New Roman"/>
                <w:color w:val="000000"/>
                <w:spacing w:val="-2"/>
              </w:rPr>
              <w:t xml:space="preserve">Celem projektu jest </w:t>
            </w:r>
            <w:r w:rsidR="00247C0D" w:rsidRPr="00247C0D">
              <w:rPr>
                <w:rFonts w:ascii="Times New Roman" w:hAnsi="Times New Roman"/>
                <w:color w:val="000000"/>
                <w:spacing w:val="-2"/>
              </w:rPr>
              <w:t>podjęcie kompleksowych i skoordynowanych działań, zarówno na gruncie prawa karnego, jak i poprzez ingerencję w stosunki cywilnoprawne, ukierunkowanych na zlikwidowanie patologii udzielania pożyczek o charakterze lichwiarskim.</w:t>
            </w:r>
          </w:p>
          <w:p w14:paraId="1E685646" w14:textId="77777777" w:rsidR="004D2268" w:rsidRPr="00D52303" w:rsidRDefault="004D2268" w:rsidP="000F2DCD">
            <w:pPr>
              <w:jc w:val="both"/>
              <w:rPr>
                <w:rFonts w:ascii="Times New Roman" w:hAnsi="Times New Roman"/>
                <w:color w:val="000000"/>
                <w:spacing w:val="-2"/>
              </w:rPr>
            </w:pPr>
            <w:r w:rsidRPr="00D52303">
              <w:rPr>
                <w:rFonts w:ascii="Times New Roman" w:hAnsi="Times New Roman"/>
                <w:color w:val="000000"/>
                <w:spacing w:val="-2"/>
              </w:rPr>
              <w:t xml:space="preserve">Proponuje się zmianę ustawy z dnia 23 kwietnia 1964 r. </w:t>
            </w:r>
            <w:r>
              <w:rPr>
                <w:rFonts w:ascii="Times New Roman" w:hAnsi="Times New Roman"/>
                <w:color w:val="000000"/>
                <w:spacing w:val="-2"/>
              </w:rPr>
              <w:t>–</w:t>
            </w:r>
            <w:r w:rsidRPr="00D52303">
              <w:rPr>
                <w:rFonts w:ascii="Times New Roman" w:hAnsi="Times New Roman"/>
                <w:color w:val="000000"/>
                <w:spacing w:val="-2"/>
              </w:rPr>
              <w:t xml:space="preserve"> Kodeks cywilny </w:t>
            </w:r>
            <w:r>
              <w:rPr>
                <w:rFonts w:ascii="Times New Roman" w:hAnsi="Times New Roman"/>
                <w:color w:val="000000"/>
                <w:spacing w:val="-2"/>
              </w:rPr>
              <w:t xml:space="preserve">przez </w:t>
            </w:r>
            <w:r w:rsidRPr="00D52303">
              <w:rPr>
                <w:rFonts w:ascii="Times New Roman" w:hAnsi="Times New Roman"/>
                <w:color w:val="000000"/>
                <w:spacing w:val="-2"/>
              </w:rPr>
              <w:t>dodanie art. 387</w:t>
            </w:r>
            <w:r w:rsidRPr="00D52303">
              <w:rPr>
                <w:rFonts w:ascii="Times New Roman" w:hAnsi="Times New Roman"/>
                <w:color w:val="000000"/>
                <w:spacing w:val="-2"/>
                <w:vertAlign w:val="superscript"/>
              </w:rPr>
              <w:t>1</w:t>
            </w:r>
            <w:r w:rsidRPr="00D52303">
              <w:rPr>
                <w:rFonts w:ascii="Times New Roman" w:hAnsi="Times New Roman"/>
                <w:color w:val="000000"/>
                <w:spacing w:val="-2"/>
              </w:rPr>
              <w:t>, art. 720</w:t>
            </w:r>
            <w:r w:rsidRPr="00D52303">
              <w:rPr>
                <w:rFonts w:ascii="Times New Roman" w:hAnsi="Times New Roman"/>
                <w:color w:val="000000"/>
                <w:spacing w:val="-2"/>
                <w:vertAlign w:val="superscript"/>
              </w:rPr>
              <w:t>1</w:t>
            </w:r>
            <w:r w:rsidR="00E24A0A">
              <w:rPr>
                <w:rFonts w:ascii="Times New Roman" w:hAnsi="Times New Roman"/>
                <w:color w:val="000000"/>
                <w:spacing w:val="-2"/>
                <w:vertAlign w:val="superscript"/>
              </w:rPr>
              <w:t> </w:t>
            </w:r>
            <w:r w:rsidRPr="00D52303">
              <w:rPr>
                <w:rFonts w:ascii="Times New Roman" w:hAnsi="Times New Roman"/>
                <w:color w:val="000000"/>
                <w:spacing w:val="-2"/>
              </w:rPr>
              <w:t>-</w:t>
            </w:r>
            <w:r>
              <w:rPr>
                <w:rFonts w:ascii="Times New Roman" w:hAnsi="Times New Roman"/>
                <w:color w:val="000000"/>
                <w:spacing w:val="-2"/>
              </w:rPr>
              <w:t> </w:t>
            </w:r>
            <w:r w:rsidRPr="00D52303">
              <w:rPr>
                <w:rFonts w:ascii="Times New Roman" w:hAnsi="Times New Roman"/>
                <w:color w:val="000000"/>
                <w:spacing w:val="-2"/>
              </w:rPr>
              <w:t>720</w:t>
            </w:r>
            <w:r>
              <w:rPr>
                <w:rFonts w:ascii="Times New Roman" w:hAnsi="Times New Roman"/>
                <w:color w:val="000000"/>
                <w:spacing w:val="-2"/>
                <w:vertAlign w:val="superscript"/>
              </w:rPr>
              <w:t>5</w:t>
            </w:r>
            <w:r w:rsidRPr="00D52303">
              <w:rPr>
                <w:rFonts w:ascii="Times New Roman" w:hAnsi="Times New Roman"/>
                <w:color w:val="000000"/>
                <w:spacing w:val="-2"/>
              </w:rPr>
              <w:t xml:space="preserve"> i</w:t>
            </w:r>
            <w:r>
              <w:rPr>
                <w:rFonts w:ascii="Times New Roman" w:hAnsi="Times New Roman"/>
                <w:color w:val="000000"/>
                <w:spacing w:val="-2"/>
              </w:rPr>
              <w:t> </w:t>
            </w:r>
            <w:r w:rsidRPr="00D52303">
              <w:rPr>
                <w:rFonts w:ascii="Times New Roman" w:hAnsi="Times New Roman"/>
                <w:color w:val="000000"/>
                <w:spacing w:val="-2"/>
              </w:rPr>
              <w:t>art.</w:t>
            </w:r>
            <w:r>
              <w:rPr>
                <w:rFonts w:ascii="Times New Roman" w:hAnsi="Times New Roman"/>
                <w:color w:val="000000"/>
                <w:spacing w:val="-2"/>
              </w:rPr>
              <w:t> </w:t>
            </w:r>
            <w:r w:rsidRPr="00D52303">
              <w:rPr>
                <w:rFonts w:ascii="Times New Roman" w:hAnsi="Times New Roman"/>
                <w:color w:val="000000"/>
                <w:spacing w:val="-2"/>
              </w:rPr>
              <w:t>724</w:t>
            </w:r>
            <w:r w:rsidRPr="00D52303">
              <w:rPr>
                <w:rFonts w:ascii="Times New Roman" w:hAnsi="Times New Roman"/>
                <w:color w:val="000000"/>
                <w:spacing w:val="-2"/>
                <w:vertAlign w:val="superscript"/>
              </w:rPr>
              <w:t>1</w:t>
            </w:r>
            <w:r>
              <w:rPr>
                <w:rFonts w:ascii="Times New Roman" w:hAnsi="Times New Roman"/>
                <w:color w:val="000000"/>
                <w:spacing w:val="-2"/>
              </w:rPr>
              <w:t>.</w:t>
            </w:r>
            <w:r w:rsidRPr="00D52303">
              <w:rPr>
                <w:rFonts w:ascii="Times New Roman" w:hAnsi="Times New Roman"/>
                <w:color w:val="000000"/>
                <w:spacing w:val="-2"/>
              </w:rPr>
              <w:t xml:space="preserve"> </w:t>
            </w:r>
            <w:r>
              <w:rPr>
                <w:rFonts w:ascii="Times New Roman" w:hAnsi="Times New Roman"/>
                <w:color w:val="000000"/>
                <w:spacing w:val="-2"/>
              </w:rPr>
              <w:t>Zmiany te</w:t>
            </w:r>
            <w:r w:rsidRPr="00D52303">
              <w:rPr>
                <w:rFonts w:ascii="Times New Roman" w:hAnsi="Times New Roman"/>
                <w:color w:val="000000"/>
                <w:spacing w:val="-2"/>
              </w:rPr>
              <w:t xml:space="preserve"> ma</w:t>
            </w:r>
            <w:r>
              <w:rPr>
                <w:rFonts w:ascii="Times New Roman" w:hAnsi="Times New Roman"/>
                <w:color w:val="000000"/>
                <w:spacing w:val="-2"/>
              </w:rPr>
              <w:t>ją</w:t>
            </w:r>
            <w:r w:rsidRPr="00D52303">
              <w:rPr>
                <w:rFonts w:ascii="Times New Roman" w:hAnsi="Times New Roman"/>
                <w:color w:val="000000"/>
                <w:spacing w:val="-2"/>
              </w:rPr>
              <w:t xml:space="preserve"> na celu </w:t>
            </w:r>
            <w:r w:rsidRPr="00D52303">
              <w:rPr>
                <w:rFonts w:ascii="Times New Roman" w:hAnsi="Times New Roman"/>
                <w:b/>
                <w:color w:val="000000"/>
                <w:spacing w:val="-2"/>
              </w:rPr>
              <w:t>wzmocnienie ochrony osoby fizycznej, zawierającej umowę o świadczenie pieniężne</w:t>
            </w:r>
            <w:r w:rsidRPr="00D52303">
              <w:rPr>
                <w:rFonts w:ascii="Times New Roman" w:hAnsi="Times New Roman"/>
                <w:color w:val="000000"/>
                <w:spacing w:val="-2"/>
              </w:rPr>
              <w:t xml:space="preserve"> niepozostającą w bezpośrednim związku z prowadzoną przez tę osobę działalnością gospodarczą lub zawodową, do której nie ma zastosowania ustawa o kredycie konsumenckim, przed obciążaniem jej nadmiernie wysokimi </w:t>
            </w:r>
            <w:proofErr w:type="spellStart"/>
            <w:r w:rsidRPr="00D52303">
              <w:rPr>
                <w:rFonts w:ascii="Times New Roman" w:hAnsi="Times New Roman"/>
                <w:color w:val="000000"/>
                <w:spacing w:val="-2"/>
              </w:rPr>
              <w:t>pozaodsetkowymi</w:t>
            </w:r>
            <w:proofErr w:type="spellEnd"/>
            <w:r w:rsidRPr="00D52303">
              <w:rPr>
                <w:rFonts w:ascii="Times New Roman" w:hAnsi="Times New Roman"/>
                <w:color w:val="000000"/>
                <w:spacing w:val="-2"/>
              </w:rPr>
              <w:t xml:space="preserve"> </w:t>
            </w:r>
            <w:r w:rsidRPr="00D52303">
              <w:rPr>
                <w:rFonts w:ascii="Times New Roman" w:hAnsi="Times New Roman"/>
                <w:color w:val="000000"/>
                <w:spacing w:val="-2"/>
              </w:rPr>
              <w:lastRenderedPageBreak/>
              <w:t>kosztami związanymi z udzieleniem świadczenia pieniężnego.</w:t>
            </w:r>
          </w:p>
          <w:p w14:paraId="23C27E7E" w14:textId="77777777" w:rsidR="004D2268" w:rsidRPr="00D52303" w:rsidRDefault="004D2268" w:rsidP="000F2DCD">
            <w:pPr>
              <w:jc w:val="both"/>
              <w:rPr>
                <w:rFonts w:ascii="Times New Roman" w:hAnsi="Times New Roman"/>
                <w:color w:val="000000"/>
                <w:spacing w:val="-2"/>
              </w:rPr>
            </w:pPr>
          </w:p>
          <w:p w14:paraId="777B710D" w14:textId="77777777" w:rsidR="004D2268" w:rsidRDefault="004D2268" w:rsidP="000F2DCD">
            <w:pPr>
              <w:jc w:val="both"/>
              <w:rPr>
                <w:rFonts w:ascii="Times New Roman" w:hAnsi="Times New Roman"/>
                <w:color w:val="000000"/>
                <w:spacing w:val="-2"/>
              </w:rPr>
            </w:pPr>
            <w:r w:rsidRPr="00D52303">
              <w:rPr>
                <w:rFonts w:ascii="Times New Roman" w:hAnsi="Times New Roman"/>
                <w:b/>
                <w:color w:val="000000"/>
                <w:spacing w:val="-2"/>
              </w:rPr>
              <w:t xml:space="preserve">Projekt wprowadza wzór pozwalający określić maksymalną wysokość kosztów </w:t>
            </w:r>
            <w:proofErr w:type="spellStart"/>
            <w:r w:rsidRPr="00D52303">
              <w:rPr>
                <w:rFonts w:ascii="Times New Roman" w:hAnsi="Times New Roman"/>
                <w:b/>
                <w:color w:val="000000"/>
                <w:spacing w:val="-2"/>
              </w:rPr>
              <w:t>pozaodsetkowych</w:t>
            </w:r>
            <w:proofErr w:type="spellEnd"/>
            <w:r w:rsidRPr="00D52303">
              <w:rPr>
                <w:rFonts w:ascii="Times New Roman" w:hAnsi="Times New Roman"/>
                <w:color w:val="000000"/>
                <w:spacing w:val="-2"/>
              </w:rPr>
              <w:t xml:space="preserve">, ponoszonych </w:t>
            </w:r>
            <w:r>
              <w:rPr>
                <w:rFonts w:ascii="Times New Roman" w:hAnsi="Times New Roman"/>
                <w:color w:val="000000"/>
                <w:spacing w:val="-2"/>
              </w:rPr>
              <w:t>przez biorącego pożyczkę pieniężną.</w:t>
            </w:r>
            <w:r w:rsidRPr="00D52303">
              <w:rPr>
                <w:rFonts w:ascii="Times New Roman" w:hAnsi="Times New Roman"/>
                <w:color w:val="000000"/>
                <w:spacing w:val="-2"/>
              </w:rPr>
              <w:t xml:space="preserve"> </w:t>
            </w:r>
            <w:r>
              <w:rPr>
                <w:rFonts w:ascii="Times New Roman" w:hAnsi="Times New Roman"/>
                <w:color w:val="000000"/>
                <w:spacing w:val="-2"/>
              </w:rPr>
              <w:t>W</w:t>
            </w:r>
            <w:r w:rsidRPr="00D52303">
              <w:rPr>
                <w:rFonts w:ascii="Times New Roman" w:hAnsi="Times New Roman"/>
                <w:color w:val="000000"/>
                <w:spacing w:val="-2"/>
              </w:rPr>
              <w:t xml:space="preserve">zór </w:t>
            </w:r>
            <w:r>
              <w:rPr>
                <w:rFonts w:ascii="Times New Roman" w:hAnsi="Times New Roman"/>
                <w:color w:val="000000"/>
                <w:spacing w:val="-2"/>
              </w:rPr>
              <w:t xml:space="preserve">ten </w:t>
            </w:r>
            <w:r w:rsidRPr="00D52303">
              <w:rPr>
                <w:rFonts w:ascii="Times New Roman" w:hAnsi="Times New Roman"/>
                <w:color w:val="000000"/>
                <w:spacing w:val="-2"/>
              </w:rPr>
              <w:t>opart</w:t>
            </w:r>
            <w:r>
              <w:rPr>
                <w:rFonts w:ascii="Times New Roman" w:hAnsi="Times New Roman"/>
                <w:color w:val="000000"/>
                <w:spacing w:val="-2"/>
              </w:rPr>
              <w:t>y jest na</w:t>
            </w:r>
            <w:r w:rsidRPr="00D52303">
              <w:rPr>
                <w:rFonts w:ascii="Times New Roman" w:hAnsi="Times New Roman"/>
                <w:color w:val="000000"/>
                <w:spacing w:val="-2"/>
              </w:rPr>
              <w:t xml:space="preserve"> wzorze na maksymalną wysokość kosztów </w:t>
            </w:r>
            <w:proofErr w:type="spellStart"/>
            <w:r w:rsidRPr="00D52303">
              <w:rPr>
                <w:rFonts w:ascii="Times New Roman" w:hAnsi="Times New Roman"/>
                <w:color w:val="000000"/>
                <w:spacing w:val="-2"/>
              </w:rPr>
              <w:t>pozaodsetkowych</w:t>
            </w:r>
            <w:proofErr w:type="spellEnd"/>
            <w:r w:rsidRPr="00D52303">
              <w:rPr>
                <w:rFonts w:ascii="Times New Roman" w:hAnsi="Times New Roman"/>
                <w:color w:val="000000"/>
                <w:spacing w:val="-2"/>
              </w:rPr>
              <w:t xml:space="preserve"> w</w:t>
            </w:r>
            <w:r>
              <w:rPr>
                <w:rFonts w:ascii="Times New Roman" w:hAnsi="Times New Roman"/>
                <w:color w:val="000000"/>
                <w:spacing w:val="-2"/>
              </w:rPr>
              <w:t> </w:t>
            </w:r>
            <w:r w:rsidRPr="00D52303">
              <w:rPr>
                <w:rFonts w:ascii="Times New Roman" w:hAnsi="Times New Roman"/>
                <w:color w:val="000000"/>
                <w:spacing w:val="-2"/>
              </w:rPr>
              <w:t>ramach kredytu konsumenckiego (projektowany art. 720</w:t>
            </w:r>
            <w:r w:rsidRPr="00D52303">
              <w:rPr>
                <w:rFonts w:ascii="Times New Roman" w:hAnsi="Times New Roman"/>
                <w:color w:val="000000"/>
                <w:spacing w:val="-2"/>
                <w:vertAlign w:val="superscript"/>
              </w:rPr>
              <w:t>2</w:t>
            </w:r>
            <w:r w:rsidRPr="00D52303">
              <w:rPr>
                <w:rFonts w:ascii="Times New Roman" w:hAnsi="Times New Roman"/>
                <w:color w:val="000000"/>
                <w:spacing w:val="-2"/>
              </w:rPr>
              <w:t xml:space="preserve"> § 1 k.c.).</w:t>
            </w:r>
          </w:p>
          <w:p w14:paraId="55ACF249" w14:textId="77777777" w:rsidR="004D2268" w:rsidRPr="00D52303" w:rsidRDefault="004D2268" w:rsidP="000F2DCD">
            <w:pPr>
              <w:jc w:val="both"/>
              <w:rPr>
                <w:rFonts w:ascii="Times New Roman" w:hAnsi="Times New Roman"/>
                <w:color w:val="000000"/>
                <w:spacing w:val="-2"/>
              </w:rPr>
            </w:pPr>
            <w:r w:rsidRPr="00874B83">
              <w:rPr>
                <w:rFonts w:ascii="Times New Roman" w:hAnsi="Times New Roman"/>
                <w:color w:val="000000"/>
                <w:spacing w:val="-2"/>
              </w:rPr>
              <w:t>Kolejnym aktem prawnym, w którym wprowadza się zmiany ukierunkowane na ochronę osób biorących pożyczki jest ustawa z dnia 17 listopada 1964 r. – Kodeks postępowania cywilnego</w:t>
            </w:r>
            <w:r>
              <w:rPr>
                <w:rFonts w:ascii="Times New Roman" w:hAnsi="Times New Roman"/>
                <w:color w:val="000000"/>
                <w:spacing w:val="-2"/>
              </w:rPr>
              <w:t xml:space="preserve"> (art. 2 projektu), w której zaproponowano np. </w:t>
            </w:r>
            <w:r>
              <w:t xml:space="preserve"> </w:t>
            </w:r>
            <w:r w:rsidRPr="008649C9">
              <w:rPr>
                <w:rFonts w:ascii="Times New Roman" w:hAnsi="Times New Roman"/>
                <w:color w:val="000000"/>
                <w:spacing w:val="-2"/>
              </w:rPr>
              <w:t>wprowadz</w:t>
            </w:r>
            <w:r>
              <w:rPr>
                <w:rFonts w:ascii="Times New Roman" w:hAnsi="Times New Roman"/>
                <w:color w:val="000000"/>
                <w:spacing w:val="-2"/>
              </w:rPr>
              <w:t>enie</w:t>
            </w:r>
            <w:r w:rsidRPr="008649C9">
              <w:rPr>
                <w:rFonts w:ascii="Times New Roman" w:hAnsi="Times New Roman"/>
                <w:color w:val="000000"/>
                <w:spacing w:val="-2"/>
              </w:rPr>
              <w:t xml:space="preserve"> dodatkow</w:t>
            </w:r>
            <w:r>
              <w:rPr>
                <w:rFonts w:ascii="Times New Roman" w:hAnsi="Times New Roman"/>
                <w:color w:val="000000"/>
                <w:spacing w:val="-2"/>
              </w:rPr>
              <w:t>ego wymogu</w:t>
            </w:r>
            <w:r w:rsidRPr="008649C9">
              <w:rPr>
                <w:rFonts w:ascii="Times New Roman" w:hAnsi="Times New Roman"/>
                <w:color w:val="000000"/>
                <w:spacing w:val="-2"/>
              </w:rPr>
              <w:t>, aby oświadczenie dłużnika o poddaniu się egzekucji złożone w odrębnym akcie notarialnym, zawierało wskazanie stosunku prawnego, w związku z którym dłużnik poddaje się egzekucji, datę powstania zobowiązania dłużnika, jego treść, a w przypadku zobowiązań z umów wzajemnych – dodatkowo oświadczenie wierzyciela z terminem jego wykonania</w:t>
            </w:r>
            <w:r>
              <w:rPr>
                <w:rFonts w:ascii="Times New Roman" w:hAnsi="Times New Roman"/>
                <w:color w:val="000000"/>
                <w:spacing w:val="-2"/>
              </w:rPr>
              <w:t>.</w:t>
            </w:r>
          </w:p>
          <w:p w14:paraId="66D7D061" w14:textId="77777777" w:rsidR="004D2268" w:rsidRPr="00D52303" w:rsidRDefault="004D2268" w:rsidP="000F2DCD">
            <w:pPr>
              <w:jc w:val="both"/>
              <w:rPr>
                <w:rFonts w:ascii="Times New Roman" w:hAnsi="Times New Roman"/>
                <w:color w:val="000000"/>
                <w:spacing w:val="-2"/>
              </w:rPr>
            </w:pPr>
            <w:r>
              <w:rPr>
                <w:rFonts w:ascii="Times New Roman" w:hAnsi="Times New Roman"/>
                <w:color w:val="000000"/>
                <w:spacing w:val="-2"/>
              </w:rPr>
              <w:t xml:space="preserve"> </w:t>
            </w:r>
          </w:p>
          <w:p w14:paraId="00620EBB" w14:textId="77777777" w:rsidR="004D2268" w:rsidRDefault="004D2268" w:rsidP="000F2DCD">
            <w:pPr>
              <w:jc w:val="both"/>
              <w:rPr>
                <w:rFonts w:ascii="Times New Roman" w:hAnsi="Times New Roman"/>
              </w:rPr>
            </w:pPr>
            <w:r w:rsidRPr="00D52303">
              <w:rPr>
                <w:rFonts w:ascii="Times New Roman" w:hAnsi="Times New Roman"/>
              </w:rPr>
              <w:t xml:space="preserve">W zakresie ustawy z dnia 12 maja 2011 r. </w:t>
            </w:r>
            <w:r w:rsidRPr="00723FCB">
              <w:rPr>
                <w:rFonts w:ascii="Times New Roman" w:hAnsi="Times New Roman"/>
                <w:i/>
              </w:rPr>
              <w:t>o kredycie konsumenckim</w:t>
            </w:r>
            <w:r w:rsidRPr="00D52303">
              <w:rPr>
                <w:rFonts w:ascii="Times New Roman" w:hAnsi="Times New Roman"/>
              </w:rPr>
              <w:t xml:space="preserve"> (Dz. U. z 201</w:t>
            </w:r>
            <w:r>
              <w:rPr>
                <w:rFonts w:ascii="Times New Roman" w:hAnsi="Times New Roman"/>
              </w:rPr>
              <w:t>8</w:t>
            </w:r>
            <w:r w:rsidRPr="00D52303">
              <w:rPr>
                <w:rFonts w:ascii="Times New Roman" w:hAnsi="Times New Roman"/>
              </w:rPr>
              <w:t xml:space="preserve"> r. poz.</w:t>
            </w:r>
            <w:r>
              <w:rPr>
                <w:rFonts w:ascii="Times New Roman" w:hAnsi="Times New Roman"/>
              </w:rPr>
              <w:t xml:space="preserve"> 993 z </w:t>
            </w:r>
            <w:proofErr w:type="spellStart"/>
            <w:r>
              <w:rPr>
                <w:rFonts w:ascii="Times New Roman" w:hAnsi="Times New Roman"/>
              </w:rPr>
              <w:t>późn</w:t>
            </w:r>
            <w:proofErr w:type="spellEnd"/>
            <w:r>
              <w:rPr>
                <w:rFonts w:ascii="Times New Roman" w:hAnsi="Times New Roman"/>
              </w:rPr>
              <w:t>. zm.</w:t>
            </w:r>
            <w:r w:rsidRPr="00D52303">
              <w:rPr>
                <w:rFonts w:ascii="Times New Roman" w:hAnsi="Times New Roman"/>
              </w:rPr>
              <w:t xml:space="preserve">) projekt przewiduje, przede wszystkim, </w:t>
            </w:r>
            <w:r w:rsidRPr="00D52303">
              <w:rPr>
                <w:rFonts w:ascii="Times New Roman" w:hAnsi="Times New Roman"/>
                <w:b/>
              </w:rPr>
              <w:t xml:space="preserve">obniżenie górnego limitu </w:t>
            </w:r>
            <w:proofErr w:type="spellStart"/>
            <w:r w:rsidRPr="00D52303">
              <w:rPr>
                <w:rFonts w:ascii="Times New Roman" w:hAnsi="Times New Roman"/>
                <w:b/>
              </w:rPr>
              <w:t>pozaodsetkowych</w:t>
            </w:r>
            <w:proofErr w:type="spellEnd"/>
            <w:r w:rsidRPr="00D52303">
              <w:rPr>
                <w:rFonts w:ascii="Times New Roman" w:hAnsi="Times New Roman"/>
                <w:b/>
              </w:rPr>
              <w:t xml:space="preserve"> kosztów kredytu konsumenckiego</w:t>
            </w:r>
            <w:r w:rsidRPr="00D52303">
              <w:rPr>
                <w:rFonts w:ascii="Times New Roman" w:hAnsi="Times New Roman"/>
              </w:rPr>
              <w:t xml:space="preserve"> </w:t>
            </w:r>
            <w:r>
              <w:rPr>
                <w:rFonts w:ascii="Times New Roman" w:hAnsi="Times New Roman"/>
              </w:rPr>
              <w:t xml:space="preserve">(zmiana art. 36a) </w:t>
            </w:r>
            <w:r w:rsidRPr="00D52303">
              <w:rPr>
                <w:rFonts w:ascii="Times New Roman" w:hAnsi="Times New Roman"/>
              </w:rPr>
              <w:t xml:space="preserve">oraz wprowadzenie nadzoru Komisji Nadzoru Finansowego nad instytucjami pożyczkowymi </w:t>
            </w:r>
            <w:r>
              <w:rPr>
                <w:rFonts w:ascii="Times New Roman" w:hAnsi="Times New Roman"/>
              </w:rPr>
              <w:t>(nowy rozdział 5ab)</w:t>
            </w:r>
            <w:r w:rsidRPr="00D52303">
              <w:rPr>
                <w:rFonts w:ascii="Times New Roman" w:hAnsi="Times New Roman"/>
              </w:rPr>
              <w:t xml:space="preserve">. </w:t>
            </w:r>
          </w:p>
          <w:p w14:paraId="4CDBC837" w14:textId="0ABF9BE2" w:rsidR="004D2268" w:rsidRPr="00D52303" w:rsidRDefault="004D2268" w:rsidP="000F2DCD">
            <w:pPr>
              <w:jc w:val="both"/>
              <w:rPr>
                <w:rFonts w:ascii="Times New Roman" w:hAnsi="Times New Roman"/>
                <w:color w:val="000000"/>
                <w:spacing w:val="-2"/>
              </w:rPr>
            </w:pPr>
            <w:r w:rsidRPr="00D52303">
              <w:rPr>
                <w:rFonts w:ascii="Times New Roman" w:hAnsi="Times New Roman"/>
              </w:rPr>
              <w:t xml:space="preserve">Zgodnie z proponowanymi rozwiązaniami maksymalna wysokość </w:t>
            </w:r>
            <w:proofErr w:type="spellStart"/>
            <w:r w:rsidRPr="00D52303">
              <w:rPr>
                <w:rFonts w:ascii="Times New Roman" w:hAnsi="Times New Roman"/>
              </w:rPr>
              <w:t>pozaodsetkowych</w:t>
            </w:r>
            <w:proofErr w:type="spellEnd"/>
            <w:r w:rsidRPr="00D52303">
              <w:rPr>
                <w:rFonts w:ascii="Times New Roman" w:hAnsi="Times New Roman"/>
              </w:rPr>
              <w:t xml:space="preserve"> kosztów kredytu konsumenckiego będzie nadal wyliczana według wzoru wskazanego w art. 36a ust. 1 ww. ustawy, jednakże wartości odpowiednio 25% (koszty niezależne od okresu kredytowania) i 30% (koszty uzależnione od okresu kredytowania) zastąpione zostaną wartościami </w:t>
            </w:r>
            <w:r w:rsidR="00D02F9D">
              <w:rPr>
                <w:rFonts w:ascii="Times New Roman" w:hAnsi="Times New Roman"/>
              </w:rPr>
              <w:t>1</w:t>
            </w:r>
            <w:r w:rsidRPr="00D52303">
              <w:rPr>
                <w:rFonts w:ascii="Times New Roman" w:hAnsi="Times New Roman"/>
              </w:rPr>
              <w:t xml:space="preserve">0% i </w:t>
            </w:r>
            <w:r w:rsidR="00DB2185">
              <w:rPr>
                <w:rFonts w:ascii="Times New Roman" w:hAnsi="Times New Roman"/>
              </w:rPr>
              <w:t>10</w:t>
            </w:r>
            <w:r w:rsidRPr="00D52303">
              <w:rPr>
                <w:rFonts w:ascii="Times New Roman" w:hAnsi="Times New Roman"/>
              </w:rPr>
              <w:t xml:space="preserve">% (art. 7 pkt </w:t>
            </w:r>
            <w:r>
              <w:rPr>
                <w:rFonts w:ascii="Times New Roman" w:hAnsi="Times New Roman"/>
              </w:rPr>
              <w:t>4</w:t>
            </w:r>
            <w:r w:rsidRPr="00D52303">
              <w:rPr>
                <w:rFonts w:ascii="Times New Roman" w:hAnsi="Times New Roman"/>
              </w:rPr>
              <w:t xml:space="preserve"> projektu). Celem wprowadzenia tej regulacji jest zwiększenie ochrony konsumentów przed nakładaniem na nich przez instytucje udzielające kredytów i pożyczek nieuzasadnionych kosztów. Słuszne zdaje się stwierdzenie, że podmiot udzielający pożyczki lub kredytu konsumentowi powinien uzyskiwać wynagrodzenie z jej oprocentowania, nie zaś z dodatkowych opłat, marż czy prowizji, które nie powinny przewyższać rzeczywistych kosztów ponoszonych przez udzielającego pożyczki lub kredytu.</w:t>
            </w:r>
          </w:p>
          <w:p w14:paraId="269CCD3C" w14:textId="77777777" w:rsidR="004D2268" w:rsidRDefault="004D2268" w:rsidP="000F2DCD">
            <w:pPr>
              <w:spacing w:line="360" w:lineRule="auto"/>
              <w:jc w:val="both"/>
              <w:rPr>
                <w:rFonts w:ascii="Times New Roman" w:hAnsi="Times New Roman"/>
                <w:color w:val="000000"/>
                <w:spacing w:val="-2"/>
              </w:rPr>
            </w:pPr>
          </w:p>
          <w:p w14:paraId="687A4432" w14:textId="77777777" w:rsidR="004D2268" w:rsidRDefault="004D2268" w:rsidP="000F2DCD">
            <w:pPr>
              <w:jc w:val="both"/>
              <w:rPr>
                <w:rFonts w:ascii="Times New Roman" w:hAnsi="Times New Roman"/>
                <w:color w:val="000000"/>
                <w:spacing w:val="-2"/>
              </w:rPr>
            </w:pPr>
            <w:r>
              <w:rPr>
                <w:rFonts w:ascii="Times New Roman" w:hAnsi="Times New Roman"/>
                <w:color w:val="000000"/>
                <w:spacing w:val="-2"/>
              </w:rPr>
              <w:t>W</w:t>
            </w:r>
            <w:r w:rsidRPr="000C08C9">
              <w:rPr>
                <w:rFonts w:ascii="Times New Roman" w:hAnsi="Times New Roman"/>
                <w:color w:val="000000"/>
                <w:spacing w:val="-2"/>
              </w:rPr>
              <w:t xml:space="preserve"> przypadku zakupów ratalnych</w:t>
            </w:r>
            <w:r>
              <w:rPr>
                <w:rFonts w:ascii="Times New Roman" w:hAnsi="Times New Roman"/>
                <w:color w:val="000000"/>
                <w:spacing w:val="-2"/>
              </w:rPr>
              <w:t xml:space="preserve">, których okres spłaty wyniesie 12 miesięcy </w:t>
            </w:r>
            <w:r w:rsidRPr="000C08C9">
              <w:rPr>
                <w:rFonts w:ascii="Times New Roman" w:hAnsi="Times New Roman"/>
                <w:color w:val="000000"/>
                <w:spacing w:val="-2"/>
              </w:rPr>
              <w:t>maksymalny limit dodatkowych opłat zostanie ustalony na 45 proc. kwoty pożyczki w</w:t>
            </w:r>
            <w:r>
              <w:rPr>
                <w:rFonts w:ascii="Times New Roman" w:hAnsi="Times New Roman"/>
                <w:color w:val="000000"/>
                <w:spacing w:val="-2"/>
              </w:rPr>
              <w:t> </w:t>
            </w:r>
            <w:r w:rsidRPr="000C08C9">
              <w:rPr>
                <w:rFonts w:ascii="Times New Roman" w:hAnsi="Times New Roman"/>
                <w:color w:val="000000"/>
                <w:spacing w:val="-2"/>
              </w:rPr>
              <w:t xml:space="preserve">skali roku. A jeśli </w:t>
            </w:r>
            <w:r>
              <w:rPr>
                <w:rFonts w:ascii="Times New Roman" w:hAnsi="Times New Roman"/>
                <w:color w:val="000000"/>
                <w:spacing w:val="-2"/>
              </w:rPr>
              <w:t xml:space="preserve">pożyczkobiorca </w:t>
            </w:r>
            <w:r w:rsidRPr="000C08C9">
              <w:rPr>
                <w:rFonts w:ascii="Times New Roman" w:hAnsi="Times New Roman"/>
                <w:color w:val="000000"/>
                <w:spacing w:val="-2"/>
              </w:rPr>
              <w:t xml:space="preserve">zdecyduje się na rozłożenie </w:t>
            </w:r>
            <w:r>
              <w:rPr>
                <w:rFonts w:ascii="Times New Roman" w:hAnsi="Times New Roman"/>
                <w:color w:val="000000"/>
                <w:spacing w:val="-2"/>
              </w:rPr>
              <w:t>spłaty</w:t>
            </w:r>
            <w:r w:rsidRPr="000C08C9">
              <w:rPr>
                <w:rFonts w:ascii="Times New Roman" w:hAnsi="Times New Roman"/>
                <w:color w:val="000000"/>
                <w:spacing w:val="-2"/>
              </w:rPr>
              <w:t xml:space="preserve"> na 6 miesięcy, to dodatkowe koszty nie będą mogły przekroczyć 32,5 proc.</w:t>
            </w: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985"/>
              <w:gridCol w:w="1874"/>
            </w:tblGrid>
            <w:tr w:rsidR="004D2268" w:rsidRPr="003A20B4" w14:paraId="025A8A02" w14:textId="77777777" w:rsidTr="000F2DCD">
              <w:tc>
                <w:tcPr>
                  <w:tcW w:w="92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97245B" w14:textId="77777777" w:rsidR="004D2268" w:rsidRPr="003A20B4" w:rsidRDefault="004D2268" w:rsidP="000F2DCD">
                  <w:pPr>
                    <w:pStyle w:val="Bezodstpw"/>
                    <w:jc w:val="center"/>
                    <w:rPr>
                      <w:rFonts w:ascii="Times New Roman" w:hAnsi="Times New Roman"/>
                      <w:b/>
                      <w:szCs w:val="24"/>
                    </w:rPr>
                  </w:pPr>
                  <w:r w:rsidRPr="003A20B4">
                    <w:rPr>
                      <w:rFonts w:ascii="Times New Roman" w:hAnsi="Times New Roman"/>
                      <w:b/>
                      <w:szCs w:val="24"/>
                    </w:rPr>
                    <w:t>Ile naprawdę kosztuje telewizor za 2500 zł</w:t>
                  </w:r>
                </w:p>
              </w:tc>
            </w:tr>
            <w:tr w:rsidR="004D2268" w:rsidRPr="003A20B4" w14:paraId="3DF636D2"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tcPr>
                <w:p w14:paraId="666D251F" w14:textId="77777777" w:rsidR="004D2268" w:rsidRPr="003A20B4" w:rsidRDefault="004D2268" w:rsidP="000F2DCD">
                  <w:pPr>
                    <w:pStyle w:val="Bezodstpw"/>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4361186" w14:textId="77777777" w:rsidR="004D2268" w:rsidRPr="003A20B4" w:rsidRDefault="004D2268" w:rsidP="000F2DCD">
                  <w:pPr>
                    <w:pStyle w:val="Bezodstpw"/>
                    <w:jc w:val="center"/>
                    <w:rPr>
                      <w:rFonts w:ascii="Times New Roman" w:hAnsi="Times New Roman"/>
                      <w:b/>
                      <w:szCs w:val="24"/>
                    </w:rPr>
                  </w:pPr>
                  <w:r w:rsidRPr="003A20B4">
                    <w:rPr>
                      <w:rFonts w:ascii="Times New Roman" w:hAnsi="Times New Roman"/>
                      <w:b/>
                      <w:szCs w:val="24"/>
                    </w:rPr>
                    <w:t>JEST</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294B0471" w14:textId="77777777" w:rsidR="004D2268" w:rsidRPr="003A20B4" w:rsidRDefault="004D2268" w:rsidP="000F2DCD">
                  <w:pPr>
                    <w:pStyle w:val="Bezodstpw"/>
                    <w:jc w:val="center"/>
                    <w:rPr>
                      <w:rFonts w:ascii="Times New Roman" w:hAnsi="Times New Roman"/>
                      <w:b/>
                      <w:szCs w:val="24"/>
                    </w:rPr>
                  </w:pPr>
                  <w:r w:rsidRPr="003A20B4">
                    <w:rPr>
                      <w:rFonts w:ascii="Times New Roman" w:hAnsi="Times New Roman"/>
                      <w:b/>
                      <w:szCs w:val="24"/>
                    </w:rPr>
                    <w:t>BĘDZIE</w:t>
                  </w:r>
                </w:p>
              </w:tc>
            </w:tr>
            <w:tr w:rsidR="004D2268" w:rsidRPr="003A20B4" w14:paraId="1E779BF4"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29A1F2FA" w14:textId="77777777" w:rsidR="004D2268" w:rsidRPr="003A20B4" w:rsidRDefault="004D2268" w:rsidP="000F2DCD">
                  <w:pPr>
                    <w:pStyle w:val="Bezodstpw"/>
                    <w:rPr>
                      <w:rFonts w:ascii="Times New Roman" w:hAnsi="Times New Roman"/>
                      <w:sz w:val="22"/>
                      <w:szCs w:val="24"/>
                    </w:rPr>
                  </w:pPr>
                  <w:r w:rsidRPr="003A20B4">
                    <w:rPr>
                      <w:rFonts w:ascii="Times New Roman" w:hAnsi="Times New Roman"/>
                      <w:sz w:val="22"/>
                      <w:szCs w:val="24"/>
                    </w:rPr>
                    <w:t>cena telewizora</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4F32EBF"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2500 zł</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40552BA1"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2500 zł</w:t>
                  </w:r>
                </w:p>
              </w:tc>
            </w:tr>
            <w:tr w:rsidR="004D2268" w:rsidRPr="003A20B4" w14:paraId="3B26BA31"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6DA698A9" w14:textId="77777777" w:rsidR="004D2268" w:rsidRPr="003A20B4" w:rsidRDefault="004D2268" w:rsidP="000F2DCD">
                  <w:pPr>
                    <w:pStyle w:val="Bezodstpw"/>
                    <w:rPr>
                      <w:rFonts w:ascii="Times New Roman" w:hAnsi="Times New Roman"/>
                      <w:sz w:val="22"/>
                      <w:szCs w:val="24"/>
                    </w:rPr>
                  </w:pPr>
                  <w:r>
                    <w:rPr>
                      <w:rFonts w:ascii="Times New Roman" w:hAnsi="Times New Roman"/>
                      <w:sz w:val="22"/>
                      <w:szCs w:val="24"/>
                    </w:rPr>
                    <w:t xml:space="preserve">maksymalna </w:t>
                  </w:r>
                  <w:r w:rsidRPr="003A20B4">
                    <w:rPr>
                      <w:rFonts w:ascii="Times New Roman" w:hAnsi="Times New Roman"/>
                      <w:sz w:val="22"/>
                      <w:szCs w:val="24"/>
                    </w:rPr>
                    <w:t>wysokość odsetek przy kredycie na 12</w:t>
                  </w:r>
                  <w:r>
                    <w:rPr>
                      <w:rFonts w:ascii="Times New Roman" w:hAnsi="Times New Roman"/>
                      <w:sz w:val="22"/>
                      <w:szCs w:val="24"/>
                    </w:rPr>
                    <w:t> </w:t>
                  </w:r>
                  <w:r w:rsidRPr="003A20B4">
                    <w:rPr>
                      <w:rFonts w:ascii="Times New Roman" w:hAnsi="Times New Roman"/>
                      <w:sz w:val="22"/>
                      <w:szCs w:val="24"/>
                    </w:rPr>
                    <w:t>miesięcy</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B3B6E00"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do 250 zł</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21F7D157" w14:textId="77777777" w:rsidR="004D2268" w:rsidRPr="003A20B4" w:rsidRDefault="004D2268" w:rsidP="000F2DCD">
                  <w:pPr>
                    <w:pStyle w:val="Bezodstpw"/>
                    <w:jc w:val="right"/>
                    <w:rPr>
                      <w:rFonts w:ascii="Times New Roman" w:hAnsi="Times New Roman"/>
                      <w:sz w:val="22"/>
                      <w:szCs w:val="24"/>
                    </w:rPr>
                  </w:pPr>
                  <w:r>
                    <w:rPr>
                      <w:rFonts w:ascii="Times New Roman" w:hAnsi="Times New Roman"/>
                      <w:sz w:val="22"/>
                      <w:szCs w:val="24"/>
                    </w:rPr>
                    <w:t>do 250 zł</w:t>
                  </w:r>
                </w:p>
              </w:tc>
            </w:tr>
            <w:tr w:rsidR="004D2268" w:rsidRPr="003A20B4" w14:paraId="4F887D2D"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57C1BD7F" w14:textId="77777777" w:rsidR="004D2268" w:rsidRPr="003A20B4" w:rsidRDefault="004D2268" w:rsidP="000F2DCD">
                  <w:pPr>
                    <w:pStyle w:val="Bezodstpw"/>
                    <w:rPr>
                      <w:rFonts w:ascii="Times New Roman" w:hAnsi="Times New Roman"/>
                      <w:sz w:val="22"/>
                      <w:szCs w:val="24"/>
                    </w:rPr>
                  </w:pPr>
                  <w:r>
                    <w:rPr>
                      <w:rFonts w:ascii="Times New Roman" w:hAnsi="Times New Roman"/>
                      <w:sz w:val="22"/>
                      <w:szCs w:val="24"/>
                    </w:rPr>
                    <w:t xml:space="preserve">maksymalna wysokość </w:t>
                  </w:r>
                  <w:r w:rsidRPr="003A20B4">
                    <w:rPr>
                      <w:rFonts w:ascii="Times New Roman" w:hAnsi="Times New Roman"/>
                      <w:sz w:val="22"/>
                      <w:szCs w:val="24"/>
                    </w:rPr>
                    <w:t>koszt</w:t>
                  </w:r>
                  <w:r>
                    <w:rPr>
                      <w:rFonts w:ascii="Times New Roman" w:hAnsi="Times New Roman"/>
                      <w:sz w:val="22"/>
                      <w:szCs w:val="24"/>
                    </w:rPr>
                    <w:t>ów</w:t>
                  </w:r>
                  <w:r w:rsidRPr="003A20B4">
                    <w:rPr>
                      <w:rFonts w:ascii="Times New Roman" w:hAnsi="Times New Roman"/>
                      <w:sz w:val="22"/>
                      <w:szCs w:val="24"/>
                    </w:rPr>
                    <w:t xml:space="preserve"> pożyczki (ubezpieczenie, opłaty, prowizje itp.)</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E8F86DB" w14:textId="77777777" w:rsidR="004D2268" w:rsidRPr="003A20B4" w:rsidRDefault="004D2268" w:rsidP="000F2DCD">
                  <w:pPr>
                    <w:pStyle w:val="Bezodstpw"/>
                    <w:jc w:val="right"/>
                    <w:rPr>
                      <w:rFonts w:ascii="Times New Roman" w:hAnsi="Times New Roman"/>
                      <w:sz w:val="22"/>
                      <w:szCs w:val="24"/>
                    </w:rPr>
                  </w:pPr>
                  <w:r>
                    <w:rPr>
                      <w:rFonts w:ascii="Times New Roman" w:hAnsi="Times New Roman"/>
                      <w:sz w:val="22"/>
                      <w:szCs w:val="24"/>
                    </w:rPr>
                    <w:t>do</w:t>
                  </w:r>
                  <w:r w:rsidRPr="003A20B4">
                    <w:rPr>
                      <w:rFonts w:ascii="Times New Roman" w:hAnsi="Times New Roman"/>
                      <w:sz w:val="22"/>
                      <w:szCs w:val="24"/>
                    </w:rPr>
                    <w:t xml:space="preserve"> </w:t>
                  </w:r>
                  <w:r>
                    <w:rPr>
                      <w:rFonts w:ascii="Times New Roman" w:hAnsi="Times New Roman"/>
                      <w:sz w:val="22"/>
                      <w:szCs w:val="24"/>
                    </w:rPr>
                    <w:t>1375</w:t>
                  </w:r>
                  <w:r w:rsidRPr="003A20B4">
                    <w:rPr>
                      <w:rFonts w:ascii="Times New Roman" w:hAnsi="Times New Roman"/>
                      <w:sz w:val="22"/>
                      <w:szCs w:val="24"/>
                    </w:rPr>
                    <w:t xml:space="preserve"> zł</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2335519B"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do 1125 zł</w:t>
                  </w:r>
                </w:p>
              </w:tc>
            </w:tr>
            <w:tr w:rsidR="004D2268" w:rsidRPr="003A20B4" w14:paraId="632F722A"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42370755" w14:textId="77777777" w:rsidR="004D2268" w:rsidRPr="003A20B4" w:rsidRDefault="004D2268" w:rsidP="000F2DCD">
                  <w:pPr>
                    <w:pStyle w:val="Bezodstpw"/>
                    <w:rPr>
                      <w:rFonts w:ascii="Times New Roman" w:hAnsi="Times New Roman"/>
                      <w:sz w:val="22"/>
                      <w:szCs w:val="24"/>
                    </w:rPr>
                  </w:pPr>
                  <w:r w:rsidRPr="003A20B4">
                    <w:rPr>
                      <w:rFonts w:ascii="Times New Roman" w:hAnsi="Times New Roman"/>
                      <w:sz w:val="22"/>
                      <w:szCs w:val="24"/>
                    </w:rPr>
                    <w:t>RAZEM:</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4211581" w14:textId="77777777" w:rsidR="004D2268" w:rsidRPr="003A20B4" w:rsidRDefault="004D2268" w:rsidP="000F2DCD">
                  <w:pPr>
                    <w:pStyle w:val="Bezodstpw"/>
                    <w:jc w:val="right"/>
                    <w:rPr>
                      <w:rFonts w:ascii="Times New Roman" w:hAnsi="Times New Roman"/>
                      <w:b/>
                      <w:sz w:val="22"/>
                      <w:szCs w:val="24"/>
                    </w:rPr>
                  </w:pPr>
                  <w:r>
                    <w:rPr>
                      <w:rFonts w:ascii="Times New Roman" w:hAnsi="Times New Roman"/>
                      <w:b/>
                      <w:sz w:val="22"/>
                      <w:szCs w:val="24"/>
                    </w:rPr>
                    <w:t>do</w:t>
                  </w:r>
                  <w:r w:rsidRPr="003A20B4">
                    <w:rPr>
                      <w:rFonts w:ascii="Times New Roman" w:hAnsi="Times New Roman"/>
                      <w:b/>
                      <w:sz w:val="22"/>
                      <w:szCs w:val="24"/>
                    </w:rPr>
                    <w:t xml:space="preserve"> </w:t>
                  </w:r>
                  <w:r>
                    <w:rPr>
                      <w:rFonts w:ascii="Times New Roman" w:hAnsi="Times New Roman"/>
                      <w:b/>
                      <w:sz w:val="22"/>
                      <w:szCs w:val="24"/>
                    </w:rPr>
                    <w:t>4125</w:t>
                  </w:r>
                  <w:r w:rsidRPr="003A20B4">
                    <w:rPr>
                      <w:rFonts w:ascii="Times New Roman" w:hAnsi="Times New Roman"/>
                      <w:b/>
                      <w:sz w:val="22"/>
                      <w:szCs w:val="24"/>
                    </w:rPr>
                    <w:t xml:space="preserve"> zł</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1442D699" w14:textId="77777777" w:rsidR="004D2268" w:rsidRPr="003A20B4" w:rsidRDefault="004D2268" w:rsidP="000F2DCD">
                  <w:pPr>
                    <w:pStyle w:val="Bezodstpw"/>
                    <w:jc w:val="right"/>
                    <w:rPr>
                      <w:rFonts w:ascii="Times New Roman" w:hAnsi="Times New Roman"/>
                      <w:b/>
                      <w:sz w:val="22"/>
                      <w:szCs w:val="24"/>
                    </w:rPr>
                  </w:pPr>
                  <w:r w:rsidRPr="003A20B4">
                    <w:rPr>
                      <w:rFonts w:ascii="Times New Roman" w:hAnsi="Times New Roman"/>
                      <w:b/>
                      <w:sz w:val="22"/>
                      <w:szCs w:val="24"/>
                    </w:rPr>
                    <w:t>do 3875 zł</w:t>
                  </w:r>
                </w:p>
              </w:tc>
            </w:tr>
          </w:tbl>
          <w:p w14:paraId="2E3B9325" w14:textId="77777777" w:rsidR="004D2268" w:rsidRDefault="004D2268" w:rsidP="000F2DCD">
            <w:pPr>
              <w:spacing w:line="360" w:lineRule="auto"/>
              <w:jc w:val="both"/>
              <w:rPr>
                <w:rFonts w:ascii="Times New Roman" w:hAnsi="Times New Roman"/>
                <w:color w:val="000000"/>
                <w:spacing w:val="-2"/>
              </w:rPr>
            </w:pPr>
          </w:p>
          <w:p w14:paraId="3E88BCC5" w14:textId="77777777" w:rsidR="004D2268" w:rsidRDefault="004D2268" w:rsidP="000F2DCD">
            <w:pPr>
              <w:jc w:val="both"/>
              <w:rPr>
                <w:rFonts w:ascii="Times New Roman" w:hAnsi="Times New Roman"/>
                <w:color w:val="000000"/>
                <w:spacing w:val="-2"/>
              </w:rPr>
            </w:pPr>
            <w:r w:rsidRPr="00AF7820">
              <w:rPr>
                <w:rFonts w:ascii="Times New Roman" w:hAnsi="Times New Roman"/>
                <w:color w:val="000000"/>
                <w:spacing w:val="-2"/>
              </w:rPr>
              <w:t>Restrykcyjne zasady będą obowiązywać przy zaciąganiu krótkoterminowych pożyczek na niewielkie kwoty, czyli chwilówek. Limit dodatkowych opłat w przypadku „chwilówek” zostanie radykalnie ograniczony do 45 proc. kwoty pożyczki w skali roku. Przy pożyczce na okres miesiąca limit ten</w:t>
            </w:r>
            <w:r>
              <w:rPr>
                <w:rFonts w:ascii="Times New Roman" w:hAnsi="Times New Roman"/>
                <w:color w:val="000000"/>
                <w:spacing w:val="-2"/>
              </w:rPr>
              <w:t xml:space="preserve"> wyniesie jednak tylko 22 proc. </w:t>
            </w:r>
            <w:r w:rsidRPr="00AF7820">
              <w:rPr>
                <w:rFonts w:ascii="Times New Roman" w:hAnsi="Times New Roman"/>
                <w:color w:val="000000"/>
                <w:spacing w:val="-2"/>
              </w:rPr>
              <w:t>Limit odsetek od samej pożyczki będzie, jak dotąd, wynosił do 10 proc. w skali roku.</w:t>
            </w: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985"/>
              <w:gridCol w:w="1874"/>
            </w:tblGrid>
            <w:tr w:rsidR="004D2268" w:rsidRPr="003A20B4" w14:paraId="14D67A0A" w14:textId="77777777" w:rsidTr="000F2DCD">
              <w:tc>
                <w:tcPr>
                  <w:tcW w:w="92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BEB29A" w14:textId="77777777" w:rsidR="004D2268" w:rsidRPr="003A20B4" w:rsidRDefault="004D2268" w:rsidP="000F2DCD">
                  <w:pPr>
                    <w:pStyle w:val="Bezodstpw"/>
                    <w:jc w:val="center"/>
                    <w:rPr>
                      <w:rFonts w:ascii="Times New Roman" w:hAnsi="Times New Roman"/>
                      <w:b/>
                      <w:szCs w:val="24"/>
                    </w:rPr>
                  </w:pPr>
                  <w:r w:rsidRPr="003A20B4">
                    <w:rPr>
                      <w:rFonts w:ascii="Times New Roman" w:hAnsi="Times New Roman"/>
                      <w:b/>
                      <w:szCs w:val="24"/>
                    </w:rPr>
                    <w:t>Ile naprawdę kosztuje 1000 zł „chwilówki” (wziętej na rok)</w:t>
                  </w:r>
                </w:p>
              </w:tc>
            </w:tr>
            <w:tr w:rsidR="004D2268" w:rsidRPr="003A20B4" w14:paraId="68CA324E"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tcPr>
                <w:p w14:paraId="03149F0A" w14:textId="77777777" w:rsidR="004D2268" w:rsidRPr="003A20B4" w:rsidRDefault="004D2268" w:rsidP="000F2DCD">
                  <w:pPr>
                    <w:pStyle w:val="Bezodstpw"/>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925E819" w14:textId="77777777" w:rsidR="004D2268" w:rsidRPr="003A20B4" w:rsidRDefault="004D2268" w:rsidP="000F2DCD">
                  <w:pPr>
                    <w:pStyle w:val="Bezodstpw"/>
                    <w:jc w:val="center"/>
                    <w:rPr>
                      <w:rFonts w:ascii="Times New Roman" w:hAnsi="Times New Roman"/>
                      <w:b/>
                      <w:szCs w:val="24"/>
                    </w:rPr>
                  </w:pPr>
                  <w:r w:rsidRPr="003A20B4">
                    <w:rPr>
                      <w:rFonts w:ascii="Times New Roman" w:hAnsi="Times New Roman"/>
                      <w:b/>
                      <w:szCs w:val="24"/>
                    </w:rPr>
                    <w:t>JEST</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4E45DA08" w14:textId="77777777" w:rsidR="004D2268" w:rsidRPr="003A20B4" w:rsidRDefault="004D2268" w:rsidP="000F2DCD">
                  <w:pPr>
                    <w:pStyle w:val="Bezodstpw"/>
                    <w:jc w:val="center"/>
                    <w:rPr>
                      <w:rFonts w:ascii="Times New Roman" w:hAnsi="Times New Roman"/>
                      <w:b/>
                      <w:szCs w:val="24"/>
                    </w:rPr>
                  </w:pPr>
                  <w:r w:rsidRPr="003A20B4">
                    <w:rPr>
                      <w:rFonts w:ascii="Times New Roman" w:hAnsi="Times New Roman"/>
                      <w:b/>
                      <w:szCs w:val="24"/>
                    </w:rPr>
                    <w:t>BĘDZIE</w:t>
                  </w:r>
                </w:p>
              </w:tc>
            </w:tr>
            <w:tr w:rsidR="004D2268" w:rsidRPr="003A20B4" w14:paraId="5FC4BA87"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2FF8CC87" w14:textId="77777777" w:rsidR="004D2268" w:rsidRPr="003A20B4" w:rsidRDefault="004D2268" w:rsidP="000F2DCD">
                  <w:pPr>
                    <w:pStyle w:val="Bezodstpw"/>
                    <w:rPr>
                      <w:rFonts w:ascii="Times New Roman" w:hAnsi="Times New Roman"/>
                      <w:sz w:val="22"/>
                      <w:szCs w:val="24"/>
                    </w:rPr>
                  </w:pPr>
                  <w:r w:rsidRPr="003A20B4">
                    <w:rPr>
                      <w:rFonts w:ascii="Times New Roman" w:hAnsi="Times New Roman"/>
                      <w:sz w:val="22"/>
                      <w:szCs w:val="24"/>
                    </w:rPr>
                    <w:t>wysokość pożyczki</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6CB29FC"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1000 zł</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6B16ABAB"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1000 zł</w:t>
                  </w:r>
                </w:p>
              </w:tc>
            </w:tr>
            <w:tr w:rsidR="004D2268" w:rsidRPr="003A20B4" w14:paraId="2FE55F0C"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1934AD2E" w14:textId="77777777" w:rsidR="004D2268" w:rsidRPr="003A20B4" w:rsidRDefault="004D2268" w:rsidP="000F2DCD">
                  <w:pPr>
                    <w:pStyle w:val="Bezodstpw"/>
                    <w:rPr>
                      <w:rFonts w:ascii="Times New Roman" w:hAnsi="Times New Roman"/>
                      <w:sz w:val="22"/>
                      <w:szCs w:val="24"/>
                    </w:rPr>
                  </w:pPr>
                  <w:r w:rsidRPr="003A20B4">
                    <w:rPr>
                      <w:rFonts w:ascii="Times New Roman" w:hAnsi="Times New Roman"/>
                      <w:sz w:val="22"/>
                      <w:szCs w:val="24"/>
                    </w:rPr>
                    <w:t>wysokość odsetek</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4E472EA"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do 100 zł</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1B192D23"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do 100 zł</w:t>
                  </w:r>
                </w:p>
              </w:tc>
            </w:tr>
            <w:tr w:rsidR="004D2268" w:rsidRPr="003A20B4" w14:paraId="6EE6598F"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0D7C2634" w14:textId="77777777" w:rsidR="004D2268" w:rsidRPr="003A20B4" w:rsidRDefault="004D2268" w:rsidP="000F2DCD">
                  <w:pPr>
                    <w:pStyle w:val="Bezodstpw"/>
                    <w:rPr>
                      <w:rFonts w:ascii="Times New Roman" w:hAnsi="Times New Roman"/>
                      <w:sz w:val="22"/>
                      <w:szCs w:val="24"/>
                    </w:rPr>
                  </w:pPr>
                  <w:r w:rsidRPr="003A20B4">
                    <w:rPr>
                      <w:rFonts w:ascii="Times New Roman" w:hAnsi="Times New Roman"/>
                      <w:sz w:val="22"/>
                      <w:szCs w:val="24"/>
                    </w:rPr>
                    <w:t>dodatkowe opłaty</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ED2605F" w14:textId="77777777" w:rsidR="004D2268" w:rsidRPr="003A20B4" w:rsidRDefault="004D2268" w:rsidP="000F2DCD">
                  <w:pPr>
                    <w:pStyle w:val="Bezodstpw"/>
                    <w:jc w:val="right"/>
                    <w:rPr>
                      <w:rFonts w:ascii="Times New Roman" w:hAnsi="Times New Roman"/>
                      <w:sz w:val="22"/>
                      <w:szCs w:val="24"/>
                    </w:rPr>
                  </w:pPr>
                  <w:r>
                    <w:rPr>
                      <w:rFonts w:ascii="Times New Roman" w:hAnsi="Times New Roman"/>
                      <w:sz w:val="22"/>
                      <w:szCs w:val="24"/>
                    </w:rPr>
                    <w:t>do 550</w:t>
                  </w:r>
                  <w:r w:rsidRPr="003A20B4">
                    <w:rPr>
                      <w:rFonts w:ascii="Times New Roman" w:hAnsi="Times New Roman"/>
                      <w:sz w:val="22"/>
                      <w:szCs w:val="24"/>
                    </w:rPr>
                    <w:t xml:space="preserve"> zł</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17C8014B" w14:textId="77777777" w:rsidR="004D2268" w:rsidRPr="003A20B4" w:rsidRDefault="004D2268" w:rsidP="000F2DCD">
                  <w:pPr>
                    <w:pStyle w:val="Bezodstpw"/>
                    <w:jc w:val="right"/>
                    <w:rPr>
                      <w:rFonts w:ascii="Times New Roman" w:hAnsi="Times New Roman"/>
                      <w:sz w:val="22"/>
                      <w:szCs w:val="24"/>
                    </w:rPr>
                  </w:pPr>
                  <w:r w:rsidRPr="003A20B4">
                    <w:rPr>
                      <w:rFonts w:ascii="Times New Roman" w:hAnsi="Times New Roman"/>
                      <w:sz w:val="22"/>
                      <w:szCs w:val="24"/>
                    </w:rPr>
                    <w:t>do 450 zł</w:t>
                  </w:r>
                </w:p>
              </w:tc>
            </w:tr>
            <w:tr w:rsidR="004D2268" w:rsidRPr="003A20B4" w14:paraId="56841E09" w14:textId="77777777" w:rsidTr="000F2DC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1606AF73" w14:textId="77777777" w:rsidR="004D2268" w:rsidRPr="003A20B4" w:rsidRDefault="004D2268" w:rsidP="000F2DCD">
                  <w:pPr>
                    <w:pStyle w:val="Bezodstpw"/>
                    <w:rPr>
                      <w:rFonts w:ascii="Times New Roman" w:hAnsi="Times New Roman"/>
                      <w:sz w:val="22"/>
                      <w:szCs w:val="24"/>
                    </w:rPr>
                  </w:pPr>
                  <w:r w:rsidRPr="003A20B4">
                    <w:rPr>
                      <w:rFonts w:ascii="Times New Roman" w:hAnsi="Times New Roman"/>
                      <w:sz w:val="22"/>
                      <w:szCs w:val="24"/>
                    </w:rPr>
                    <w:t>RAZEM:</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98582DB" w14:textId="77777777" w:rsidR="004D2268" w:rsidRPr="003A20B4" w:rsidRDefault="004D2268" w:rsidP="000F2DCD">
                  <w:pPr>
                    <w:pStyle w:val="Bezodstpw"/>
                    <w:jc w:val="right"/>
                    <w:rPr>
                      <w:rFonts w:ascii="Times New Roman" w:hAnsi="Times New Roman"/>
                      <w:b/>
                      <w:sz w:val="22"/>
                      <w:szCs w:val="24"/>
                    </w:rPr>
                  </w:pPr>
                  <w:r w:rsidRPr="003A20B4">
                    <w:rPr>
                      <w:rFonts w:ascii="Times New Roman" w:hAnsi="Times New Roman"/>
                      <w:b/>
                      <w:sz w:val="22"/>
                      <w:szCs w:val="24"/>
                    </w:rPr>
                    <w:t xml:space="preserve"> np. </w:t>
                  </w:r>
                  <w:r>
                    <w:rPr>
                      <w:rFonts w:ascii="Times New Roman" w:hAnsi="Times New Roman"/>
                      <w:b/>
                      <w:sz w:val="22"/>
                      <w:szCs w:val="24"/>
                    </w:rPr>
                    <w:t>1650</w:t>
                  </w:r>
                  <w:r w:rsidRPr="003A20B4">
                    <w:rPr>
                      <w:rFonts w:ascii="Times New Roman" w:hAnsi="Times New Roman"/>
                      <w:b/>
                      <w:sz w:val="22"/>
                      <w:szCs w:val="24"/>
                    </w:rPr>
                    <w:t xml:space="preserve"> zł</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31F9C840" w14:textId="77777777" w:rsidR="004D2268" w:rsidRPr="003A20B4" w:rsidRDefault="004D2268" w:rsidP="000F2DCD">
                  <w:pPr>
                    <w:pStyle w:val="Bezodstpw"/>
                    <w:jc w:val="right"/>
                    <w:rPr>
                      <w:rFonts w:ascii="Times New Roman" w:hAnsi="Times New Roman"/>
                      <w:b/>
                      <w:sz w:val="22"/>
                      <w:szCs w:val="24"/>
                    </w:rPr>
                  </w:pPr>
                  <w:r w:rsidRPr="003A20B4">
                    <w:rPr>
                      <w:rFonts w:ascii="Times New Roman" w:hAnsi="Times New Roman"/>
                      <w:b/>
                      <w:sz w:val="22"/>
                      <w:szCs w:val="24"/>
                    </w:rPr>
                    <w:t>do 1550 zł</w:t>
                  </w:r>
                </w:p>
              </w:tc>
            </w:tr>
          </w:tbl>
          <w:p w14:paraId="2581107E" w14:textId="77777777" w:rsidR="004D2268" w:rsidRPr="00D52303" w:rsidRDefault="004D2268" w:rsidP="000F2DCD">
            <w:pPr>
              <w:jc w:val="both"/>
              <w:rPr>
                <w:rFonts w:ascii="Times New Roman" w:hAnsi="Times New Roman"/>
                <w:color w:val="000000"/>
                <w:spacing w:val="-2"/>
              </w:rPr>
            </w:pPr>
          </w:p>
          <w:p w14:paraId="636287B7" w14:textId="77777777" w:rsidR="004D2268" w:rsidRPr="00D52303" w:rsidRDefault="004D2268" w:rsidP="000F2DCD">
            <w:pPr>
              <w:jc w:val="both"/>
              <w:rPr>
                <w:rFonts w:ascii="Times New Roman" w:hAnsi="Times New Roman"/>
                <w:color w:val="000000"/>
                <w:spacing w:val="-2"/>
              </w:rPr>
            </w:pPr>
            <w:r w:rsidRPr="00D52303">
              <w:rPr>
                <w:rFonts w:ascii="Times New Roman" w:hAnsi="Times New Roman"/>
              </w:rPr>
              <w:t>Jednocześnie, mając na celu</w:t>
            </w:r>
            <w:r w:rsidRPr="00D52303">
              <w:rPr>
                <w:rFonts w:ascii="Times New Roman" w:hAnsi="Times New Roman"/>
                <w:b/>
              </w:rPr>
              <w:t xml:space="preserve"> wyeliminowanie negatywnego zjawiska jakim jest</w:t>
            </w:r>
            <w:r w:rsidRPr="00D52303">
              <w:rPr>
                <w:rFonts w:ascii="Times New Roman" w:hAnsi="Times New Roman"/>
              </w:rPr>
              <w:t xml:space="preserve"> </w:t>
            </w:r>
            <w:r w:rsidRPr="00D52303">
              <w:rPr>
                <w:rFonts w:ascii="Times New Roman" w:hAnsi="Times New Roman"/>
                <w:b/>
              </w:rPr>
              <w:t>tzw. rolowanie kredytu</w:t>
            </w:r>
            <w:r w:rsidRPr="00D52303">
              <w:rPr>
                <w:rFonts w:ascii="Times New Roman" w:hAnsi="Times New Roman"/>
              </w:rPr>
              <w:t xml:space="preserve"> przez pośredników, projekt przewiduje</w:t>
            </w:r>
            <w:r w:rsidRPr="00D52303">
              <w:rPr>
                <w:rFonts w:ascii="Times New Roman" w:hAnsi="Times New Roman"/>
                <w:b/>
              </w:rPr>
              <w:t xml:space="preserve"> </w:t>
            </w:r>
            <w:r w:rsidRPr="00D52303">
              <w:rPr>
                <w:rFonts w:ascii="Times New Roman" w:hAnsi="Times New Roman"/>
              </w:rPr>
              <w:t xml:space="preserve">nadanie nowego brzmienia art. 36c ustawy o kredycie konsumenckim (art. 7 pkt </w:t>
            </w:r>
            <w:r>
              <w:rPr>
                <w:rFonts w:ascii="Times New Roman" w:hAnsi="Times New Roman"/>
              </w:rPr>
              <w:t>5</w:t>
            </w:r>
            <w:r w:rsidRPr="00D52303">
              <w:rPr>
                <w:rFonts w:ascii="Times New Roman" w:hAnsi="Times New Roman"/>
              </w:rPr>
              <w:t xml:space="preserve"> projektu), zgodnie z którym, wskazane w tym przepisie parametry obliczeń w przypadku udzielenia kolejnych kredytów (całkowita kwota kredytu oraz </w:t>
            </w:r>
            <w:proofErr w:type="spellStart"/>
            <w:r w:rsidRPr="00D52303">
              <w:rPr>
                <w:rFonts w:ascii="Times New Roman" w:hAnsi="Times New Roman"/>
              </w:rPr>
              <w:t>pozaodsetkowe</w:t>
            </w:r>
            <w:proofErr w:type="spellEnd"/>
            <w:r w:rsidRPr="00D52303">
              <w:rPr>
                <w:rFonts w:ascii="Times New Roman" w:hAnsi="Times New Roman"/>
              </w:rPr>
              <w:t xml:space="preserve"> koszty kredytu) będą dotyczyły kolejnych kredytów udzielanych w</w:t>
            </w:r>
            <w:r>
              <w:rPr>
                <w:rFonts w:ascii="Times New Roman" w:hAnsi="Times New Roman"/>
              </w:rPr>
              <w:t> </w:t>
            </w:r>
            <w:r w:rsidRPr="00D52303">
              <w:rPr>
                <w:rFonts w:ascii="Times New Roman" w:hAnsi="Times New Roman"/>
              </w:rPr>
              <w:t xml:space="preserve">okresie 120 dni od dnia wypłaty pierwszego z kredytów, zarówno przez pierwotnego kredytodawcę, jak i przez </w:t>
            </w:r>
            <w:r w:rsidRPr="00D52303">
              <w:rPr>
                <w:rFonts w:ascii="Times New Roman" w:hAnsi="Times New Roman"/>
              </w:rPr>
              <w:lastRenderedPageBreak/>
              <w:t>podmioty z nim powiązane.</w:t>
            </w:r>
          </w:p>
          <w:p w14:paraId="55FD5E6E" w14:textId="77777777" w:rsidR="004D2268" w:rsidRPr="00D52303" w:rsidRDefault="004D2268" w:rsidP="000F2DCD">
            <w:pPr>
              <w:jc w:val="both"/>
              <w:rPr>
                <w:rFonts w:ascii="Times New Roman" w:hAnsi="Times New Roman"/>
                <w:color w:val="000000"/>
                <w:spacing w:val="-2"/>
              </w:rPr>
            </w:pPr>
          </w:p>
          <w:p w14:paraId="741C91D3" w14:textId="77777777" w:rsidR="004D2268" w:rsidRPr="00D52303" w:rsidRDefault="004D2268" w:rsidP="000F2DCD">
            <w:pPr>
              <w:jc w:val="both"/>
              <w:rPr>
                <w:rFonts w:ascii="Times New Roman" w:hAnsi="Times New Roman"/>
              </w:rPr>
            </w:pPr>
            <w:r w:rsidRPr="00D52303">
              <w:rPr>
                <w:rFonts w:ascii="Times New Roman" w:hAnsi="Times New Roman"/>
              </w:rPr>
              <w:t xml:space="preserve">Projekt w art. 4 zakłada zmianę ustawy z dnia 29 sierpnia 1997 r. </w:t>
            </w:r>
            <w:r w:rsidRPr="00723FCB">
              <w:rPr>
                <w:rFonts w:ascii="Times New Roman" w:hAnsi="Times New Roman"/>
                <w:i/>
              </w:rPr>
              <w:t>– Prawo bankowe</w:t>
            </w:r>
            <w:r w:rsidRPr="00D52303">
              <w:rPr>
                <w:rFonts w:ascii="Times New Roman" w:hAnsi="Times New Roman"/>
              </w:rPr>
              <w:t xml:space="preserve"> (Dz.</w:t>
            </w:r>
            <w:r>
              <w:rPr>
                <w:rFonts w:ascii="Times New Roman" w:hAnsi="Times New Roman"/>
              </w:rPr>
              <w:t xml:space="preserve"> </w:t>
            </w:r>
            <w:r w:rsidRPr="00D52303">
              <w:rPr>
                <w:rFonts w:ascii="Times New Roman" w:hAnsi="Times New Roman"/>
              </w:rPr>
              <w:t>U. z 2018 r. poz. 2187</w:t>
            </w:r>
            <w:r>
              <w:rPr>
                <w:rFonts w:ascii="Times New Roman" w:hAnsi="Times New Roman"/>
              </w:rPr>
              <w:t xml:space="preserve"> z </w:t>
            </w:r>
            <w:proofErr w:type="spellStart"/>
            <w:r>
              <w:rPr>
                <w:rFonts w:ascii="Times New Roman" w:hAnsi="Times New Roman"/>
              </w:rPr>
              <w:t>późn</w:t>
            </w:r>
            <w:proofErr w:type="spellEnd"/>
            <w:r>
              <w:rPr>
                <w:rFonts w:ascii="Times New Roman" w:hAnsi="Times New Roman"/>
              </w:rPr>
              <w:t>. zm.</w:t>
            </w:r>
            <w:r w:rsidRPr="00D52303">
              <w:rPr>
                <w:rFonts w:ascii="Times New Roman" w:hAnsi="Times New Roman"/>
              </w:rPr>
              <w:t xml:space="preserve">). </w:t>
            </w:r>
            <w:r w:rsidRPr="00D52303">
              <w:rPr>
                <w:rFonts w:ascii="Times New Roman" w:hAnsi="Times New Roman"/>
                <w:color w:val="000000"/>
                <w:spacing w:val="-2"/>
              </w:rPr>
              <w:t>Przedmiotowe regulacje, analogicznie do dodawanych regulacji Kodeksu cywilnego, określaj</w:t>
            </w:r>
            <w:r w:rsidR="00BD4393">
              <w:rPr>
                <w:rFonts w:ascii="Times New Roman" w:hAnsi="Times New Roman"/>
                <w:color w:val="000000"/>
                <w:spacing w:val="-2"/>
              </w:rPr>
              <w:t>ą maksymalny dopuszczalny limit</w:t>
            </w:r>
            <w:r w:rsidRPr="00D52303">
              <w:rPr>
                <w:rFonts w:ascii="Times New Roman" w:hAnsi="Times New Roman"/>
                <w:color w:val="000000"/>
                <w:spacing w:val="-2"/>
              </w:rPr>
              <w:t xml:space="preserve"> kosztów </w:t>
            </w:r>
            <w:proofErr w:type="spellStart"/>
            <w:r w:rsidRPr="00D52303">
              <w:rPr>
                <w:rFonts w:ascii="Times New Roman" w:hAnsi="Times New Roman"/>
                <w:color w:val="000000"/>
                <w:spacing w:val="-2"/>
              </w:rPr>
              <w:t>pozaodsetkowych</w:t>
            </w:r>
            <w:proofErr w:type="spellEnd"/>
            <w:r w:rsidRPr="00D52303">
              <w:rPr>
                <w:rFonts w:ascii="Times New Roman" w:hAnsi="Times New Roman"/>
                <w:color w:val="000000"/>
                <w:spacing w:val="-2"/>
              </w:rPr>
              <w:t xml:space="preserve">, z tą jednak różnicą, że z uwagi na charakter pożyczek i kredytów udzielanych w trybie Prawa bankowego, projektodawca nie ogranicza czasowo możliwości naliczania tych kosztów. Przewiduje się także odpowiednie stosowanie dodawanych w Prawie bankowym przepisów do umów pożyczek i umów kredytowych zawieranych przez spółdzielcze kasy oszczędnościowo-kredytowe </w:t>
            </w:r>
            <w:r>
              <w:rPr>
                <w:rFonts w:ascii="Times New Roman" w:hAnsi="Times New Roman"/>
                <w:color w:val="000000"/>
                <w:spacing w:val="-2"/>
              </w:rPr>
              <w:t>–</w:t>
            </w:r>
            <w:r w:rsidRPr="00D52303">
              <w:rPr>
                <w:rFonts w:ascii="Times New Roman" w:hAnsi="Times New Roman"/>
                <w:color w:val="000000"/>
                <w:spacing w:val="-2"/>
              </w:rPr>
              <w:t xml:space="preserve"> </w:t>
            </w:r>
            <w:r w:rsidRPr="00D52303">
              <w:rPr>
                <w:rFonts w:ascii="Times New Roman" w:hAnsi="Times New Roman"/>
              </w:rPr>
              <w:t>proponowana w art. 6 zmiana ustawy z</w:t>
            </w:r>
            <w:r>
              <w:rPr>
                <w:rFonts w:ascii="Times New Roman" w:hAnsi="Times New Roman"/>
              </w:rPr>
              <w:t> </w:t>
            </w:r>
            <w:r w:rsidRPr="00D52303">
              <w:rPr>
                <w:rFonts w:ascii="Times New Roman" w:hAnsi="Times New Roman"/>
              </w:rPr>
              <w:t xml:space="preserve">dnia 5 listopada 2009 r. </w:t>
            </w:r>
            <w:r w:rsidRPr="00723FCB">
              <w:rPr>
                <w:rFonts w:ascii="Times New Roman" w:hAnsi="Times New Roman"/>
                <w:i/>
              </w:rPr>
              <w:t>o spółdzielczych kasach oszczędnościowo-kredytowych</w:t>
            </w:r>
            <w:r w:rsidRPr="00D52303">
              <w:rPr>
                <w:rFonts w:ascii="Times New Roman" w:hAnsi="Times New Roman"/>
              </w:rPr>
              <w:t xml:space="preserve"> (Dz.</w:t>
            </w:r>
            <w:r>
              <w:rPr>
                <w:rFonts w:ascii="Times New Roman" w:hAnsi="Times New Roman"/>
              </w:rPr>
              <w:t xml:space="preserve"> </w:t>
            </w:r>
            <w:r w:rsidRPr="00D52303">
              <w:rPr>
                <w:rFonts w:ascii="Times New Roman" w:hAnsi="Times New Roman"/>
              </w:rPr>
              <w:t>U. z 2018 r. poz. 2386</w:t>
            </w:r>
            <w:r>
              <w:rPr>
                <w:rFonts w:ascii="Times New Roman" w:hAnsi="Times New Roman"/>
              </w:rPr>
              <w:t xml:space="preserve"> z </w:t>
            </w:r>
            <w:proofErr w:type="spellStart"/>
            <w:r>
              <w:rPr>
                <w:rFonts w:ascii="Times New Roman" w:hAnsi="Times New Roman"/>
              </w:rPr>
              <w:t>późn</w:t>
            </w:r>
            <w:proofErr w:type="spellEnd"/>
            <w:r>
              <w:rPr>
                <w:rFonts w:ascii="Times New Roman" w:hAnsi="Times New Roman"/>
              </w:rPr>
              <w:t>. zm.</w:t>
            </w:r>
            <w:r w:rsidRPr="00D52303">
              <w:rPr>
                <w:rFonts w:ascii="Times New Roman" w:hAnsi="Times New Roman"/>
              </w:rPr>
              <w:t>).</w:t>
            </w:r>
          </w:p>
          <w:p w14:paraId="07135320" w14:textId="77777777" w:rsidR="004D2268" w:rsidRPr="00D52303" w:rsidRDefault="004D2268" w:rsidP="000F2DCD">
            <w:pPr>
              <w:jc w:val="both"/>
              <w:rPr>
                <w:rFonts w:ascii="Times New Roman" w:hAnsi="Times New Roman"/>
                <w:color w:val="000000"/>
                <w:spacing w:val="-2"/>
              </w:rPr>
            </w:pPr>
          </w:p>
          <w:p w14:paraId="0B68B5B0" w14:textId="77777777" w:rsidR="004D2268" w:rsidRDefault="004D2268" w:rsidP="000F2DCD">
            <w:pPr>
              <w:ind w:right="50"/>
              <w:jc w:val="both"/>
              <w:rPr>
                <w:rFonts w:ascii="Times New Roman" w:hAnsi="Times New Roman"/>
              </w:rPr>
            </w:pPr>
            <w:r w:rsidRPr="00D52303">
              <w:rPr>
                <w:rFonts w:ascii="Times New Roman" w:hAnsi="Times New Roman"/>
                <w:color w:val="000000"/>
                <w:spacing w:val="-2"/>
              </w:rPr>
              <w:t xml:space="preserve">W zakresie </w:t>
            </w:r>
            <w:r>
              <w:rPr>
                <w:rFonts w:ascii="Times New Roman" w:hAnsi="Times New Roman"/>
                <w:color w:val="000000"/>
              </w:rPr>
              <w:t xml:space="preserve">ustawy </w:t>
            </w:r>
            <w:r w:rsidRPr="00FE065E">
              <w:rPr>
                <w:rFonts w:ascii="Times New Roman" w:hAnsi="Times New Roman"/>
              </w:rPr>
              <w:t>z dnia 6</w:t>
            </w:r>
            <w:r>
              <w:rPr>
                <w:rFonts w:ascii="Times New Roman" w:hAnsi="Times New Roman"/>
              </w:rPr>
              <w:t> </w:t>
            </w:r>
            <w:r w:rsidRPr="00FE065E">
              <w:rPr>
                <w:rFonts w:ascii="Times New Roman" w:hAnsi="Times New Roman"/>
              </w:rPr>
              <w:t>czerwca 1997 r.</w:t>
            </w:r>
            <w:r>
              <w:rPr>
                <w:rFonts w:ascii="Times New Roman" w:hAnsi="Times New Roman"/>
              </w:rPr>
              <w:t xml:space="preserve"> – </w:t>
            </w:r>
            <w:r w:rsidRPr="003C3F94">
              <w:rPr>
                <w:rFonts w:ascii="Times New Roman" w:hAnsi="Times New Roman"/>
                <w:i/>
              </w:rPr>
              <w:t>Kodeks karny</w:t>
            </w:r>
            <w:r w:rsidRPr="00D52303">
              <w:rPr>
                <w:rFonts w:ascii="Times New Roman" w:hAnsi="Times New Roman"/>
                <w:color w:val="000000"/>
                <w:spacing w:val="-2"/>
              </w:rPr>
              <w:t xml:space="preserve"> </w:t>
            </w:r>
            <w:r>
              <w:rPr>
                <w:rFonts w:ascii="Times New Roman" w:hAnsi="Times New Roman"/>
                <w:color w:val="000000"/>
                <w:spacing w:val="-2"/>
              </w:rPr>
              <w:t xml:space="preserve">(art. 3 projektu) </w:t>
            </w:r>
            <w:r w:rsidRPr="00723FCB">
              <w:rPr>
                <w:rFonts w:ascii="Times New Roman" w:hAnsi="Times New Roman"/>
              </w:rPr>
              <w:t>proponuje się</w:t>
            </w:r>
            <w:r>
              <w:rPr>
                <w:rFonts w:ascii="Times New Roman" w:hAnsi="Times New Roman"/>
              </w:rPr>
              <w:t>:</w:t>
            </w:r>
          </w:p>
          <w:p w14:paraId="4B0EEA38" w14:textId="77777777" w:rsidR="004D2268" w:rsidRDefault="004D2268" w:rsidP="000F2DCD">
            <w:pPr>
              <w:ind w:left="54" w:right="50"/>
              <w:jc w:val="both"/>
              <w:rPr>
                <w:rFonts w:ascii="Times New Roman" w:hAnsi="Times New Roman"/>
              </w:rPr>
            </w:pPr>
            <w:r>
              <w:rPr>
                <w:rFonts w:ascii="Times New Roman" w:hAnsi="Times New Roman"/>
              </w:rPr>
              <w:t xml:space="preserve">1) </w:t>
            </w:r>
            <w:r w:rsidRPr="00D52303">
              <w:rPr>
                <w:rFonts w:ascii="Times New Roman" w:hAnsi="Times New Roman"/>
              </w:rPr>
              <w:t xml:space="preserve">w art. 115 § 25 </w:t>
            </w:r>
            <w:r w:rsidRPr="00D52303">
              <w:rPr>
                <w:rFonts w:ascii="Times New Roman" w:hAnsi="Times New Roman"/>
                <w:b/>
              </w:rPr>
              <w:t>wprowadzić definicję legalną kosztów</w:t>
            </w:r>
            <w:r>
              <w:rPr>
                <w:rFonts w:ascii="Times New Roman" w:hAnsi="Times New Roman"/>
                <w:b/>
              </w:rPr>
              <w:t xml:space="preserve"> </w:t>
            </w:r>
            <w:proofErr w:type="spellStart"/>
            <w:r>
              <w:rPr>
                <w:rFonts w:ascii="Times New Roman" w:hAnsi="Times New Roman"/>
                <w:b/>
              </w:rPr>
              <w:t>pozaodsetkowych</w:t>
            </w:r>
            <w:proofErr w:type="spellEnd"/>
            <w:r w:rsidRPr="00D52303">
              <w:rPr>
                <w:rFonts w:ascii="Times New Roman" w:hAnsi="Times New Roman"/>
                <w:b/>
              </w:rPr>
              <w:t xml:space="preserve"> udzielenia świadczenia pieniężnego</w:t>
            </w:r>
            <w:r w:rsidRPr="00D52303">
              <w:rPr>
                <w:rFonts w:ascii="Times New Roman" w:hAnsi="Times New Roman"/>
              </w:rPr>
              <w:t>, które obejmować ma</w:t>
            </w:r>
            <w:r>
              <w:rPr>
                <w:rFonts w:ascii="Times New Roman" w:hAnsi="Times New Roman"/>
              </w:rPr>
              <w:t>:</w:t>
            </w:r>
            <w:r w:rsidRPr="00D52303">
              <w:rPr>
                <w:rFonts w:ascii="Times New Roman" w:hAnsi="Times New Roman"/>
              </w:rPr>
              <w:t xml:space="preserve"> </w:t>
            </w:r>
          </w:p>
          <w:p w14:paraId="163C328C" w14:textId="77777777" w:rsidR="004D2268" w:rsidRDefault="004D2268" w:rsidP="000F2DCD">
            <w:pPr>
              <w:ind w:left="774" w:right="50"/>
              <w:jc w:val="both"/>
              <w:rPr>
                <w:rFonts w:ascii="Times New Roman" w:hAnsi="Times New Roman"/>
              </w:rPr>
            </w:pPr>
            <w:r>
              <w:rPr>
                <w:rFonts w:ascii="Times New Roman" w:hAnsi="Times New Roman"/>
              </w:rPr>
              <w:t xml:space="preserve">a) </w:t>
            </w:r>
            <w:r w:rsidRPr="00D52303">
              <w:rPr>
                <w:rFonts w:ascii="Times New Roman" w:hAnsi="Times New Roman"/>
              </w:rPr>
              <w:t xml:space="preserve">marże, prowizje, opłaty </w:t>
            </w:r>
            <w:r>
              <w:rPr>
                <w:rFonts w:ascii="Times New Roman" w:hAnsi="Times New Roman"/>
              </w:rPr>
              <w:t>związane z przygotowaniem umowy</w:t>
            </w:r>
            <w:r w:rsidRPr="00D52303">
              <w:rPr>
                <w:rFonts w:ascii="Times New Roman" w:hAnsi="Times New Roman"/>
              </w:rPr>
              <w:t>,</w:t>
            </w:r>
            <w:r>
              <w:rPr>
                <w:rFonts w:ascii="Times New Roman" w:hAnsi="Times New Roman"/>
              </w:rPr>
              <w:t xml:space="preserve"> z której wynika udzielenie świadczenia lub umowy związanej z udzieleniem świadczenia lub obsługa tych umów albo inne tego rodzaju koszty;</w:t>
            </w:r>
            <w:r w:rsidRPr="00D52303">
              <w:rPr>
                <w:rFonts w:ascii="Times New Roman" w:hAnsi="Times New Roman"/>
              </w:rPr>
              <w:t xml:space="preserve"> </w:t>
            </w:r>
          </w:p>
          <w:p w14:paraId="1E6BF449" w14:textId="77777777" w:rsidR="004D2268" w:rsidRDefault="004D2268" w:rsidP="000F2DCD">
            <w:pPr>
              <w:ind w:left="774" w:right="50"/>
              <w:jc w:val="both"/>
              <w:rPr>
                <w:rFonts w:ascii="Times New Roman" w:hAnsi="Times New Roman"/>
              </w:rPr>
            </w:pPr>
            <w:r>
              <w:rPr>
                <w:rFonts w:ascii="Times New Roman" w:hAnsi="Times New Roman"/>
              </w:rPr>
              <w:t>b) opłaty i kary umowne związane z odroczeniem terminu zwrotu udzielonego świadczenia albo inne tego rodzaju koszty;</w:t>
            </w:r>
          </w:p>
          <w:p w14:paraId="2E875CAD" w14:textId="77777777" w:rsidR="004D2268" w:rsidRDefault="004D2268" w:rsidP="000F2DCD">
            <w:pPr>
              <w:ind w:left="774" w:right="50"/>
              <w:jc w:val="both"/>
              <w:rPr>
                <w:rFonts w:ascii="Times New Roman" w:hAnsi="Times New Roman"/>
              </w:rPr>
            </w:pPr>
            <w:r>
              <w:rPr>
                <w:rFonts w:ascii="Times New Roman" w:hAnsi="Times New Roman"/>
              </w:rPr>
              <w:t xml:space="preserve">c) </w:t>
            </w:r>
            <w:r w:rsidRPr="00D52303">
              <w:rPr>
                <w:rFonts w:ascii="Times New Roman" w:hAnsi="Times New Roman"/>
              </w:rPr>
              <w:t>koszty usług dodatkowych, w szczególności ubezpieczeń</w:t>
            </w:r>
            <w:r>
              <w:rPr>
                <w:rFonts w:ascii="Times New Roman" w:hAnsi="Times New Roman"/>
              </w:rPr>
              <w:t>, koszty związane z ustanowieniem zabezpieczenia zwrotu świadczeń, koszty pozyskiwania informacji związanych z udzielaniem świadczenia;</w:t>
            </w:r>
            <w:r w:rsidRPr="00D52303">
              <w:rPr>
                <w:rFonts w:ascii="Times New Roman" w:hAnsi="Times New Roman"/>
              </w:rPr>
              <w:t>,</w:t>
            </w:r>
          </w:p>
          <w:p w14:paraId="19FB2F9E" w14:textId="77777777" w:rsidR="004D2268" w:rsidRDefault="004D2268" w:rsidP="000F2DCD">
            <w:pPr>
              <w:ind w:left="774" w:right="50"/>
              <w:jc w:val="both"/>
              <w:rPr>
                <w:rFonts w:ascii="Times New Roman" w:hAnsi="Times New Roman"/>
              </w:rPr>
            </w:pPr>
            <w:r>
              <w:rPr>
                <w:rFonts w:ascii="Times New Roman" w:hAnsi="Times New Roman"/>
              </w:rPr>
              <w:t>d) wynagrodzenie osoby, która reprezentowała osobę udzielającą świadczenia przy zaw</w:t>
            </w:r>
            <w:r w:rsidR="00BD4393">
              <w:rPr>
                <w:rFonts w:ascii="Times New Roman" w:hAnsi="Times New Roman"/>
              </w:rPr>
              <w:t>arciu umów lub za pośrednictwem</w:t>
            </w:r>
            <w:r>
              <w:rPr>
                <w:rFonts w:ascii="Times New Roman" w:hAnsi="Times New Roman"/>
              </w:rPr>
              <w:t xml:space="preserve"> której udzielający świadczenia zawarł te umowy lub udzielił świadczenia, bezpośrednio ponoszone przez osobę, na rzecz której udzielono świadczenia</w:t>
            </w:r>
          </w:p>
          <w:p w14:paraId="545E80E9" w14:textId="77777777" w:rsidR="004D2268" w:rsidRPr="00D52303" w:rsidRDefault="004D2268" w:rsidP="000F2DCD">
            <w:pPr>
              <w:ind w:left="774" w:right="50"/>
              <w:jc w:val="both"/>
              <w:rPr>
                <w:rFonts w:ascii="Times New Roman" w:hAnsi="Times New Roman"/>
              </w:rPr>
            </w:pPr>
            <w:r>
              <w:rPr>
                <w:rFonts w:ascii="Times New Roman" w:hAnsi="Times New Roman"/>
              </w:rPr>
              <w:t xml:space="preserve"> </w:t>
            </w:r>
            <w:r w:rsidRPr="00D52303">
              <w:rPr>
                <w:rFonts w:ascii="Times New Roman" w:hAnsi="Times New Roman"/>
              </w:rPr>
              <w:t xml:space="preserve">z </w:t>
            </w:r>
            <w:r>
              <w:rPr>
                <w:rFonts w:ascii="Times New Roman" w:hAnsi="Times New Roman"/>
              </w:rPr>
              <w:t>wyłączeniem</w:t>
            </w:r>
            <w:r w:rsidRPr="00D52303">
              <w:rPr>
                <w:rFonts w:ascii="Times New Roman" w:hAnsi="Times New Roman"/>
              </w:rPr>
              <w:t xml:space="preserve"> opłat notarialnych oraz opłat i danin </w:t>
            </w:r>
            <w:r>
              <w:rPr>
                <w:rFonts w:ascii="Times New Roman" w:hAnsi="Times New Roman"/>
              </w:rPr>
              <w:t xml:space="preserve">o charakterze </w:t>
            </w:r>
            <w:r w:rsidRPr="00D52303">
              <w:rPr>
                <w:rFonts w:ascii="Times New Roman" w:hAnsi="Times New Roman"/>
              </w:rPr>
              <w:t>publiczn</w:t>
            </w:r>
            <w:r>
              <w:rPr>
                <w:rFonts w:ascii="Times New Roman" w:hAnsi="Times New Roman"/>
              </w:rPr>
              <w:t>oprawnym</w:t>
            </w:r>
            <w:r w:rsidRPr="00D52303">
              <w:rPr>
                <w:rFonts w:ascii="Times New Roman" w:hAnsi="Times New Roman"/>
              </w:rPr>
              <w:t>, które stron</w:t>
            </w:r>
            <w:r>
              <w:rPr>
                <w:rFonts w:ascii="Times New Roman" w:hAnsi="Times New Roman"/>
              </w:rPr>
              <w:t>y</w:t>
            </w:r>
            <w:r w:rsidRPr="00D52303">
              <w:rPr>
                <w:rFonts w:ascii="Times New Roman" w:hAnsi="Times New Roman"/>
              </w:rPr>
              <w:t xml:space="preserve"> um</w:t>
            </w:r>
            <w:r>
              <w:rPr>
                <w:rFonts w:ascii="Times New Roman" w:hAnsi="Times New Roman"/>
              </w:rPr>
              <w:t>ów</w:t>
            </w:r>
            <w:r w:rsidRPr="00D52303">
              <w:rPr>
                <w:rFonts w:ascii="Times New Roman" w:hAnsi="Times New Roman"/>
              </w:rPr>
              <w:t xml:space="preserve"> </w:t>
            </w:r>
            <w:r>
              <w:rPr>
                <w:rFonts w:ascii="Times New Roman" w:hAnsi="Times New Roman"/>
              </w:rPr>
              <w:t>będą</w:t>
            </w:r>
            <w:r w:rsidRPr="00D52303">
              <w:rPr>
                <w:rFonts w:ascii="Times New Roman" w:hAnsi="Times New Roman"/>
              </w:rPr>
              <w:t xml:space="preserve"> zobowiązan</w:t>
            </w:r>
            <w:r>
              <w:rPr>
                <w:rFonts w:ascii="Times New Roman" w:hAnsi="Times New Roman"/>
              </w:rPr>
              <w:t>e</w:t>
            </w:r>
            <w:r w:rsidRPr="00D52303">
              <w:rPr>
                <w:rFonts w:ascii="Times New Roman" w:hAnsi="Times New Roman"/>
              </w:rPr>
              <w:t xml:space="preserve"> ponieść w związku z zawarciem </w:t>
            </w:r>
            <w:r>
              <w:rPr>
                <w:rFonts w:ascii="Times New Roman" w:hAnsi="Times New Roman"/>
              </w:rPr>
              <w:t xml:space="preserve">tych </w:t>
            </w:r>
            <w:r w:rsidRPr="00D52303">
              <w:rPr>
                <w:rFonts w:ascii="Times New Roman" w:hAnsi="Times New Roman"/>
              </w:rPr>
              <w:t>um</w:t>
            </w:r>
            <w:r>
              <w:rPr>
                <w:rFonts w:ascii="Times New Roman" w:hAnsi="Times New Roman"/>
              </w:rPr>
              <w:t>ów</w:t>
            </w:r>
            <w:r w:rsidRPr="00D52303">
              <w:rPr>
                <w:rFonts w:ascii="Times New Roman" w:hAnsi="Times New Roman"/>
              </w:rPr>
              <w:t>.</w:t>
            </w:r>
          </w:p>
          <w:p w14:paraId="4884538B" w14:textId="77777777" w:rsidR="004D2268" w:rsidRPr="00D52303" w:rsidRDefault="004D2268" w:rsidP="000F2DCD">
            <w:pPr>
              <w:jc w:val="both"/>
              <w:rPr>
                <w:rFonts w:ascii="Times New Roman" w:hAnsi="Times New Roman"/>
                <w:color w:val="000000"/>
                <w:spacing w:val="-2"/>
              </w:rPr>
            </w:pPr>
          </w:p>
          <w:p w14:paraId="1785E0BA" w14:textId="77777777" w:rsidR="004D2268" w:rsidRPr="00A12040" w:rsidRDefault="004D2268" w:rsidP="000F2DCD">
            <w:pPr>
              <w:jc w:val="both"/>
              <w:rPr>
                <w:rFonts w:ascii="Times New Roman" w:hAnsi="Times New Roman"/>
                <w:color w:val="000000"/>
                <w:spacing w:val="-2"/>
              </w:rPr>
            </w:pPr>
            <w:r w:rsidRPr="008415AE">
              <w:rPr>
                <w:rFonts w:ascii="Times New Roman" w:hAnsi="Times New Roman"/>
                <w:color w:val="000000"/>
                <w:spacing w:val="-2"/>
              </w:rPr>
              <w:t>2)</w:t>
            </w:r>
            <w:r>
              <w:rPr>
                <w:rFonts w:ascii="Times New Roman" w:hAnsi="Times New Roman"/>
                <w:b/>
                <w:color w:val="000000"/>
                <w:spacing w:val="-2"/>
              </w:rPr>
              <w:t xml:space="preserve"> </w:t>
            </w:r>
            <w:r w:rsidRPr="00AE2EDE">
              <w:rPr>
                <w:rFonts w:ascii="Times New Roman" w:hAnsi="Times New Roman"/>
                <w:b/>
                <w:color w:val="000000"/>
                <w:spacing w:val="-2"/>
              </w:rPr>
              <w:t>wprowadzić penalizację zachowania polegającego na żądaniu</w:t>
            </w:r>
            <w:r>
              <w:rPr>
                <w:rFonts w:ascii="Times New Roman" w:hAnsi="Times New Roman"/>
                <w:b/>
                <w:color w:val="000000"/>
                <w:spacing w:val="-2"/>
              </w:rPr>
              <w:t xml:space="preserve"> zapłaty:</w:t>
            </w:r>
          </w:p>
          <w:p w14:paraId="060B0243" w14:textId="77777777" w:rsidR="004D2268" w:rsidRDefault="004D2268" w:rsidP="000F2DCD">
            <w:pPr>
              <w:jc w:val="both"/>
              <w:rPr>
                <w:rFonts w:ascii="Times New Roman" w:hAnsi="Times New Roman"/>
                <w:b/>
                <w:color w:val="000000"/>
                <w:spacing w:val="-2"/>
              </w:rPr>
            </w:pPr>
            <w:r>
              <w:rPr>
                <w:rFonts w:ascii="Times New Roman" w:hAnsi="Times New Roman"/>
                <w:b/>
                <w:color w:val="000000"/>
                <w:spacing w:val="-2"/>
              </w:rPr>
              <w:t xml:space="preserve">a) kosztów </w:t>
            </w:r>
            <w:proofErr w:type="spellStart"/>
            <w:r>
              <w:rPr>
                <w:rFonts w:ascii="Times New Roman" w:hAnsi="Times New Roman"/>
                <w:b/>
                <w:color w:val="000000"/>
                <w:spacing w:val="-2"/>
              </w:rPr>
              <w:t>pozaodsetkowych</w:t>
            </w:r>
            <w:proofErr w:type="spellEnd"/>
            <w:r>
              <w:rPr>
                <w:rFonts w:ascii="Times New Roman" w:hAnsi="Times New Roman"/>
                <w:b/>
                <w:color w:val="000000"/>
                <w:spacing w:val="-2"/>
              </w:rPr>
              <w:t xml:space="preserve"> w kwocie co najmniej dwukrotnie przekraczającej maksymalną wysokość kosztów określonych w ustawie;</w:t>
            </w:r>
          </w:p>
          <w:p w14:paraId="6F626AC7" w14:textId="77777777" w:rsidR="004D2268" w:rsidRPr="00A12040" w:rsidRDefault="004D2268" w:rsidP="000F2DCD">
            <w:pPr>
              <w:jc w:val="both"/>
              <w:rPr>
                <w:rFonts w:ascii="Times New Roman" w:hAnsi="Times New Roman"/>
                <w:color w:val="000000"/>
                <w:spacing w:val="-2"/>
              </w:rPr>
            </w:pPr>
            <w:r>
              <w:rPr>
                <w:rFonts w:ascii="Times New Roman" w:hAnsi="Times New Roman"/>
                <w:b/>
                <w:color w:val="000000"/>
                <w:spacing w:val="-2"/>
              </w:rPr>
              <w:t>b) odsetek w wysokości co najmniej dwukrotnie przekraczającej stopę odsetek maksymalnych określoną ustawą</w:t>
            </w:r>
          </w:p>
          <w:p w14:paraId="2DA7351A" w14:textId="77777777" w:rsidR="004D2268" w:rsidRPr="00A12040" w:rsidRDefault="004D2268" w:rsidP="000F2DCD">
            <w:pPr>
              <w:ind w:left="774"/>
              <w:jc w:val="both"/>
              <w:rPr>
                <w:rFonts w:ascii="Times New Roman" w:hAnsi="Times New Roman"/>
                <w:color w:val="000000"/>
                <w:spacing w:val="-2"/>
              </w:rPr>
            </w:pPr>
          </w:p>
          <w:p w14:paraId="02ACF400" w14:textId="77777777" w:rsidR="004D2268" w:rsidRPr="00AE2EDE" w:rsidRDefault="004D2268" w:rsidP="003837C0">
            <w:pPr>
              <w:jc w:val="both"/>
              <w:rPr>
                <w:rFonts w:ascii="Times New Roman" w:hAnsi="Times New Roman"/>
                <w:color w:val="000000"/>
                <w:spacing w:val="-2"/>
              </w:rPr>
            </w:pPr>
            <w:r>
              <w:rPr>
                <w:rFonts w:ascii="Times New Roman" w:hAnsi="Times New Roman"/>
                <w:b/>
                <w:color w:val="000000"/>
                <w:spacing w:val="-2"/>
              </w:rPr>
              <w:t>Powyżej stypizowane zachowanie podlegać będzie karze pozbawienia wolności od 3 miesięcy do lat 5.</w:t>
            </w:r>
            <w:r w:rsidRPr="00AE2EDE">
              <w:rPr>
                <w:rFonts w:ascii="Times New Roman" w:hAnsi="Times New Roman"/>
                <w:color w:val="000000"/>
                <w:spacing w:val="-2"/>
              </w:rPr>
              <w:t>Formuła projektowanego art. 304 § 2 k.k. powoduje że znajdzie on zastosowanie także</w:t>
            </w:r>
            <w:r>
              <w:rPr>
                <w:rFonts w:ascii="Times New Roman" w:hAnsi="Times New Roman"/>
                <w:color w:val="000000"/>
                <w:spacing w:val="-2"/>
              </w:rPr>
              <w:t xml:space="preserve"> do</w:t>
            </w:r>
            <w:r w:rsidRPr="00AE2EDE">
              <w:rPr>
                <w:rFonts w:ascii="Times New Roman" w:hAnsi="Times New Roman"/>
                <w:color w:val="000000"/>
                <w:spacing w:val="-2"/>
              </w:rPr>
              <w:t xml:space="preserve"> nowych czynów popełnionych po wejściu w życie projektowanej nowelizacji, ale na podstawie umów zawartych przed wejściem w życie niniejszej nowelizacji. </w:t>
            </w:r>
          </w:p>
          <w:p w14:paraId="40195767" w14:textId="77777777" w:rsidR="004D2268" w:rsidRDefault="004D2268" w:rsidP="000F2DCD">
            <w:pPr>
              <w:jc w:val="both"/>
              <w:rPr>
                <w:rFonts w:ascii="Times New Roman" w:hAnsi="Times New Roman"/>
                <w:color w:val="000000"/>
                <w:spacing w:val="-2"/>
              </w:rPr>
            </w:pPr>
          </w:p>
          <w:p w14:paraId="273AD520" w14:textId="77777777" w:rsidR="004D2268" w:rsidRDefault="004D2268" w:rsidP="000F2DCD">
            <w:pPr>
              <w:ind w:right="43"/>
              <w:jc w:val="both"/>
              <w:rPr>
                <w:rFonts w:ascii="Times New Roman" w:hAnsi="Times New Roman"/>
              </w:rPr>
            </w:pPr>
            <w:r w:rsidRPr="00D52303">
              <w:rPr>
                <w:rFonts w:ascii="Times New Roman" w:hAnsi="Times New Roman"/>
              </w:rPr>
              <w:t>W celu wzmocnienia ochrony osób korzystających z usług podmiotów udzielających świadczeń pieniężnych w oparciu o</w:t>
            </w:r>
            <w:r>
              <w:rPr>
                <w:rFonts w:ascii="Times New Roman" w:hAnsi="Times New Roman"/>
              </w:rPr>
              <w:t> </w:t>
            </w:r>
            <w:r w:rsidRPr="00D52303">
              <w:rPr>
                <w:rFonts w:ascii="Times New Roman" w:hAnsi="Times New Roman"/>
              </w:rPr>
              <w:t xml:space="preserve">przepisy ustawy o kredycie konsumenckim przed ich nieuczciwymi praktykami, w art. 1 ust. 2 </w:t>
            </w:r>
            <w:r w:rsidRPr="00D52303">
              <w:rPr>
                <w:rFonts w:ascii="Times New Roman" w:hAnsi="Times New Roman"/>
                <w:i/>
              </w:rPr>
              <w:t>ustawy z dnia 21 lipca 2006 r. o nadzorze nad rynkiem finansowym</w:t>
            </w:r>
            <w:r w:rsidRPr="00D52303">
              <w:rPr>
                <w:rFonts w:ascii="Times New Roman" w:hAnsi="Times New Roman"/>
              </w:rPr>
              <w:t xml:space="preserve"> (Dz. U. z </w:t>
            </w:r>
            <w:r w:rsidR="00C52A60" w:rsidRPr="00D52303">
              <w:rPr>
                <w:rFonts w:ascii="Times New Roman" w:hAnsi="Times New Roman"/>
              </w:rPr>
              <w:t>201</w:t>
            </w:r>
            <w:r w:rsidR="00C52A60">
              <w:rPr>
                <w:rFonts w:ascii="Times New Roman" w:hAnsi="Times New Roman"/>
              </w:rPr>
              <w:t>9</w:t>
            </w:r>
            <w:r w:rsidR="00C52A60" w:rsidRPr="00D52303">
              <w:rPr>
                <w:rFonts w:ascii="Times New Roman" w:hAnsi="Times New Roman"/>
              </w:rPr>
              <w:t xml:space="preserve"> </w:t>
            </w:r>
            <w:r w:rsidRPr="00D52303">
              <w:rPr>
                <w:rFonts w:ascii="Times New Roman" w:hAnsi="Times New Roman"/>
              </w:rPr>
              <w:t xml:space="preserve">r. poz. </w:t>
            </w:r>
            <w:r w:rsidR="007611A4">
              <w:rPr>
                <w:rFonts w:ascii="Times New Roman" w:hAnsi="Times New Roman"/>
              </w:rPr>
              <w:t>298, 326, 730 i 875</w:t>
            </w:r>
            <w:r w:rsidRPr="00D52303">
              <w:rPr>
                <w:rFonts w:ascii="Times New Roman" w:hAnsi="Times New Roman"/>
              </w:rPr>
              <w:t>) zosta</w:t>
            </w:r>
            <w:r>
              <w:rPr>
                <w:rFonts w:ascii="Times New Roman" w:hAnsi="Times New Roman"/>
              </w:rPr>
              <w:t>nie</w:t>
            </w:r>
            <w:r w:rsidRPr="00D52303">
              <w:rPr>
                <w:rFonts w:ascii="Times New Roman" w:hAnsi="Times New Roman"/>
                <w:b/>
              </w:rPr>
              <w:t xml:space="preserve"> wprowadzony przepis o nadzorze nad instytucjami pożyczkowymi </w:t>
            </w:r>
            <w:r w:rsidRPr="00D52303">
              <w:rPr>
                <w:rFonts w:ascii="Times New Roman" w:hAnsi="Times New Roman"/>
              </w:rPr>
              <w:t>sprawowany zgodnie z przepisami ustawy o kredycie konsumenckim</w:t>
            </w:r>
            <w:r>
              <w:rPr>
                <w:rFonts w:ascii="Times New Roman" w:hAnsi="Times New Roman"/>
              </w:rPr>
              <w:t xml:space="preserve"> (art. 5 projektu)</w:t>
            </w:r>
            <w:r w:rsidRPr="00D52303">
              <w:rPr>
                <w:rFonts w:ascii="Times New Roman" w:hAnsi="Times New Roman"/>
              </w:rPr>
              <w:t xml:space="preserve">. </w:t>
            </w:r>
          </w:p>
          <w:p w14:paraId="170EFAC7" w14:textId="77777777" w:rsidR="002C7CB3" w:rsidRDefault="002C7CB3" w:rsidP="000F2DCD">
            <w:pPr>
              <w:ind w:right="43"/>
              <w:jc w:val="both"/>
              <w:rPr>
                <w:rFonts w:ascii="Times New Roman" w:hAnsi="Times New Roman"/>
              </w:rPr>
            </w:pPr>
          </w:p>
          <w:p w14:paraId="34B76914" w14:textId="77777777" w:rsidR="002C7CB3" w:rsidRDefault="002C7CB3" w:rsidP="000F2DCD">
            <w:pPr>
              <w:ind w:right="43"/>
              <w:jc w:val="both"/>
              <w:rPr>
                <w:rFonts w:ascii="Times New Roman" w:hAnsi="Times New Roman"/>
              </w:rPr>
            </w:pPr>
            <w:r w:rsidRPr="00862FEE">
              <w:rPr>
                <w:rFonts w:ascii="Times New Roman" w:hAnsi="Times New Roman"/>
              </w:rPr>
              <w:t xml:space="preserve">Jednocześnie </w:t>
            </w:r>
            <w:r w:rsidR="006C5D12" w:rsidRPr="00862FEE">
              <w:rPr>
                <w:rFonts w:ascii="Times New Roman" w:hAnsi="Times New Roman"/>
              </w:rPr>
              <w:t>przewiduje się, że</w:t>
            </w:r>
            <w:r w:rsidRPr="00862FEE">
              <w:rPr>
                <w:rFonts w:ascii="Times New Roman" w:hAnsi="Times New Roman"/>
              </w:rPr>
              <w:t xml:space="preserve"> instytucje pożyczkowe </w:t>
            </w:r>
            <w:r w:rsidR="006C5D12" w:rsidRPr="00862FEE">
              <w:rPr>
                <w:rFonts w:ascii="Times New Roman" w:hAnsi="Times New Roman"/>
              </w:rPr>
              <w:t>zostaną zobligowan</w:t>
            </w:r>
            <w:r w:rsidR="009F08CF">
              <w:rPr>
                <w:rFonts w:ascii="Times New Roman" w:hAnsi="Times New Roman"/>
              </w:rPr>
              <w:t>e</w:t>
            </w:r>
            <w:r w:rsidR="006C5D12" w:rsidRPr="00862FEE">
              <w:rPr>
                <w:rFonts w:ascii="Times New Roman" w:hAnsi="Times New Roman"/>
              </w:rPr>
              <w:t xml:space="preserve"> do ponoszenia opłat na pokrycie kosztów nadzoru sprawowanego przez Komisję Nadzoru Finansowego</w:t>
            </w:r>
            <w:r w:rsidR="00600EE0" w:rsidRPr="00862FEE">
              <w:rPr>
                <w:rFonts w:ascii="Times New Roman" w:hAnsi="Times New Roman"/>
              </w:rPr>
              <w:t xml:space="preserve">. Roczne opłaty będą </w:t>
            </w:r>
            <w:r w:rsidR="00F441DA" w:rsidRPr="00862FEE">
              <w:rPr>
                <w:rFonts w:ascii="Times New Roman" w:hAnsi="Times New Roman"/>
              </w:rPr>
              <w:t>wynosić</w:t>
            </w:r>
            <w:r w:rsidR="00600EE0" w:rsidRPr="00862FEE">
              <w:rPr>
                <w:rFonts w:ascii="Times New Roman" w:hAnsi="Times New Roman"/>
              </w:rPr>
              <w:t xml:space="preserve"> </w:t>
            </w:r>
            <w:r w:rsidR="009F08CF">
              <w:rPr>
                <w:rFonts w:ascii="Times New Roman" w:hAnsi="Times New Roman"/>
              </w:rPr>
              <w:t>nie więcej niż 20 000 zł.</w:t>
            </w:r>
            <w:r w:rsidR="00A459EC" w:rsidRPr="00862FEE">
              <w:rPr>
                <w:rFonts w:ascii="Times New Roman" w:hAnsi="Times New Roman"/>
              </w:rPr>
              <w:t xml:space="preserve"> Opłaty ustanowione na takim poziomie wpisują się w </w:t>
            </w:r>
            <w:r w:rsidR="00183205" w:rsidRPr="00862FEE">
              <w:rPr>
                <w:rFonts w:ascii="Times New Roman" w:hAnsi="Times New Roman"/>
              </w:rPr>
              <w:t xml:space="preserve">stawki opłat ustalone dla innych podmiotów nadzorowanych przez KNF. Tabela poniżej przedstawia wybrane podmioty </w:t>
            </w:r>
            <w:r w:rsidR="002F77B2" w:rsidRPr="00862FEE">
              <w:rPr>
                <w:rFonts w:ascii="Times New Roman" w:hAnsi="Times New Roman"/>
              </w:rPr>
              <w:t>nadzorowane,</w:t>
            </w:r>
            <w:r w:rsidR="00183205" w:rsidRPr="00862FEE">
              <w:rPr>
                <w:rFonts w:ascii="Times New Roman" w:hAnsi="Times New Roman"/>
              </w:rPr>
              <w:t xml:space="preserve"> </w:t>
            </w:r>
            <w:r w:rsidR="00E6062F" w:rsidRPr="00862FEE">
              <w:rPr>
                <w:rFonts w:ascii="Times New Roman" w:hAnsi="Times New Roman"/>
              </w:rPr>
              <w:t>zobowiązane do wnoszenia podobnych opłat.</w:t>
            </w:r>
          </w:p>
          <w:p w14:paraId="7B46F45C" w14:textId="77777777" w:rsidR="006C5D12" w:rsidRDefault="006C5D12" w:rsidP="000F2DCD">
            <w:pPr>
              <w:ind w:right="43"/>
              <w:jc w:val="both"/>
              <w:rPr>
                <w:rFonts w:ascii="Times New Roman" w:hAnsi="Times New Roman"/>
              </w:rPr>
            </w:pPr>
          </w:p>
          <w:tbl>
            <w:tblPr>
              <w:tblW w:w="9210" w:type="dxa"/>
              <w:jc w:val="center"/>
              <w:tblLayout w:type="fixed"/>
              <w:tblLook w:val="04A0" w:firstRow="1" w:lastRow="0" w:firstColumn="1" w:lastColumn="0" w:noHBand="0" w:noVBand="1"/>
            </w:tblPr>
            <w:tblGrid>
              <w:gridCol w:w="530"/>
              <w:gridCol w:w="4114"/>
              <w:gridCol w:w="4566"/>
            </w:tblGrid>
            <w:tr w:rsidR="005C7027" w:rsidRPr="005C7027" w14:paraId="278F394A" w14:textId="77777777" w:rsidTr="005C7027">
              <w:trPr>
                <w:trHeight w:val="254"/>
                <w:jc w:val="center"/>
              </w:trPr>
              <w:tc>
                <w:tcPr>
                  <w:tcW w:w="9210" w:type="dxa"/>
                  <w:gridSpan w:val="3"/>
                  <w:shd w:val="clear" w:color="auto" w:fill="D99594"/>
                </w:tcPr>
                <w:p w14:paraId="6C19744A" w14:textId="77777777" w:rsidR="00FC1040" w:rsidRPr="005C7027" w:rsidRDefault="00FC1040" w:rsidP="005C7027">
                  <w:pPr>
                    <w:spacing w:before="120" w:after="120"/>
                    <w:ind w:left="426"/>
                    <w:rPr>
                      <w:rFonts w:ascii="Times New Roman" w:hAnsi="Times New Roman"/>
                      <w:b/>
                      <w:bCs/>
                      <w:color w:val="FFFFFF"/>
                    </w:rPr>
                  </w:pPr>
                  <w:r w:rsidRPr="005C7027">
                    <w:rPr>
                      <w:rFonts w:ascii="Times New Roman" w:hAnsi="Times New Roman"/>
                      <w:b/>
                      <w:bCs/>
                    </w:rPr>
                    <w:t>RYNEK KAPITAŁOWY</w:t>
                  </w:r>
                </w:p>
              </w:tc>
            </w:tr>
            <w:tr w:rsidR="00FC1040" w:rsidRPr="005C7027" w14:paraId="5C63780D" w14:textId="77777777" w:rsidTr="005C7027">
              <w:trPr>
                <w:trHeight w:val="519"/>
                <w:jc w:val="center"/>
              </w:trPr>
              <w:tc>
                <w:tcPr>
                  <w:tcW w:w="530" w:type="dxa"/>
                  <w:tcBorders>
                    <w:bottom w:val="single" w:sz="4" w:space="0" w:color="auto"/>
                    <w:right w:val="dashed" w:sz="4" w:space="0" w:color="auto"/>
                  </w:tcBorders>
                  <w:shd w:val="clear" w:color="auto" w:fill="F2F2F2"/>
                </w:tcPr>
                <w:p w14:paraId="3C958FD8" w14:textId="77777777" w:rsidR="00FC1040" w:rsidRPr="005C7027" w:rsidRDefault="00FC1040" w:rsidP="005C7027">
                  <w:pPr>
                    <w:pStyle w:val="Default"/>
                    <w:spacing w:before="120" w:after="120"/>
                    <w:rPr>
                      <w:rFonts w:ascii="Times New Roman" w:hAnsi="Times New Roman" w:cs="Times New Roman"/>
                      <w:b/>
                      <w:bCs/>
                      <w:sz w:val="22"/>
                      <w:szCs w:val="22"/>
                    </w:rPr>
                  </w:pPr>
                  <w:r w:rsidRPr="005C7027">
                    <w:rPr>
                      <w:rFonts w:ascii="Times New Roman" w:hAnsi="Times New Roman" w:cs="Times New Roman"/>
                      <w:b/>
                      <w:bCs/>
                      <w:sz w:val="22"/>
                      <w:szCs w:val="22"/>
                    </w:rPr>
                    <w:t>lp.</w:t>
                  </w:r>
                </w:p>
              </w:tc>
              <w:tc>
                <w:tcPr>
                  <w:tcW w:w="8680" w:type="dxa"/>
                  <w:gridSpan w:val="2"/>
                  <w:tcBorders>
                    <w:left w:val="dashed" w:sz="4" w:space="0" w:color="auto"/>
                    <w:bottom w:val="single" w:sz="4" w:space="0" w:color="auto"/>
                    <w:right w:val="dashed" w:sz="4" w:space="0" w:color="auto"/>
                  </w:tcBorders>
                  <w:shd w:val="clear" w:color="auto" w:fill="F2F2F2"/>
                </w:tcPr>
                <w:p w14:paraId="50BC21A4" w14:textId="77777777" w:rsidR="00FC1040" w:rsidRPr="005C7027" w:rsidRDefault="00FC1040" w:rsidP="005C7027">
                  <w:pPr>
                    <w:pStyle w:val="Default"/>
                    <w:spacing w:before="120" w:after="120"/>
                    <w:jc w:val="both"/>
                    <w:rPr>
                      <w:rFonts w:ascii="Times New Roman" w:hAnsi="Times New Roman" w:cs="Times New Roman"/>
                      <w:sz w:val="22"/>
                      <w:szCs w:val="22"/>
                    </w:rPr>
                  </w:pPr>
                  <w:r w:rsidRPr="005C7027">
                    <w:rPr>
                      <w:rFonts w:ascii="Times New Roman" w:hAnsi="Times New Roman" w:cs="Times New Roman"/>
                      <w:sz w:val="22"/>
                      <w:szCs w:val="22"/>
                    </w:rPr>
                    <w:t>Podmioty nadzorowane zobowiązane do wnoszenia opłat rocznych o stałej wysokości, wysokość opłat oraz terminy ich wnoszenia (Stan prawny na dzień 1 września 2016 r.):</w:t>
                  </w:r>
                </w:p>
              </w:tc>
            </w:tr>
            <w:tr w:rsidR="005C7027" w:rsidRPr="005C7027" w14:paraId="4E8B3A15" w14:textId="77777777" w:rsidTr="005C7027">
              <w:trPr>
                <w:trHeight w:val="436"/>
                <w:jc w:val="center"/>
              </w:trPr>
              <w:tc>
                <w:tcPr>
                  <w:tcW w:w="530" w:type="dxa"/>
                  <w:tcBorders>
                    <w:top w:val="single" w:sz="4" w:space="0" w:color="auto"/>
                    <w:bottom w:val="dashed" w:sz="4" w:space="0" w:color="auto"/>
                    <w:right w:val="dashed" w:sz="4" w:space="0" w:color="auto"/>
                  </w:tcBorders>
                  <w:shd w:val="clear" w:color="auto" w:fill="EDF2F8"/>
                  <w:vAlign w:val="center"/>
                </w:tcPr>
                <w:p w14:paraId="6F018501" w14:textId="77777777" w:rsidR="00FC1040" w:rsidRPr="005C7027" w:rsidRDefault="00FC1040" w:rsidP="005C7027">
                  <w:pPr>
                    <w:pStyle w:val="Akapitzlist"/>
                    <w:numPr>
                      <w:ilvl w:val="0"/>
                      <w:numId w:val="26"/>
                    </w:numPr>
                    <w:spacing w:line="240" w:lineRule="auto"/>
                    <w:rPr>
                      <w:rFonts w:ascii="Times New Roman" w:hAnsi="Times New Roman"/>
                      <w:b/>
                      <w:bCs/>
                      <w:color w:val="000000"/>
                    </w:rPr>
                  </w:pPr>
                </w:p>
              </w:tc>
              <w:tc>
                <w:tcPr>
                  <w:tcW w:w="4114" w:type="dxa"/>
                  <w:tcBorders>
                    <w:top w:val="single" w:sz="4" w:space="0" w:color="auto"/>
                    <w:left w:val="dashed" w:sz="4" w:space="0" w:color="auto"/>
                    <w:bottom w:val="dashed" w:sz="4" w:space="0" w:color="auto"/>
                    <w:right w:val="dashed" w:sz="4" w:space="0" w:color="auto"/>
                  </w:tcBorders>
                  <w:shd w:val="clear" w:color="auto" w:fill="EDF2F8"/>
                  <w:vAlign w:val="center"/>
                </w:tcPr>
                <w:p w14:paraId="285861FD"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 agencje informacyjne</w:t>
                  </w:r>
                </w:p>
              </w:tc>
              <w:tc>
                <w:tcPr>
                  <w:tcW w:w="4566" w:type="dxa"/>
                  <w:tcBorders>
                    <w:top w:val="single" w:sz="4" w:space="0" w:color="auto"/>
                    <w:left w:val="dashed" w:sz="4" w:space="0" w:color="auto"/>
                    <w:bottom w:val="dashed" w:sz="4" w:space="0" w:color="auto"/>
                    <w:right w:val="dashed" w:sz="4" w:space="0" w:color="auto"/>
                  </w:tcBorders>
                  <w:shd w:val="clear" w:color="auto" w:fill="EDF2F8"/>
                  <w:vAlign w:val="center"/>
                </w:tcPr>
                <w:p w14:paraId="61B3ECAB"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opłata roczna w wysokości równowartości </w:t>
                  </w:r>
                  <w:r w:rsidRPr="005C7027">
                    <w:rPr>
                      <w:rFonts w:ascii="Times New Roman" w:hAnsi="Times New Roman"/>
                      <w:color w:val="000000"/>
                    </w:rPr>
                    <w:br/>
                  </w:r>
                  <w:r w:rsidRPr="005C7027">
                    <w:rPr>
                      <w:rFonts w:ascii="Times New Roman" w:hAnsi="Times New Roman"/>
                      <w:b/>
                      <w:color w:val="000000"/>
                    </w:rPr>
                    <w:t>w złotych 10 000 euro</w:t>
                  </w:r>
                </w:p>
              </w:tc>
            </w:tr>
            <w:tr w:rsidR="005C7027" w:rsidRPr="005C7027" w14:paraId="78FF9BD3" w14:textId="77777777" w:rsidTr="005C7027">
              <w:trPr>
                <w:trHeight w:val="265"/>
                <w:jc w:val="center"/>
              </w:trPr>
              <w:tc>
                <w:tcPr>
                  <w:tcW w:w="530" w:type="dxa"/>
                  <w:tcBorders>
                    <w:top w:val="dashed" w:sz="4" w:space="0" w:color="auto"/>
                    <w:bottom w:val="dashed" w:sz="4" w:space="0" w:color="auto"/>
                    <w:right w:val="dashed" w:sz="4" w:space="0" w:color="auto"/>
                  </w:tcBorders>
                  <w:shd w:val="clear" w:color="auto" w:fill="FFFFFF"/>
                  <w:vAlign w:val="center"/>
                </w:tcPr>
                <w:p w14:paraId="4E4008ED" w14:textId="77777777" w:rsidR="00FC1040" w:rsidRPr="005C7027" w:rsidRDefault="00FC1040" w:rsidP="005C7027">
                  <w:pPr>
                    <w:pStyle w:val="Akapitzlist"/>
                    <w:numPr>
                      <w:ilvl w:val="0"/>
                      <w:numId w:val="26"/>
                    </w:numPr>
                    <w:spacing w:line="240" w:lineRule="auto"/>
                    <w:rPr>
                      <w:rFonts w:ascii="Times New Roman" w:hAnsi="Times New Roman"/>
                      <w:b/>
                      <w:bCs/>
                      <w:color w:val="000000"/>
                    </w:rPr>
                  </w:pPr>
                </w:p>
              </w:tc>
              <w:tc>
                <w:tcPr>
                  <w:tcW w:w="4114" w:type="dxa"/>
                  <w:tcBorders>
                    <w:top w:val="dashed" w:sz="4" w:space="0" w:color="auto"/>
                    <w:left w:val="dashed" w:sz="4" w:space="0" w:color="auto"/>
                    <w:bottom w:val="dashed" w:sz="4" w:space="0" w:color="auto"/>
                    <w:right w:val="dashed" w:sz="4" w:space="0" w:color="auto"/>
                  </w:tcBorders>
                  <w:shd w:val="clear" w:color="auto" w:fill="FFFFFF"/>
                  <w:vAlign w:val="center"/>
                </w:tcPr>
                <w:p w14:paraId="09A34903"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podmioty posiadające zezwolenie na prowadzenie rachunków i rejestrów towarów giełdowych</w:t>
                  </w:r>
                </w:p>
              </w:tc>
              <w:tc>
                <w:tcPr>
                  <w:tcW w:w="4566" w:type="dxa"/>
                  <w:tcBorders>
                    <w:top w:val="dashed" w:sz="4" w:space="0" w:color="auto"/>
                    <w:left w:val="dashed" w:sz="4" w:space="0" w:color="auto"/>
                    <w:bottom w:val="dashed" w:sz="4" w:space="0" w:color="auto"/>
                    <w:right w:val="dashed" w:sz="4" w:space="0" w:color="auto"/>
                  </w:tcBorders>
                  <w:shd w:val="clear" w:color="auto" w:fill="FFFFFF"/>
                  <w:vAlign w:val="center"/>
                </w:tcPr>
                <w:p w14:paraId="5834B48E"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opłata roczna opłatę w wysokości równowartości </w:t>
                  </w:r>
                  <w:r w:rsidRPr="005C7027">
                    <w:rPr>
                      <w:rFonts w:ascii="Times New Roman" w:hAnsi="Times New Roman"/>
                      <w:b/>
                      <w:color w:val="000000"/>
                    </w:rPr>
                    <w:t>w złotych 750 euro</w:t>
                  </w:r>
                  <w:r w:rsidRPr="005C7027">
                    <w:rPr>
                      <w:rFonts w:ascii="Times New Roman" w:hAnsi="Times New Roman"/>
                      <w:color w:val="000000"/>
                    </w:rPr>
                    <w:t xml:space="preserve"> wnoszona jednorazowa (w pełnej wysokości)</w:t>
                  </w:r>
                </w:p>
              </w:tc>
            </w:tr>
            <w:tr w:rsidR="005C7027" w:rsidRPr="005C7027" w14:paraId="7FE11871" w14:textId="77777777" w:rsidTr="005C7027">
              <w:trPr>
                <w:trHeight w:val="254"/>
                <w:jc w:val="center"/>
              </w:trPr>
              <w:tc>
                <w:tcPr>
                  <w:tcW w:w="530" w:type="dxa"/>
                  <w:tcBorders>
                    <w:top w:val="dashed" w:sz="4" w:space="0" w:color="auto"/>
                    <w:bottom w:val="dashed" w:sz="4" w:space="0" w:color="auto"/>
                    <w:right w:val="dashed" w:sz="4" w:space="0" w:color="auto"/>
                  </w:tcBorders>
                  <w:shd w:val="clear" w:color="auto" w:fill="EDF2F8"/>
                  <w:vAlign w:val="center"/>
                </w:tcPr>
                <w:p w14:paraId="0109F19B" w14:textId="77777777" w:rsidR="00FC1040" w:rsidRPr="005C7027" w:rsidRDefault="00FC1040" w:rsidP="005C7027">
                  <w:pPr>
                    <w:pStyle w:val="Akapitzlist"/>
                    <w:numPr>
                      <w:ilvl w:val="0"/>
                      <w:numId w:val="26"/>
                    </w:numPr>
                    <w:spacing w:line="240" w:lineRule="auto"/>
                    <w:rPr>
                      <w:rFonts w:ascii="Times New Roman" w:hAnsi="Times New Roman"/>
                      <w:b/>
                      <w:bCs/>
                      <w:color w:val="000000"/>
                    </w:rPr>
                  </w:pPr>
                </w:p>
              </w:tc>
              <w:tc>
                <w:tcPr>
                  <w:tcW w:w="4114" w:type="dxa"/>
                  <w:tcBorders>
                    <w:top w:val="dashed" w:sz="4" w:space="0" w:color="auto"/>
                    <w:left w:val="dashed" w:sz="4" w:space="0" w:color="auto"/>
                    <w:bottom w:val="dashed" w:sz="4" w:space="0" w:color="auto"/>
                    <w:right w:val="dashed" w:sz="4" w:space="0" w:color="auto"/>
                  </w:tcBorders>
                  <w:shd w:val="clear" w:color="auto" w:fill="EDF2F8"/>
                  <w:vAlign w:val="center"/>
                </w:tcPr>
                <w:p w14:paraId="758675D6"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agenci transferowi funduszy inwestycyjnych (podmioty prowadzące rejestr uczestników funduszu inwestycyjnego, inne niż bank i dom maklerski)</w:t>
                  </w:r>
                </w:p>
              </w:tc>
              <w:tc>
                <w:tcPr>
                  <w:tcW w:w="4566" w:type="dxa"/>
                  <w:tcBorders>
                    <w:top w:val="dashed" w:sz="4" w:space="0" w:color="auto"/>
                    <w:left w:val="dashed" w:sz="4" w:space="0" w:color="auto"/>
                    <w:bottom w:val="dashed" w:sz="4" w:space="0" w:color="auto"/>
                    <w:right w:val="dashed" w:sz="4" w:space="0" w:color="auto"/>
                  </w:tcBorders>
                  <w:shd w:val="clear" w:color="auto" w:fill="EDF2F8"/>
                  <w:vAlign w:val="center"/>
                </w:tcPr>
                <w:p w14:paraId="42638B3A"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opłata roczna w wysokości równowartości </w:t>
                  </w:r>
                  <w:r w:rsidRPr="005C7027">
                    <w:rPr>
                      <w:rFonts w:ascii="Times New Roman" w:hAnsi="Times New Roman"/>
                      <w:color w:val="000000"/>
                    </w:rPr>
                    <w:br/>
                  </w:r>
                  <w:r w:rsidRPr="005C7027">
                    <w:rPr>
                      <w:rFonts w:ascii="Times New Roman" w:hAnsi="Times New Roman"/>
                      <w:b/>
                      <w:color w:val="000000"/>
                    </w:rPr>
                    <w:t>w złotych 1500 euro</w:t>
                  </w:r>
                  <w:r w:rsidRPr="005C7027">
                    <w:rPr>
                      <w:rFonts w:ascii="Times New Roman" w:hAnsi="Times New Roman"/>
                      <w:color w:val="000000"/>
                    </w:rPr>
                    <w:t xml:space="preserve"> wnoszona jednorazowa </w:t>
                  </w:r>
                  <w:r w:rsidRPr="005C7027">
                    <w:rPr>
                      <w:rFonts w:ascii="Times New Roman" w:hAnsi="Times New Roman"/>
                      <w:color w:val="000000"/>
                    </w:rPr>
                    <w:br/>
                    <w:t>(w pełnej wysokości)</w:t>
                  </w:r>
                </w:p>
              </w:tc>
            </w:tr>
            <w:tr w:rsidR="005C7027" w:rsidRPr="005C7027" w14:paraId="21903A61" w14:textId="77777777" w:rsidTr="005C7027">
              <w:trPr>
                <w:trHeight w:val="265"/>
                <w:jc w:val="center"/>
              </w:trPr>
              <w:tc>
                <w:tcPr>
                  <w:tcW w:w="530" w:type="dxa"/>
                  <w:tcBorders>
                    <w:top w:val="dashed" w:sz="4" w:space="0" w:color="auto"/>
                    <w:bottom w:val="dashed" w:sz="4" w:space="0" w:color="auto"/>
                    <w:right w:val="dashed" w:sz="4" w:space="0" w:color="auto"/>
                  </w:tcBorders>
                  <w:shd w:val="clear" w:color="auto" w:fill="FFFFFF"/>
                  <w:vAlign w:val="center"/>
                </w:tcPr>
                <w:p w14:paraId="7973A839" w14:textId="77777777" w:rsidR="00FC1040" w:rsidRPr="005C7027" w:rsidRDefault="00FC1040" w:rsidP="005C7027">
                  <w:pPr>
                    <w:pStyle w:val="Akapitzlist"/>
                    <w:numPr>
                      <w:ilvl w:val="0"/>
                      <w:numId w:val="26"/>
                    </w:numPr>
                    <w:spacing w:line="240" w:lineRule="auto"/>
                    <w:rPr>
                      <w:rFonts w:ascii="Times New Roman" w:hAnsi="Times New Roman"/>
                      <w:b/>
                      <w:bCs/>
                      <w:color w:val="000000"/>
                    </w:rPr>
                  </w:pPr>
                </w:p>
              </w:tc>
              <w:tc>
                <w:tcPr>
                  <w:tcW w:w="4114" w:type="dxa"/>
                  <w:tcBorders>
                    <w:top w:val="dashed" w:sz="4" w:space="0" w:color="auto"/>
                    <w:left w:val="dashed" w:sz="4" w:space="0" w:color="auto"/>
                    <w:bottom w:val="dashed" w:sz="4" w:space="0" w:color="auto"/>
                    <w:right w:val="dashed" w:sz="4" w:space="0" w:color="auto"/>
                  </w:tcBorders>
                  <w:shd w:val="clear" w:color="auto" w:fill="FFFFFF"/>
                  <w:vAlign w:val="center"/>
                </w:tcPr>
                <w:p w14:paraId="6509989A"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dystrybutorzy jednostek uczestnictwa funduszy inwestycyjnych i certyfikatów inwestycyjnych</w:t>
                  </w:r>
                </w:p>
              </w:tc>
              <w:tc>
                <w:tcPr>
                  <w:tcW w:w="4566" w:type="dxa"/>
                  <w:tcBorders>
                    <w:top w:val="dashed" w:sz="4" w:space="0" w:color="auto"/>
                    <w:left w:val="dashed" w:sz="4" w:space="0" w:color="auto"/>
                    <w:bottom w:val="dashed" w:sz="4" w:space="0" w:color="auto"/>
                    <w:right w:val="dashed" w:sz="4" w:space="0" w:color="auto"/>
                  </w:tcBorders>
                  <w:shd w:val="clear" w:color="auto" w:fill="FFFFFF"/>
                  <w:vAlign w:val="center"/>
                </w:tcPr>
                <w:p w14:paraId="3C303C90"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opłata roczna w wysokości równowartości </w:t>
                  </w:r>
                  <w:r w:rsidRPr="005C7027">
                    <w:rPr>
                      <w:rFonts w:ascii="Times New Roman" w:hAnsi="Times New Roman"/>
                      <w:color w:val="000000"/>
                    </w:rPr>
                    <w:br/>
                  </w:r>
                  <w:r w:rsidRPr="005C7027">
                    <w:rPr>
                      <w:rFonts w:ascii="Times New Roman" w:hAnsi="Times New Roman"/>
                      <w:b/>
                      <w:color w:val="000000"/>
                    </w:rPr>
                    <w:t>w złotych 500 euro</w:t>
                  </w:r>
                  <w:r w:rsidRPr="005C7027">
                    <w:rPr>
                      <w:rFonts w:ascii="Times New Roman" w:hAnsi="Times New Roman"/>
                      <w:color w:val="000000"/>
                    </w:rPr>
                    <w:t xml:space="preserve"> wnoszona jednorazowa </w:t>
                  </w:r>
                  <w:r w:rsidRPr="005C7027">
                    <w:rPr>
                      <w:rFonts w:ascii="Times New Roman" w:hAnsi="Times New Roman"/>
                      <w:color w:val="000000"/>
                    </w:rPr>
                    <w:br/>
                    <w:t>(w pełnej wysokości)</w:t>
                  </w:r>
                </w:p>
              </w:tc>
            </w:tr>
            <w:tr w:rsidR="005C7027" w:rsidRPr="005C7027" w14:paraId="22BBFFA6" w14:textId="77777777" w:rsidTr="005C7027">
              <w:trPr>
                <w:trHeight w:val="265"/>
                <w:jc w:val="center"/>
              </w:trPr>
              <w:tc>
                <w:tcPr>
                  <w:tcW w:w="530" w:type="dxa"/>
                  <w:tcBorders>
                    <w:top w:val="dashed" w:sz="4" w:space="0" w:color="auto"/>
                    <w:bottom w:val="dashed" w:sz="4" w:space="0" w:color="auto"/>
                    <w:right w:val="dashed" w:sz="4" w:space="0" w:color="auto"/>
                  </w:tcBorders>
                  <w:shd w:val="clear" w:color="auto" w:fill="EDF2F8"/>
                  <w:vAlign w:val="center"/>
                </w:tcPr>
                <w:p w14:paraId="351C5B74" w14:textId="77777777" w:rsidR="00FC1040" w:rsidRPr="005C7027" w:rsidRDefault="00FC1040" w:rsidP="005C7027">
                  <w:pPr>
                    <w:pStyle w:val="Akapitzlist"/>
                    <w:numPr>
                      <w:ilvl w:val="0"/>
                      <w:numId w:val="26"/>
                    </w:numPr>
                    <w:spacing w:line="240" w:lineRule="auto"/>
                    <w:rPr>
                      <w:rFonts w:ascii="Times New Roman" w:hAnsi="Times New Roman"/>
                      <w:b/>
                      <w:bCs/>
                      <w:color w:val="000000"/>
                    </w:rPr>
                  </w:pPr>
                </w:p>
              </w:tc>
              <w:tc>
                <w:tcPr>
                  <w:tcW w:w="4114" w:type="dxa"/>
                  <w:tcBorders>
                    <w:top w:val="dashed" w:sz="4" w:space="0" w:color="auto"/>
                    <w:left w:val="dashed" w:sz="4" w:space="0" w:color="auto"/>
                    <w:bottom w:val="dashed" w:sz="4" w:space="0" w:color="auto"/>
                    <w:right w:val="dashed" w:sz="4" w:space="0" w:color="auto"/>
                  </w:tcBorders>
                  <w:shd w:val="clear" w:color="auto" w:fill="EDF2F8"/>
                  <w:vAlign w:val="center"/>
                </w:tcPr>
                <w:p w14:paraId="1BED3E2B"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podmioty zarządzające </w:t>
                  </w:r>
                  <w:proofErr w:type="spellStart"/>
                  <w:r w:rsidRPr="005C7027">
                    <w:rPr>
                      <w:rFonts w:ascii="Times New Roman" w:hAnsi="Times New Roman"/>
                      <w:color w:val="000000"/>
                    </w:rPr>
                    <w:t>sekurytyzowanymi</w:t>
                  </w:r>
                  <w:proofErr w:type="spellEnd"/>
                  <w:r w:rsidRPr="005C7027">
                    <w:rPr>
                      <w:rFonts w:ascii="Times New Roman" w:hAnsi="Times New Roman"/>
                      <w:color w:val="000000"/>
                    </w:rPr>
                    <w:t xml:space="preserve"> wierzytelnościami funduszu </w:t>
                  </w:r>
                  <w:proofErr w:type="spellStart"/>
                  <w:r w:rsidRPr="005C7027">
                    <w:rPr>
                      <w:rFonts w:ascii="Times New Roman" w:hAnsi="Times New Roman"/>
                      <w:color w:val="000000"/>
                    </w:rPr>
                    <w:t>sekurytyzacyjnego</w:t>
                  </w:r>
                  <w:proofErr w:type="spellEnd"/>
                </w:p>
              </w:tc>
              <w:tc>
                <w:tcPr>
                  <w:tcW w:w="4566" w:type="dxa"/>
                  <w:tcBorders>
                    <w:top w:val="dashed" w:sz="4" w:space="0" w:color="auto"/>
                    <w:left w:val="dashed" w:sz="4" w:space="0" w:color="auto"/>
                    <w:bottom w:val="dashed" w:sz="4" w:space="0" w:color="auto"/>
                    <w:right w:val="dashed" w:sz="4" w:space="0" w:color="auto"/>
                  </w:tcBorders>
                  <w:shd w:val="clear" w:color="auto" w:fill="EDF2F8"/>
                  <w:vAlign w:val="center"/>
                </w:tcPr>
                <w:p w14:paraId="7776C6F8"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roczna w wysokości równowartości </w:t>
                  </w:r>
                  <w:r w:rsidRPr="005C7027">
                    <w:rPr>
                      <w:rFonts w:ascii="Times New Roman" w:hAnsi="Times New Roman"/>
                      <w:b/>
                      <w:color w:val="000000"/>
                    </w:rPr>
                    <w:t>w złotych 1000 euro</w:t>
                  </w:r>
                  <w:r w:rsidRPr="005C7027">
                    <w:rPr>
                      <w:rFonts w:ascii="Times New Roman" w:hAnsi="Times New Roman"/>
                      <w:color w:val="000000"/>
                    </w:rPr>
                    <w:t xml:space="preserve"> wnoszona jednorazowa (w pełnej wysokości)</w:t>
                  </w:r>
                </w:p>
              </w:tc>
            </w:tr>
            <w:tr w:rsidR="005C7027" w:rsidRPr="005C7027" w14:paraId="7B0E90BF" w14:textId="77777777" w:rsidTr="005C7027">
              <w:trPr>
                <w:trHeight w:val="265"/>
                <w:jc w:val="center"/>
              </w:trPr>
              <w:tc>
                <w:tcPr>
                  <w:tcW w:w="530" w:type="dxa"/>
                  <w:tcBorders>
                    <w:top w:val="dashed" w:sz="4" w:space="0" w:color="auto"/>
                    <w:bottom w:val="dashed" w:sz="4" w:space="0" w:color="auto"/>
                    <w:right w:val="dashed" w:sz="4" w:space="0" w:color="auto"/>
                  </w:tcBorders>
                  <w:shd w:val="clear" w:color="auto" w:fill="FFFFFF"/>
                  <w:vAlign w:val="center"/>
                </w:tcPr>
                <w:p w14:paraId="214B37FB" w14:textId="77777777" w:rsidR="00FC1040" w:rsidRPr="005C7027" w:rsidRDefault="00FC1040" w:rsidP="005C7027">
                  <w:pPr>
                    <w:pStyle w:val="Akapitzlist"/>
                    <w:numPr>
                      <w:ilvl w:val="0"/>
                      <w:numId w:val="26"/>
                    </w:numPr>
                    <w:spacing w:line="240" w:lineRule="auto"/>
                    <w:rPr>
                      <w:rFonts w:ascii="Times New Roman" w:hAnsi="Times New Roman"/>
                      <w:b/>
                      <w:bCs/>
                      <w:color w:val="000000"/>
                    </w:rPr>
                  </w:pPr>
                </w:p>
              </w:tc>
              <w:tc>
                <w:tcPr>
                  <w:tcW w:w="4114" w:type="dxa"/>
                  <w:tcBorders>
                    <w:top w:val="dashed" w:sz="4" w:space="0" w:color="auto"/>
                    <w:left w:val="dashed" w:sz="4" w:space="0" w:color="auto"/>
                    <w:bottom w:val="dashed" w:sz="4" w:space="0" w:color="auto"/>
                    <w:right w:val="dashed" w:sz="4" w:space="0" w:color="auto"/>
                  </w:tcBorders>
                  <w:shd w:val="clear" w:color="auto" w:fill="FFFFFF"/>
                  <w:vAlign w:val="center"/>
                </w:tcPr>
                <w:p w14:paraId="5DAF6642"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zarządzający ASI prowadzący działalność na podstawie wpisu do rejestru zarządzających ASI*</w:t>
                  </w:r>
                </w:p>
              </w:tc>
              <w:tc>
                <w:tcPr>
                  <w:tcW w:w="4566" w:type="dxa"/>
                  <w:tcBorders>
                    <w:top w:val="dashed" w:sz="4" w:space="0" w:color="auto"/>
                    <w:left w:val="dashed" w:sz="4" w:space="0" w:color="auto"/>
                    <w:bottom w:val="dashed" w:sz="4" w:space="0" w:color="auto"/>
                    <w:right w:val="dashed" w:sz="4" w:space="0" w:color="auto"/>
                  </w:tcBorders>
                  <w:shd w:val="clear" w:color="auto" w:fill="FFFFFF"/>
                  <w:vAlign w:val="center"/>
                </w:tcPr>
                <w:p w14:paraId="2CF2D628"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opłata roczna w wysokości równowartości </w:t>
                  </w:r>
                  <w:r w:rsidRPr="005C7027">
                    <w:rPr>
                      <w:rFonts w:ascii="Times New Roman" w:hAnsi="Times New Roman"/>
                      <w:color w:val="000000"/>
                    </w:rPr>
                    <w:br/>
                  </w:r>
                  <w:r w:rsidRPr="005C7027">
                    <w:rPr>
                      <w:rFonts w:ascii="Times New Roman" w:hAnsi="Times New Roman"/>
                      <w:b/>
                      <w:color w:val="000000"/>
                    </w:rPr>
                    <w:t>w złotych 750</w:t>
                  </w:r>
                  <w:r w:rsidRPr="005C7027">
                    <w:rPr>
                      <w:rFonts w:ascii="Times New Roman" w:hAnsi="Times New Roman"/>
                      <w:color w:val="000000"/>
                    </w:rPr>
                    <w:t xml:space="preserve"> euro wnoszona jednorazowa </w:t>
                  </w:r>
                  <w:r w:rsidRPr="005C7027">
                    <w:rPr>
                      <w:rFonts w:ascii="Times New Roman" w:hAnsi="Times New Roman"/>
                      <w:color w:val="000000"/>
                    </w:rPr>
                    <w:br/>
                    <w:t>(w pełnej wysokości)</w:t>
                  </w:r>
                </w:p>
              </w:tc>
            </w:tr>
            <w:tr w:rsidR="005C7027" w:rsidRPr="005C7027" w14:paraId="56477C6B" w14:textId="77777777" w:rsidTr="005C7027">
              <w:trPr>
                <w:trHeight w:val="265"/>
                <w:jc w:val="center"/>
              </w:trPr>
              <w:tc>
                <w:tcPr>
                  <w:tcW w:w="530" w:type="dxa"/>
                  <w:tcBorders>
                    <w:top w:val="dashed" w:sz="4" w:space="0" w:color="auto"/>
                    <w:bottom w:val="dashed" w:sz="4" w:space="0" w:color="auto"/>
                    <w:right w:val="dashed" w:sz="4" w:space="0" w:color="auto"/>
                  </w:tcBorders>
                  <w:shd w:val="clear" w:color="auto" w:fill="EDF2F8"/>
                  <w:vAlign w:val="center"/>
                </w:tcPr>
                <w:p w14:paraId="78D3F5E1" w14:textId="77777777" w:rsidR="00FC1040" w:rsidRPr="005C7027" w:rsidRDefault="00FC1040" w:rsidP="005C7027">
                  <w:pPr>
                    <w:pStyle w:val="Akapitzlist"/>
                    <w:numPr>
                      <w:ilvl w:val="0"/>
                      <w:numId w:val="26"/>
                    </w:numPr>
                    <w:spacing w:line="240" w:lineRule="auto"/>
                    <w:rPr>
                      <w:rFonts w:ascii="Times New Roman" w:hAnsi="Times New Roman"/>
                      <w:b/>
                      <w:bCs/>
                      <w:color w:val="000000"/>
                    </w:rPr>
                  </w:pPr>
                </w:p>
              </w:tc>
              <w:tc>
                <w:tcPr>
                  <w:tcW w:w="4114" w:type="dxa"/>
                  <w:tcBorders>
                    <w:top w:val="dashed" w:sz="4" w:space="0" w:color="auto"/>
                    <w:left w:val="dashed" w:sz="4" w:space="0" w:color="auto"/>
                    <w:bottom w:val="dashed" w:sz="4" w:space="0" w:color="auto"/>
                    <w:right w:val="dashed" w:sz="4" w:space="0" w:color="auto"/>
                  </w:tcBorders>
                  <w:shd w:val="clear" w:color="auto" w:fill="EDF2F8"/>
                  <w:vAlign w:val="center"/>
                </w:tcPr>
                <w:p w14:paraId="768CBABC"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zdalni członkowie giełdy (zagranicznej firmy inwestycyjne będące stronami transakcji zawieranych na rynku regulowanym)–</w:t>
                  </w:r>
                </w:p>
              </w:tc>
              <w:tc>
                <w:tcPr>
                  <w:tcW w:w="4566" w:type="dxa"/>
                  <w:tcBorders>
                    <w:top w:val="dashed" w:sz="4" w:space="0" w:color="auto"/>
                    <w:left w:val="dashed" w:sz="4" w:space="0" w:color="auto"/>
                    <w:bottom w:val="dashed" w:sz="4" w:space="0" w:color="auto"/>
                    <w:right w:val="dashed" w:sz="4" w:space="0" w:color="auto"/>
                  </w:tcBorders>
                  <w:shd w:val="clear" w:color="auto" w:fill="EDF2F8"/>
                  <w:vAlign w:val="center"/>
                </w:tcPr>
                <w:p w14:paraId="0FE4C432"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opłata roczna w wysokości równowartości </w:t>
                  </w:r>
                  <w:r w:rsidRPr="005C7027">
                    <w:rPr>
                      <w:rFonts w:ascii="Times New Roman" w:hAnsi="Times New Roman"/>
                      <w:color w:val="000000"/>
                    </w:rPr>
                    <w:br/>
                  </w:r>
                  <w:r w:rsidRPr="005C7027">
                    <w:rPr>
                      <w:rFonts w:ascii="Times New Roman" w:hAnsi="Times New Roman"/>
                      <w:b/>
                      <w:color w:val="000000"/>
                    </w:rPr>
                    <w:t>w złotych 10 000 euro</w:t>
                  </w:r>
                </w:p>
              </w:tc>
            </w:tr>
            <w:tr w:rsidR="005C7027" w:rsidRPr="005C7027" w14:paraId="5F00F164" w14:textId="77777777" w:rsidTr="005C7027">
              <w:trPr>
                <w:trHeight w:val="265"/>
                <w:jc w:val="center"/>
              </w:trPr>
              <w:tc>
                <w:tcPr>
                  <w:tcW w:w="530" w:type="dxa"/>
                  <w:tcBorders>
                    <w:top w:val="dashed" w:sz="4" w:space="0" w:color="auto"/>
                    <w:bottom w:val="dashed" w:sz="4" w:space="0" w:color="auto"/>
                    <w:right w:val="dashed" w:sz="4" w:space="0" w:color="auto"/>
                  </w:tcBorders>
                  <w:shd w:val="clear" w:color="auto" w:fill="FFFFFF"/>
                  <w:vAlign w:val="center"/>
                </w:tcPr>
                <w:p w14:paraId="0F7CEEF0" w14:textId="77777777" w:rsidR="00FC1040" w:rsidRPr="005C7027" w:rsidRDefault="00FC1040" w:rsidP="005C7027">
                  <w:pPr>
                    <w:pStyle w:val="Akapitzlist"/>
                    <w:numPr>
                      <w:ilvl w:val="0"/>
                      <w:numId w:val="26"/>
                    </w:numPr>
                    <w:spacing w:line="240" w:lineRule="auto"/>
                    <w:rPr>
                      <w:rFonts w:ascii="Times New Roman" w:hAnsi="Times New Roman"/>
                      <w:b/>
                      <w:bCs/>
                      <w:color w:val="000000"/>
                    </w:rPr>
                  </w:pPr>
                </w:p>
              </w:tc>
              <w:tc>
                <w:tcPr>
                  <w:tcW w:w="4114" w:type="dxa"/>
                  <w:tcBorders>
                    <w:top w:val="dashed" w:sz="4" w:space="0" w:color="auto"/>
                    <w:left w:val="dashed" w:sz="4" w:space="0" w:color="auto"/>
                    <w:bottom w:val="dashed" w:sz="4" w:space="0" w:color="auto"/>
                    <w:right w:val="dashed" w:sz="4" w:space="0" w:color="auto"/>
                  </w:tcBorders>
                  <w:shd w:val="clear" w:color="auto" w:fill="FFFFFF"/>
                  <w:vAlign w:val="center"/>
                </w:tcPr>
                <w:p w14:paraId="46E72D67"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agenci firmy inwestycyjnej </w:t>
                  </w:r>
                </w:p>
                <w:p w14:paraId="2DC59572"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(z wyłączeniem banku i domu maklerskiego)</w:t>
                  </w:r>
                </w:p>
              </w:tc>
              <w:tc>
                <w:tcPr>
                  <w:tcW w:w="4566" w:type="dxa"/>
                  <w:tcBorders>
                    <w:top w:val="dashed" w:sz="4" w:space="0" w:color="auto"/>
                    <w:left w:val="dashed" w:sz="4" w:space="0" w:color="auto"/>
                    <w:bottom w:val="dashed" w:sz="4" w:space="0" w:color="auto"/>
                    <w:right w:val="dashed" w:sz="4" w:space="0" w:color="auto"/>
                  </w:tcBorders>
                  <w:shd w:val="clear" w:color="auto" w:fill="FFFFFF"/>
                  <w:vAlign w:val="center"/>
                </w:tcPr>
                <w:p w14:paraId="100305C4" w14:textId="77777777" w:rsidR="00FC1040" w:rsidRPr="005C7027" w:rsidRDefault="00FC1040" w:rsidP="005C7027">
                  <w:pPr>
                    <w:jc w:val="both"/>
                    <w:rPr>
                      <w:rFonts w:ascii="Times New Roman" w:hAnsi="Times New Roman"/>
                      <w:color w:val="000000"/>
                    </w:rPr>
                  </w:pPr>
                  <w:r w:rsidRPr="005C7027">
                    <w:rPr>
                      <w:rFonts w:ascii="Times New Roman" w:hAnsi="Times New Roman"/>
                      <w:color w:val="000000"/>
                    </w:rPr>
                    <w:t xml:space="preserve">opłata roczna w wysokości równowartości </w:t>
                  </w:r>
                  <w:r w:rsidRPr="005C7027">
                    <w:rPr>
                      <w:rFonts w:ascii="Times New Roman" w:hAnsi="Times New Roman"/>
                      <w:color w:val="000000"/>
                    </w:rPr>
                    <w:br/>
                  </w:r>
                  <w:r w:rsidRPr="005C7027">
                    <w:rPr>
                      <w:rFonts w:ascii="Times New Roman" w:hAnsi="Times New Roman"/>
                      <w:b/>
                      <w:color w:val="000000"/>
                    </w:rPr>
                    <w:t>w złotych 500 euro</w:t>
                  </w:r>
                  <w:r w:rsidRPr="005C7027">
                    <w:rPr>
                      <w:rFonts w:ascii="Times New Roman" w:hAnsi="Times New Roman"/>
                      <w:color w:val="000000"/>
                    </w:rPr>
                    <w:t xml:space="preserve">, wnoszona jednorazowa </w:t>
                  </w:r>
                  <w:r w:rsidRPr="005C7027">
                    <w:rPr>
                      <w:rFonts w:ascii="Times New Roman" w:hAnsi="Times New Roman"/>
                      <w:color w:val="000000"/>
                    </w:rPr>
                    <w:br/>
                    <w:t>(w pełnej wysokości)</w:t>
                  </w:r>
                </w:p>
              </w:tc>
            </w:tr>
          </w:tbl>
          <w:p w14:paraId="42396437" w14:textId="77777777" w:rsidR="008F5D58" w:rsidRDefault="008F5D58" w:rsidP="001C389E">
            <w:pPr>
              <w:ind w:right="43"/>
              <w:jc w:val="both"/>
              <w:rPr>
                <w:rFonts w:ascii="Times New Roman" w:hAnsi="Times New Roman"/>
                <w:b/>
              </w:rPr>
            </w:pPr>
          </w:p>
          <w:p w14:paraId="2EC6787C" w14:textId="77777777" w:rsidR="008D5213" w:rsidRPr="006C4544" w:rsidRDefault="008D5213" w:rsidP="00BD4393">
            <w:pPr>
              <w:ind w:right="43"/>
              <w:jc w:val="both"/>
              <w:rPr>
                <w:rFonts w:ascii="Times New Roman" w:hAnsi="Times New Roman"/>
              </w:rPr>
            </w:pPr>
          </w:p>
        </w:tc>
      </w:tr>
      <w:tr w:rsidR="006A701A" w:rsidRPr="008B4FE6" w14:paraId="27C058F9" w14:textId="77777777" w:rsidTr="00676C8D">
        <w:trPr>
          <w:gridAfter w:val="1"/>
          <w:wAfter w:w="10" w:type="dxa"/>
          <w:trHeight w:val="307"/>
        </w:trPr>
        <w:tc>
          <w:tcPr>
            <w:tcW w:w="10937" w:type="dxa"/>
            <w:gridSpan w:val="30"/>
            <w:shd w:val="clear" w:color="auto" w:fill="99CCFF"/>
            <w:vAlign w:val="center"/>
          </w:tcPr>
          <w:p w14:paraId="65632647"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6DFD15CA" w14:textId="77777777" w:rsidTr="00676C8D">
        <w:trPr>
          <w:gridAfter w:val="1"/>
          <w:wAfter w:w="10" w:type="dxa"/>
          <w:trHeight w:val="142"/>
        </w:trPr>
        <w:tc>
          <w:tcPr>
            <w:tcW w:w="10937" w:type="dxa"/>
            <w:gridSpan w:val="30"/>
            <w:shd w:val="clear" w:color="auto" w:fill="auto"/>
          </w:tcPr>
          <w:p w14:paraId="19220082" w14:textId="77777777" w:rsidR="00182DBD" w:rsidRDefault="00182DBD" w:rsidP="00E72DE5">
            <w:pPr>
              <w:pStyle w:val="Style8"/>
              <w:widowControl/>
              <w:spacing w:before="163" w:line="240" w:lineRule="auto"/>
              <w:ind w:left="19" w:right="10" w:firstLine="0"/>
              <w:rPr>
                <w:rStyle w:val="FontStyle16"/>
              </w:rPr>
            </w:pPr>
            <w:r>
              <w:rPr>
                <w:rStyle w:val="FontStyle16"/>
              </w:rPr>
              <w:t>Przestępstwo lichwy zostało wprowadzone do przepisów karnych następujących państw europejskich takich jak Dania, Słowenia. Finlandia, Rumunia, Łotwa, Malta, Czechy, Belgia, Austria, Niemcy, Po</w:t>
            </w:r>
            <w:r w:rsidR="00E04627">
              <w:rPr>
                <w:rStyle w:val="FontStyle16"/>
              </w:rPr>
              <w:t xml:space="preserve">rtugalia. </w:t>
            </w:r>
            <w:r w:rsidR="00D1797A">
              <w:rPr>
                <w:rStyle w:val="FontStyle16"/>
              </w:rPr>
              <w:t xml:space="preserve">Wielka Brytania, </w:t>
            </w:r>
            <w:r w:rsidR="00E04627">
              <w:rPr>
                <w:rStyle w:val="FontStyle16"/>
              </w:rPr>
              <w:t>Słowacja, czy Włochy.</w:t>
            </w:r>
          </w:p>
          <w:p w14:paraId="487A299B" w14:textId="77777777" w:rsidR="00182DBD" w:rsidRDefault="00182DBD" w:rsidP="00E72DE5">
            <w:pPr>
              <w:pStyle w:val="Style8"/>
              <w:widowControl/>
              <w:spacing w:before="115" w:line="240" w:lineRule="auto"/>
              <w:ind w:left="10" w:right="10" w:firstLine="0"/>
              <w:rPr>
                <w:rStyle w:val="FontStyle16"/>
              </w:rPr>
            </w:pPr>
            <w:r>
              <w:rPr>
                <w:rStyle w:val="FontStyle16"/>
              </w:rPr>
              <w:t xml:space="preserve">Rozwiązania karnoprawne różnią się </w:t>
            </w:r>
            <w:r w:rsidR="005D7668">
              <w:rPr>
                <w:rStyle w:val="FontStyle16"/>
              </w:rPr>
              <w:t xml:space="preserve">znacznie </w:t>
            </w:r>
            <w:r>
              <w:rPr>
                <w:rStyle w:val="FontStyle16"/>
              </w:rPr>
              <w:t>miedzy sobą zarówno co do znamion</w:t>
            </w:r>
            <w:r w:rsidR="005D7668">
              <w:rPr>
                <w:rStyle w:val="FontStyle16"/>
              </w:rPr>
              <w:t>,</w:t>
            </w:r>
            <w:r>
              <w:rPr>
                <w:rStyle w:val="FontStyle16"/>
              </w:rPr>
              <w:t xml:space="preserve"> jak i wysokości kar. </w:t>
            </w:r>
            <w:r w:rsidR="008B15A8">
              <w:rPr>
                <w:rStyle w:val="FontStyle16"/>
              </w:rPr>
              <w:br/>
            </w:r>
            <w:r>
              <w:rPr>
                <w:rStyle w:val="FontStyle16"/>
              </w:rPr>
              <w:t xml:space="preserve">W niektórych państwach w ramach znamion mieści się element subiektywny </w:t>
            </w:r>
            <w:r w:rsidR="006600E2">
              <w:rPr>
                <w:rStyle w:val="FontStyle16"/>
              </w:rPr>
              <w:t>–</w:t>
            </w:r>
            <w:r>
              <w:rPr>
                <w:rStyle w:val="FontStyle16"/>
              </w:rPr>
              <w:t xml:space="preserve"> tj. ciężkiego położenia pożyczkobiorcy.</w:t>
            </w:r>
          </w:p>
          <w:p w14:paraId="119B09DC" w14:textId="77777777" w:rsidR="00182DBD" w:rsidRDefault="00D26C11" w:rsidP="00E72DE5">
            <w:pPr>
              <w:pStyle w:val="Style8"/>
              <w:widowControl/>
              <w:spacing w:before="115" w:line="240" w:lineRule="auto"/>
              <w:ind w:right="10" w:firstLine="0"/>
              <w:rPr>
                <w:rStyle w:val="FontStyle16"/>
              </w:rPr>
            </w:pPr>
            <w:r>
              <w:rPr>
                <w:rStyle w:val="FontStyle16"/>
              </w:rPr>
              <w:t xml:space="preserve">W </w:t>
            </w:r>
            <w:r w:rsidR="00182DBD">
              <w:rPr>
                <w:rStyle w:val="FontStyle16"/>
              </w:rPr>
              <w:t>Niemczech wyzysk uregulowany jest w art. 291 STGB jako uzyskanie nadmiernych korzyści w wyniku braku doświadczenia, wykorzystania trudnej sytuacji finansowej, słabszego osądu sytuacji. Ustawodawca niemiecki nie posłużył się kryterium odsetek maksymalnych</w:t>
            </w:r>
            <w:r w:rsidR="005D7668">
              <w:rPr>
                <w:rStyle w:val="FontStyle16"/>
              </w:rPr>
              <w:t>,</w:t>
            </w:r>
            <w:r w:rsidR="00182DBD">
              <w:rPr>
                <w:rStyle w:val="FontStyle16"/>
              </w:rPr>
              <w:t xml:space="preserve"> ale orzecznictwo sądów niemieckich doprecyzowuje, że odsetki lichwiarskie to w przybliżeniu odsetki których stopa przewyższa o </w:t>
            </w:r>
            <w:r w:rsidR="00182DBD">
              <w:rPr>
                <w:rStyle w:val="FontStyle16"/>
                <w:spacing w:val="40"/>
              </w:rPr>
              <w:t>12</w:t>
            </w:r>
            <w:r w:rsidR="00182DBD">
              <w:rPr>
                <w:rStyle w:val="FontStyle16"/>
              </w:rPr>
              <w:t xml:space="preserve">% odsetki rynkowe. W typie podstawowym przestępstwo wyzysku zagrożone jest karą do 3 lat pozbawienia wolności. W typie kwalifikowanym, gdy np. czyn spowoduje u pokrzywdzonego szczególne pogorszenie sytuacji finansowej lub gdy czyn jest popełniany w celu osiągnięcia stałego źródła dochodu </w:t>
            </w:r>
            <w:r w:rsidR="00425C3C">
              <w:rPr>
                <w:rStyle w:val="FontStyle16"/>
              </w:rPr>
              <w:t xml:space="preserve">jest on </w:t>
            </w:r>
            <w:r w:rsidR="00182DBD">
              <w:rPr>
                <w:rStyle w:val="FontStyle16"/>
              </w:rPr>
              <w:t>zagrożony karą do 10 lat pozbawienia wolności.</w:t>
            </w:r>
          </w:p>
          <w:p w14:paraId="03D5FBA4" w14:textId="77777777" w:rsidR="00182DBD" w:rsidRDefault="00182DBD" w:rsidP="00E72DE5">
            <w:pPr>
              <w:pStyle w:val="Style8"/>
              <w:widowControl/>
              <w:spacing w:before="115" w:line="240" w:lineRule="auto"/>
              <w:ind w:right="29" w:firstLine="0"/>
              <w:rPr>
                <w:rStyle w:val="FontStyle16"/>
              </w:rPr>
            </w:pPr>
            <w:r>
              <w:rPr>
                <w:rStyle w:val="FontStyle16"/>
              </w:rPr>
              <w:t xml:space="preserve">W Austrii przestępstwo lichwy określone jest w § 154 austriackiego kodeksu karnego. Przepis ten zawiera element subiektywny w postaci trudnego płożenia i przewiduje zagrożenie karą w typie podstawowym do 3 lat pozbawienia wolności. W typie kwalifikowanym, gdy sprawca uczynił z lichwy </w:t>
            </w:r>
            <w:r w:rsidR="00350550">
              <w:rPr>
                <w:rStyle w:val="FontStyle16"/>
              </w:rPr>
              <w:t xml:space="preserve">stałe </w:t>
            </w:r>
            <w:r>
              <w:rPr>
                <w:rStyle w:val="FontStyle16"/>
              </w:rPr>
              <w:t>źródło przychodu</w:t>
            </w:r>
            <w:r w:rsidR="00350550">
              <w:rPr>
                <w:rStyle w:val="FontStyle16"/>
              </w:rPr>
              <w:t>,</w:t>
            </w:r>
            <w:r>
              <w:rPr>
                <w:rStyle w:val="FontStyle16"/>
              </w:rPr>
              <w:t xml:space="preserve"> zagrożenie wynosi od 6</w:t>
            </w:r>
            <w:r w:rsidR="00350550">
              <w:rPr>
                <w:rStyle w:val="FontStyle16"/>
              </w:rPr>
              <w:t> </w:t>
            </w:r>
            <w:r>
              <w:rPr>
                <w:rStyle w:val="FontStyle16"/>
              </w:rPr>
              <w:t>miesięcy do lat 5 pozbawienia wolności.</w:t>
            </w:r>
          </w:p>
          <w:p w14:paraId="43237754" w14:textId="77777777" w:rsidR="00182DBD" w:rsidRPr="00182DBD" w:rsidRDefault="00182DBD" w:rsidP="00E72DE5">
            <w:pPr>
              <w:pStyle w:val="Style8"/>
              <w:spacing w:before="115" w:line="240" w:lineRule="auto"/>
              <w:ind w:left="10" w:right="29" w:firstLine="0"/>
              <w:rPr>
                <w:rStyle w:val="FontStyle16"/>
              </w:rPr>
            </w:pPr>
            <w:r>
              <w:rPr>
                <w:rStyle w:val="FontStyle16"/>
              </w:rPr>
              <w:t>We Francji kwestię lichwiarskich pożyczek reguluje art. 313-3 i kolejne francuskiego Kodeksu Konsumenckiego. Pożyczką lichwiarską jest pożyczka, której wartość realnej stopy</w:t>
            </w:r>
            <w:r>
              <w:t xml:space="preserve"> </w:t>
            </w:r>
            <w:r w:rsidRPr="00182DBD">
              <w:rPr>
                <w:rStyle w:val="FontStyle16"/>
              </w:rPr>
              <w:t>procentowej (wliczając w to wszelkie prowizje i</w:t>
            </w:r>
            <w:r w:rsidR="006F1A40">
              <w:rPr>
                <w:rStyle w:val="FontStyle16"/>
              </w:rPr>
              <w:t> </w:t>
            </w:r>
            <w:r w:rsidRPr="00182DBD">
              <w:rPr>
                <w:rStyle w:val="FontStyle16"/>
              </w:rPr>
              <w:t>opłaty) przekracza o 1/3 wartość przeciętnej stopy procentowej z poprzedniego kwartału przewidzianej dla podobnych pożyczek udzielanych przez instytucje finansowe. Żaden element subiektywny nie jest przewidziany przez ustawodawcę francuskiego. Odpowiedzialność karną za udzielanie pożyczek lichwiarskich lub czerpanie korzyści z takich pożyczek w</w:t>
            </w:r>
            <w:r w:rsidR="006F1A40">
              <w:rPr>
                <w:rStyle w:val="FontStyle16"/>
              </w:rPr>
              <w:t> </w:t>
            </w:r>
            <w:r w:rsidRPr="00182DBD">
              <w:rPr>
                <w:rStyle w:val="FontStyle16"/>
              </w:rPr>
              <w:t>dowolny sposób, przewiduje art. 313-5 kodeksu, zgodnie z którym górne zagrożeni</w:t>
            </w:r>
            <w:r w:rsidR="00706C0F">
              <w:rPr>
                <w:rStyle w:val="FontStyle16"/>
              </w:rPr>
              <w:t>e</w:t>
            </w:r>
            <w:r w:rsidRPr="00182DBD">
              <w:rPr>
                <w:rStyle w:val="FontStyle16"/>
              </w:rPr>
              <w:t xml:space="preserve"> kar</w:t>
            </w:r>
            <w:r w:rsidR="00706C0F">
              <w:rPr>
                <w:rStyle w:val="FontStyle16"/>
              </w:rPr>
              <w:t>ą</w:t>
            </w:r>
            <w:r w:rsidRPr="00182DBD">
              <w:rPr>
                <w:rStyle w:val="FontStyle16"/>
              </w:rPr>
              <w:t xml:space="preserve"> za ten czyn to 2 lata pozbawienia wolności lub 45 </w:t>
            </w:r>
            <w:r w:rsidR="00706C0F" w:rsidRPr="00182DBD">
              <w:rPr>
                <w:rStyle w:val="FontStyle16"/>
              </w:rPr>
              <w:t>ty</w:t>
            </w:r>
            <w:r w:rsidR="00706C0F">
              <w:rPr>
                <w:rStyle w:val="FontStyle16"/>
              </w:rPr>
              <w:t>s.</w:t>
            </w:r>
            <w:r w:rsidR="00706C0F" w:rsidRPr="00182DBD">
              <w:rPr>
                <w:rStyle w:val="FontStyle16"/>
              </w:rPr>
              <w:t xml:space="preserve"> </w:t>
            </w:r>
            <w:r w:rsidRPr="00182DBD">
              <w:rPr>
                <w:rStyle w:val="FontStyle16"/>
              </w:rPr>
              <w:t>euro kary.</w:t>
            </w:r>
          </w:p>
          <w:p w14:paraId="42A5A68F" w14:textId="77777777" w:rsidR="00182DBD" w:rsidRDefault="00182DBD" w:rsidP="00E72DE5">
            <w:pPr>
              <w:pStyle w:val="Style8"/>
              <w:widowControl/>
              <w:spacing w:before="115" w:line="240" w:lineRule="auto"/>
              <w:ind w:left="10" w:right="29" w:firstLine="0"/>
              <w:rPr>
                <w:rStyle w:val="FontStyle16"/>
              </w:rPr>
            </w:pPr>
            <w:r w:rsidRPr="00182DBD">
              <w:rPr>
                <w:rStyle w:val="FontStyle16"/>
              </w:rPr>
              <w:t>W Belgii pobieranie odsetek powyżej wartości legalnych odsetek maksymalnych przewiduje art. 494 belgijskiego kodeksu karnego. W przypadku znacznej różnicy w stosunku do odsetek maksymalnych element subiektywny jest znacznie zredukowany.</w:t>
            </w:r>
          </w:p>
          <w:p w14:paraId="67F39C01" w14:textId="77777777" w:rsidR="00182DBD" w:rsidRPr="00182DBD" w:rsidRDefault="00182DBD" w:rsidP="00E72DE5">
            <w:pPr>
              <w:pStyle w:val="Style8"/>
              <w:spacing w:before="115" w:line="240" w:lineRule="auto"/>
              <w:ind w:left="10" w:right="29" w:firstLine="0"/>
              <w:rPr>
                <w:rStyle w:val="FontStyle16"/>
              </w:rPr>
            </w:pPr>
            <w:r w:rsidRPr="00182DBD">
              <w:rPr>
                <w:rStyle w:val="FontStyle16"/>
              </w:rPr>
              <w:lastRenderedPageBreak/>
              <w:t xml:space="preserve">W USA przestępstwem federalnym </w:t>
            </w:r>
            <w:r w:rsidR="00706C0F" w:rsidRPr="00182DBD">
              <w:rPr>
                <w:rStyle w:val="FontStyle16"/>
              </w:rPr>
              <w:t>zagrożon</w:t>
            </w:r>
            <w:r w:rsidR="00706C0F">
              <w:rPr>
                <w:rStyle w:val="FontStyle16"/>
              </w:rPr>
              <w:t>ym</w:t>
            </w:r>
            <w:r w:rsidR="00706C0F" w:rsidRPr="00182DBD">
              <w:rPr>
                <w:rStyle w:val="FontStyle16"/>
              </w:rPr>
              <w:t xml:space="preserve"> </w:t>
            </w:r>
            <w:r w:rsidRPr="00182DBD">
              <w:rPr>
                <w:rStyle w:val="FontStyle16"/>
              </w:rPr>
              <w:t xml:space="preserve">karą do 20 lat pozbawienia wolności jest udzielanie lub egzekwowanie pożyczek o wysokości odsetek przewyższającej odsetki maksymalne regulowane przez prawo stanowe. Definicję tego przestępstwa wprowadziła ustawa RICO o zwalczaniu przestępczości zorganizowanej (18 U.S. </w:t>
            </w:r>
            <w:proofErr w:type="spellStart"/>
            <w:r w:rsidRPr="00182DBD">
              <w:rPr>
                <w:rStyle w:val="FontStyle16"/>
              </w:rPr>
              <w:t>Code</w:t>
            </w:r>
            <w:proofErr w:type="spellEnd"/>
            <w:r w:rsidRPr="00182DBD">
              <w:rPr>
                <w:rStyle w:val="FontStyle16"/>
              </w:rPr>
              <w:t xml:space="preserve"> § 1961 pkt 6 lit B, zakaz przewiduje §19</w:t>
            </w:r>
            <w:r w:rsidR="00C835C2">
              <w:rPr>
                <w:rStyle w:val="FontStyle16"/>
              </w:rPr>
              <w:t>62, a zagrożenie karne § 1963).</w:t>
            </w:r>
          </w:p>
          <w:p w14:paraId="07B4CD53" w14:textId="77777777" w:rsidR="006A701A" w:rsidRDefault="00182DBD" w:rsidP="00E72DE5">
            <w:pPr>
              <w:pStyle w:val="Style8"/>
              <w:widowControl/>
              <w:spacing w:before="115" w:line="240" w:lineRule="auto"/>
              <w:ind w:left="10" w:right="29" w:firstLine="0"/>
              <w:rPr>
                <w:rStyle w:val="FontStyle16"/>
              </w:rPr>
            </w:pPr>
            <w:r w:rsidRPr="00182DBD">
              <w:rPr>
                <w:rStyle w:val="FontStyle16"/>
              </w:rPr>
              <w:t>Zgodnie z Kanadyjskim Kodeksem Karnym przestępstwem zagrożonym</w:t>
            </w:r>
            <w:r w:rsidR="00B36B84">
              <w:rPr>
                <w:rStyle w:val="FontStyle16"/>
              </w:rPr>
              <w:t>,</w:t>
            </w:r>
            <w:r w:rsidRPr="00182DBD">
              <w:rPr>
                <w:rStyle w:val="FontStyle16"/>
              </w:rPr>
              <w:t xml:space="preserve"> co do zasady</w:t>
            </w:r>
            <w:r w:rsidR="00B36B84">
              <w:rPr>
                <w:rStyle w:val="FontStyle16"/>
              </w:rPr>
              <w:t>,</w:t>
            </w:r>
            <w:r w:rsidRPr="00182DBD">
              <w:rPr>
                <w:rStyle w:val="FontStyle16"/>
              </w:rPr>
              <w:t xml:space="preserve"> karą do 5 lat pozbawienia wolności jest pobieranie odsetek od pożyczki o stopie procentowej powyżej 60 % rocznie (R.S.C. 1985, c. C-46, art 347)</w:t>
            </w:r>
          </w:p>
          <w:p w14:paraId="3E359F67" w14:textId="77777777" w:rsidR="005B30F9" w:rsidRPr="00E04627" w:rsidRDefault="00E04627" w:rsidP="00DB4278">
            <w:pPr>
              <w:pStyle w:val="Style8"/>
              <w:spacing w:before="115" w:line="240" w:lineRule="auto"/>
              <w:ind w:left="10" w:right="29" w:firstLine="0"/>
              <w:rPr>
                <w:sz w:val="22"/>
                <w:szCs w:val="22"/>
              </w:rPr>
            </w:pPr>
            <w:r w:rsidRPr="00E04627">
              <w:rPr>
                <w:sz w:val="22"/>
                <w:szCs w:val="22"/>
              </w:rPr>
              <w:t>Na Słowacji od 2015 r. zakazano udzielenia mikropożyczek w gotówce oraz odbioru ich w domach klientów. Transfer środków może odbyć się wyłącznie w formie bezgotówkowej na rachunek bankowy lub np. za pomocą karty przedpłaconej. Firmy pożyczkowe nie mogą też kontaktować się z klientami w dni powszednie po godzinie 18 i</w:t>
            </w:r>
            <w:r w:rsidR="00D9743B">
              <w:rPr>
                <w:sz w:val="22"/>
                <w:szCs w:val="22"/>
              </w:rPr>
              <w:t> w </w:t>
            </w:r>
            <w:r w:rsidRPr="00E04627">
              <w:rPr>
                <w:sz w:val="22"/>
                <w:szCs w:val="22"/>
              </w:rPr>
              <w:t>weekendy, chyba że klient sam sobie tego zażyczy. Od września 2015 r. na Słowacji na rynku pożyczek funkcjonują jedynie podmioty, które uzyskają licencję Narodowego Banku Słowacji. Umowy zawierane z podmiotem nieposiadającym licencji są nieważne. Kolejny wymóg stawiany firmom pożyczkowym to konieczność powstania rejestru pożyczek konsumenckich, dzięki któremu możliwe stanie się monitorowanie sytuacji potencjalnych pożyczkobiorców.</w:t>
            </w:r>
            <w:r>
              <w:rPr>
                <w:sz w:val="22"/>
                <w:szCs w:val="22"/>
              </w:rPr>
              <w:t xml:space="preserve"> </w:t>
            </w:r>
            <w:r w:rsidRPr="00E04627">
              <w:rPr>
                <w:sz w:val="22"/>
                <w:szCs w:val="22"/>
              </w:rPr>
              <w:t>Nowe przepisy na Słowacji dotyczące rynku pożyczek krótkoterminowych uregulowały ten rynek, zmusiły firmy pożyczkowe do większej odpowiedzialności za klientów, ograniczyły koszty pożyczek oraz wprowadziły przekazywanie pożyczek na rachunek bankowy, kartę przedpłaconą lub na pocztę. Ta ostatnia regulacja w sposób transparentny pokazuje wysokość udzielonej pożyczki i terminy spłat oraz służy do ewentualnych reklamacji.</w:t>
            </w:r>
            <w:r w:rsidR="00C06FC1">
              <w:rPr>
                <w:sz w:val="22"/>
                <w:szCs w:val="22"/>
              </w:rPr>
              <w:t xml:space="preserve"> U</w:t>
            </w:r>
            <w:r w:rsidR="005B30F9" w:rsidRPr="005B30F9">
              <w:rPr>
                <w:sz w:val="22"/>
                <w:szCs w:val="22"/>
              </w:rPr>
              <w:t>dział</w:t>
            </w:r>
            <w:r w:rsidR="005B30F9">
              <w:rPr>
                <w:sz w:val="22"/>
                <w:szCs w:val="22"/>
              </w:rPr>
              <w:t xml:space="preserve"> </w:t>
            </w:r>
            <w:r w:rsidR="005B30F9" w:rsidRPr="005B30F9">
              <w:rPr>
                <w:sz w:val="22"/>
                <w:szCs w:val="22"/>
              </w:rPr>
              <w:t>instytucji</w:t>
            </w:r>
            <w:r w:rsidR="005B30F9">
              <w:rPr>
                <w:sz w:val="22"/>
                <w:szCs w:val="22"/>
              </w:rPr>
              <w:t xml:space="preserve"> </w:t>
            </w:r>
            <w:r w:rsidR="005B30F9" w:rsidRPr="005B30F9">
              <w:rPr>
                <w:sz w:val="22"/>
                <w:szCs w:val="22"/>
              </w:rPr>
              <w:t>pożyczkowych</w:t>
            </w:r>
            <w:r w:rsidR="005B30F9">
              <w:rPr>
                <w:sz w:val="22"/>
                <w:szCs w:val="22"/>
              </w:rPr>
              <w:t xml:space="preserve"> </w:t>
            </w:r>
            <w:r w:rsidR="005B30F9" w:rsidRPr="005B30F9">
              <w:rPr>
                <w:sz w:val="22"/>
                <w:szCs w:val="22"/>
              </w:rPr>
              <w:t>w</w:t>
            </w:r>
            <w:r w:rsidR="00C06FC1">
              <w:rPr>
                <w:sz w:val="22"/>
                <w:szCs w:val="22"/>
              </w:rPr>
              <w:t xml:space="preserve"> słowackim</w:t>
            </w:r>
            <w:r w:rsidR="005B30F9">
              <w:rPr>
                <w:sz w:val="22"/>
                <w:szCs w:val="22"/>
              </w:rPr>
              <w:t xml:space="preserve"> </w:t>
            </w:r>
            <w:r w:rsidR="005B30F9" w:rsidRPr="005B30F9">
              <w:rPr>
                <w:sz w:val="22"/>
                <w:szCs w:val="22"/>
              </w:rPr>
              <w:t>rynku</w:t>
            </w:r>
            <w:r w:rsidR="005B30F9">
              <w:rPr>
                <w:sz w:val="22"/>
                <w:szCs w:val="22"/>
              </w:rPr>
              <w:t xml:space="preserve"> </w:t>
            </w:r>
            <w:r w:rsidR="005B30F9" w:rsidRPr="005B30F9">
              <w:rPr>
                <w:sz w:val="22"/>
                <w:szCs w:val="22"/>
              </w:rPr>
              <w:t>pożyczek</w:t>
            </w:r>
            <w:r w:rsidR="005B30F9">
              <w:rPr>
                <w:sz w:val="22"/>
                <w:szCs w:val="22"/>
              </w:rPr>
              <w:t xml:space="preserve"> </w:t>
            </w:r>
            <w:r w:rsidR="005B30F9" w:rsidRPr="005B30F9">
              <w:rPr>
                <w:sz w:val="22"/>
                <w:szCs w:val="22"/>
              </w:rPr>
              <w:t>konsumenckich</w:t>
            </w:r>
            <w:r w:rsidR="005B30F9">
              <w:rPr>
                <w:sz w:val="22"/>
                <w:szCs w:val="22"/>
              </w:rPr>
              <w:t xml:space="preserve"> </w:t>
            </w:r>
            <w:r w:rsidR="005B30F9" w:rsidRPr="005B30F9">
              <w:rPr>
                <w:sz w:val="22"/>
                <w:szCs w:val="22"/>
              </w:rPr>
              <w:t>zmniej</w:t>
            </w:r>
            <w:r w:rsidR="005B30F9">
              <w:rPr>
                <w:sz w:val="22"/>
                <w:szCs w:val="22"/>
              </w:rPr>
              <w:t>szył się z 40% w 2011 r. do 22% w</w:t>
            </w:r>
            <w:r w:rsidR="006F1A40">
              <w:rPr>
                <w:sz w:val="22"/>
                <w:szCs w:val="22"/>
              </w:rPr>
              <w:t> </w:t>
            </w:r>
            <w:r w:rsidR="005B30F9">
              <w:rPr>
                <w:sz w:val="22"/>
                <w:szCs w:val="22"/>
              </w:rPr>
              <w:t>2016</w:t>
            </w:r>
            <w:r w:rsidR="006F1A40">
              <w:rPr>
                <w:sz w:val="22"/>
                <w:szCs w:val="22"/>
              </w:rPr>
              <w:t> </w:t>
            </w:r>
            <w:r w:rsidR="005B30F9">
              <w:rPr>
                <w:sz w:val="22"/>
                <w:szCs w:val="22"/>
              </w:rPr>
              <w:t>r.</w:t>
            </w:r>
            <w:r w:rsidR="00C06FC1">
              <w:rPr>
                <w:sz w:val="22"/>
                <w:szCs w:val="22"/>
              </w:rPr>
              <w:t>, natomiast</w:t>
            </w:r>
            <w:r w:rsidR="005B30F9">
              <w:rPr>
                <w:sz w:val="22"/>
                <w:szCs w:val="22"/>
              </w:rPr>
              <w:t xml:space="preserve"> </w:t>
            </w:r>
            <w:r w:rsidR="00C06FC1">
              <w:rPr>
                <w:sz w:val="22"/>
                <w:szCs w:val="22"/>
              </w:rPr>
              <w:t>i</w:t>
            </w:r>
            <w:r w:rsidR="005B30F9" w:rsidRPr="005B30F9">
              <w:rPr>
                <w:sz w:val="22"/>
                <w:szCs w:val="22"/>
              </w:rPr>
              <w:t>lość</w:t>
            </w:r>
            <w:r w:rsidR="00EC3B47">
              <w:rPr>
                <w:sz w:val="22"/>
                <w:szCs w:val="22"/>
              </w:rPr>
              <w:t xml:space="preserve"> </w:t>
            </w:r>
            <w:r w:rsidR="005B30F9" w:rsidRPr="005B30F9">
              <w:rPr>
                <w:sz w:val="22"/>
                <w:szCs w:val="22"/>
              </w:rPr>
              <w:t>instytucji</w:t>
            </w:r>
            <w:r w:rsidR="00EC3B47">
              <w:rPr>
                <w:sz w:val="22"/>
                <w:szCs w:val="22"/>
              </w:rPr>
              <w:t xml:space="preserve"> </w:t>
            </w:r>
            <w:r w:rsidR="005B30F9" w:rsidRPr="005B30F9">
              <w:rPr>
                <w:sz w:val="22"/>
                <w:szCs w:val="22"/>
              </w:rPr>
              <w:t>pożyczkowych</w:t>
            </w:r>
            <w:r w:rsidR="00EC3B47">
              <w:rPr>
                <w:sz w:val="22"/>
                <w:szCs w:val="22"/>
              </w:rPr>
              <w:t xml:space="preserve"> </w:t>
            </w:r>
            <w:r w:rsidR="005B30F9" w:rsidRPr="005B30F9">
              <w:rPr>
                <w:sz w:val="22"/>
                <w:szCs w:val="22"/>
              </w:rPr>
              <w:t>działających</w:t>
            </w:r>
            <w:r w:rsidR="00EC3B47">
              <w:rPr>
                <w:sz w:val="22"/>
                <w:szCs w:val="22"/>
              </w:rPr>
              <w:t xml:space="preserve"> </w:t>
            </w:r>
            <w:r w:rsidR="005B30F9" w:rsidRPr="005B30F9">
              <w:rPr>
                <w:sz w:val="22"/>
                <w:szCs w:val="22"/>
              </w:rPr>
              <w:t>na</w:t>
            </w:r>
            <w:r w:rsidR="00EC3B47">
              <w:rPr>
                <w:sz w:val="22"/>
                <w:szCs w:val="22"/>
              </w:rPr>
              <w:t xml:space="preserve"> </w:t>
            </w:r>
            <w:r w:rsidR="005B30F9" w:rsidRPr="005B30F9">
              <w:rPr>
                <w:sz w:val="22"/>
                <w:szCs w:val="22"/>
              </w:rPr>
              <w:t>terytorium</w:t>
            </w:r>
            <w:r w:rsidR="00EC3B47">
              <w:rPr>
                <w:sz w:val="22"/>
                <w:szCs w:val="22"/>
              </w:rPr>
              <w:t xml:space="preserve"> </w:t>
            </w:r>
            <w:r w:rsidR="005B30F9" w:rsidRPr="005B30F9">
              <w:rPr>
                <w:sz w:val="22"/>
                <w:szCs w:val="22"/>
              </w:rPr>
              <w:t>Słowacji</w:t>
            </w:r>
            <w:r w:rsidR="00EC3B47">
              <w:rPr>
                <w:sz w:val="22"/>
                <w:szCs w:val="22"/>
              </w:rPr>
              <w:t xml:space="preserve"> </w:t>
            </w:r>
            <w:r w:rsidR="005B30F9" w:rsidRPr="005B30F9">
              <w:rPr>
                <w:sz w:val="22"/>
                <w:szCs w:val="22"/>
              </w:rPr>
              <w:t>zmniejszyła</w:t>
            </w:r>
            <w:r w:rsidR="00EC3B47">
              <w:rPr>
                <w:sz w:val="22"/>
                <w:szCs w:val="22"/>
              </w:rPr>
              <w:t xml:space="preserve"> </w:t>
            </w:r>
            <w:r w:rsidR="005B30F9" w:rsidRPr="005B30F9">
              <w:rPr>
                <w:sz w:val="22"/>
                <w:szCs w:val="22"/>
              </w:rPr>
              <w:t>się</w:t>
            </w:r>
            <w:r w:rsidR="00EC3B47">
              <w:rPr>
                <w:sz w:val="22"/>
                <w:szCs w:val="22"/>
              </w:rPr>
              <w:t xml:space="preserve"> </w:t>
            </w:r>
            <w:r w:rsidR="005B30F9" w:rsidRPr="005B30F9">
              <w:rPr>
                <w:sz w:val="22"/>
                <w:szCs w:val="22"/>
              </w:rPr>
              <w:t>z</w:t>
            </w:r>
            <w:r w:rsidR="00EC3B47">
              <w:rPr>
                <w:sz w:val="22"/>
                <w:szCs w:val="22"/>
              </w:rPr>
              <w:t xml:space="preserve"> </w:t>
            </w:r>
            <w:r w:rsidR="005B30F9" w:rsidRPr="005B30F9">
              <w:rPr>
                <w:sz w:val="22"/>
                <w:szCs w:val="22"/>
              </w:rPr>
              <w:t>250</w:t>
            </w:r>
            <w:r w:rsidR="00EC3B47">
              <w:rPr>
                <w:sz w:val="22"/>
                <w:szCs w:val="22"/>
              </w:rPr>
              <w:t xml:space="preserve"> w </w:t>
            </w:r>
            <w:r w:rsidR="005B30F9" w:rsidRPr="005B30F9">
              <w:rPr>
                <w:sz w:val="22"/>
                <w:szCs w:val="22"/>
              </w:rPr>
              <w:t>2015r.</w:t>
            </w:r>
            <w:r w:rsidR="00EC3B47">
              <w:rPr>
                <w:sz w:val="22"/>
                <w:szCs w:val="22"/>
              </w:rPr>
              <w:t xml:space="preserve"> d</w:t>
            </w:r>
            <w:r w:rsidR="005B30F9" w:rsidRPr="005B30F9">
              <w:rPr>
                <w:sz w:val="22"/>
                <w:szCs w:val="22"/>
              </w:rPr>
              <w:t>o</w:t>
            </w:r>
            <w:r w:rsidR="00EC3B47">
              <w:rPr>
                <w:sz w:val="22"/>
                <w:szCs w:val="22"/>
              </w:rPr>
              <w:t xml:space="preserve"> </w:t>
            </w:r>
            <w:r w:rsidR="005B30F9" w:rsidRPr="005B30F9">
              <w:rPr>
                <w:sz w:val="22"/>
                <w:szCs w:val="22"/>
              </w:rPr>
              <w:t>34</w:t>
            </w:r>
            <w:r w:rsidR="00EC3B47">
              <w:rPr>
                <w:sz w:val="22"/>
                <w:szCs w:val="22"/>
              </w:rPr>
              <w:t xml:space="preserve"> </w:t>
            </w:r>
            <w:r w:rsidR="00B07832">
              <w:rPr>
                <w:sz w:val="22"/>
                <w:szCs w:val="22"/>
              </w:rPr>
              <w:t>w 2017 r</w:t>
            </w:r>
            <w:r w:rsidR="005B30F9" w:rsidRPr="005B30F9">
              <w:rPr>
                <w:sz w:val="22"/>
                <w:szCs w:val="22"/>
              </w:rPr>
              <w:t>.</w:t>
            </w:r>
          </w:p>
          <w:p w14:paraId="2A30F960" w14:textId="77777777" w:rsidR="009D328E" w:rsidRDefault="00E04627" w:rsidP="0057561E">
            <w:pPr>
              <w:pStyle w:val="Style8"/>
              <w:spacing w:before="115" w:line="240" w:lineRule="auto"/>
              <w:ind w:left="10" w:right="29" w:firstLine="0"/>
              <w:rPr>
                <w:sz w:val="22"/>
                <w:szCs w:val="22"/>
              </w:rPr>
            </w:pPr>
            <w:r w:rsidRPr="00E04627">
              <w:rPr>
                <w:sz w:val="22"/>
                <w:szCs w:val="22"/>
              </w:rPr>
              <w:t xml:space="preserve">W Wielkiej Brytanii na podstawie nowej ustawy bankowej (Banking Reform Bill) wprowadzono uprawnienia dla finansowego regulatora FCA (Financial </w:t>
            </w:r>
            <w:proofErr w:type="spellStart"/>
            <w:r w:rsidRPr="00E04627">
              <w:rPr>
                <w:sz w:val="22"/>
                <w:szCs w:val="22"/>
              </w:rPr>
              <w:t>Conduct</w:t>
            </w:r>
            <w:proofErr w:type="spellEnd"/>
            <w:r w:rsidRPr="00E04627">
              <w:rPr>
                <w:sz w:val="22"/>
                <w:szCs w:val="22"/>
              </w:rPr>
              <w:t xml:space="preserve"> Authority) do ustanowienia maksymalnego poziomu kosztu kredytu. Rząd zobowiązał następnie FCA do skorzystania z tego uprawnienia od początku 2015 r.</w:t>
            </w:r>
            <w:r w:rsidR="0057561E">
              <w:rPr>
                <w:sz w:val="22"/>
                <w:szCs w:val="22"/>
              </w:rPr>
              <w:t xml:space="preserve"> </w:t>
            </w:r>
            <w:r w:rsidR="00262616" w:rsidRPr="00262616">
              <w:rPr>
                <w:sz w:val="22"/>
                <w:szCs w:val="22"/>
              </w:rPr>
              <w:t>Ograniczenia</w:t>
            </w:r>
            <w:r w:rsidR="00262616">
              <w:rPr>
                <w:sz w:val="22"/>
                <w:szCs w:val="22"/>
              </w:rPr>
              <w:t xml:space="preserve"> </w:t>
            </w:r>
            <w:r w:rsidR="00262616" w:rsidRPr="00262616">
              <w:rPr>
                <w:sz w:val="22"/>
                <w:szCs w:val="22"/>
              </w:rPr>
              <w:t>kosztów</w:t>
            </w:r>
            <w:r w:rsidR="00262616">
              <w:rPr>
                <w:sz w:val="22"/>
                <w:szCs w:val="22"/>
              </w:rPr>
              <w:t xml:space="preserve"> </w:t>
            </w:r>
            <w:r w:rsidR="00262616" w:rsidRPr="00262616">
              <w:rPr>
                <w:sz w:val="22"/>
                <w:szCs w:val="22"/>
              </w:rPr>
              <w:t>pożyczki</w:t>
            </w:r>
            <w:r w:rsidR="00262616">
              <w:rPr>
                <w:sz w:val="22"/>
                <w:szCs w:val="22"/>
              </w:rPr>
              <w:t xml:space="preserve"> </w:t>
            </w:r>
            <w:r w:rsidR="00766884">
              <w:rPr>
                <w:sz w:val="22"/>
                <w:szCs w:val="22"/>
              </w:rPr>
              <w:t>p</w:t>
            </w:r>
            <w:r w:rsidR="00262616" w:rsidRPr="00262616">
              <w:rPr>
                <w:sz w:val="22"/>
                <w:szCs w:val="22"/>
              </w:rPr>
              <w:t>rzewidziane</w:t>
            </w:r>
            <w:r w:rsidR="00766884">
              <w:rPr>
                <w:sz w:val="22"/>
                <w:szCs w:val="22"/>
              </w:rPr>
              <w:t xml:space="preserve"> </w:t>
            </w:r>
            <w:r w:rsidR="00262616" w:rsidRPr="00262616">
              <w:rPr>
                <w:sz w:val="22"/>
                <w:szCs w:val="22"/>
              </w:rPr>
              <w:t>są</w:t>
            </w:r>
            <w:r w:rsidR="00766884">
              <w:rPr>
                <w:sz w:val="22"/>
                <w:szCs w:val="22"/>
              </w:rPr>
              <w:t xml:space="preserve"> </w:t>
            </w:r>
            <w:r w:rsidR="00262616" w:rsidRPr="00262616">
              <w:rPr>
                <w:sz w:val="22"/>
                <w:szCs w:val="22"/>
              </w:rPr>
              <w:t>wyłącznie</w:t>
            </w:r>
            <w:r w:rsidR="00766884">
              <w:rPr>
                <w:sz w:val="22"/>
                <w:szCs w:val="22"/>
              </w:rPr>
              <w:t xml:space="preserve"> </w:t>
            </w:r>
            <w:r w:rsidR="00262616" w:rsidRPr="00262616">
              <w:rPr>
                <w:sz w:val="22"/>
                <w:szCs w:val="22"/>
              </w:rPr>
              <w:t>dla</w:t>
            </w:r>
            <w:r w:rsidR="00766884">
              <w:rPr>
                <w:sz w:val="22"/>
                <w:szCs w:val="22"/>
              </w:rPr>
              <w:t xml:space="preserve"> </w:t>
            </w:r>
            <w:r w:rsidR="00262616" w:rsidRPr="00262616">
              <w:rPr>
                <w:sz w:val="22"/>
                <w:szCs w:val="22"/>
              </w:rPr>
              <w:t>specjalnych</w:t>
            </w:r>
            <w:r w:rsidR="00766884">
              <w:rPr>
                <w:sz w:val="22"/>
                <w:szCs w:val="22"/>
              </w:rPr>
              <w:t xml:space="preserve"> </w:t>
            </w:r>
            <w:r w:rsidR="00262616" w:rsidRPr="00262616">
              <w:rPr>
                <w:sz w:val="22"/>
                <w:szCs w:val="22"/>
              </w:rPr>
              <w:t>kategorii</w:t>
            </w:r>
            <w:r w:rsidR="00766884">
              <w:rPr>
                <w:sz w:val="22"/>
                <w:szCs w:val="22"/>
              </w:rPr>
              <w:t xml:space="preserve"> </w:t>
            </w:r>
            <w:r w:rsidR="00262616" w:rsidRPr="00262616">
              <w:rPr>
                <w:sz w:val="22"/>
                <w:szCs w:val="22"/>
              </w:rPr>
              <w:t>niewielkich</w:t>
            </w:r>
            <w:r w:rsidR="00766884">
              <w:rPr>
                <w:sz w:val="22"/>
                <w:szCs w:val="22"/>
              </w:rPr>
              <w:t xml:space="preserve"> </w:t>
            </w:r>
            <w:r w:rsidR="00262616" w:rsidRPr="00262616">
              <w:rPr>
                <w:sz w:val="22"/>
                <w:szCs w:val="22"/>
              </w:rPr>
              <w:t>pożyczek</w:t>
            </w:r>
            <w:r w:rsidR="00766884">
              <w:rPr>
                <w:sz w:val="22"/>
                <w:szCs w:val="22"/>
              </w:rPr>
              <w:t xml:space="preserve"> </w:t>
            </w:r>
            <w:r w:rsidR="00262616" w:rsidRPr="00262616">
              <w:rPr>
                <w:sz w:val="22"/>
                <w:szCs w:val="22"/>
              </w:rPr>
              <w:t>krótkoterminowych</w:t>
            </w:r>
            <w:r w:rsidR="00766884">
              <w:rPr>
                <w:sz w:val="22"/>
                <w:szCs w:val="22"/>
              </w:rPr>
              <w:t xml:space="preserve"> </w:t>
            </w:r>
            <w:r w:rsidR="0057561E">
              <w:rPr>
                <w:sz w:val="22"/>
                <w:szCs w:val="22"/>
              </w:rPr>
              <w:t>(tzw. HCST). O</w:t>
            </w:r>
            <w:r w:rsidR="00262616" w:rsidRPr="00262616">
              <w:rPr>
                <w:sz w:val="22"/>
                <w:szCs w:val="22"/>
              </w:rPr>
              <w:t>graniczenia</w:t>
            </w:r>
            <w:r w:rsidR="00766884">
              <w:rPr>
                <w:sz w:val="22"/>
                <w:szCs w:val="22"/>
              </w:rPr>
              <w:t xml:space="preserve"> </w:t>
            </w:r>
            <w:r w:rsidR="00262616" w:rsidRPr="00262616">
              <w:rPr>
                <w:sz w:val="22"/>
                <w:szCs w:val="22"/>
              </w:rPr>
              <w:t>kosztów</w:t>
            </w:r>
            <w:r w:rsidR="00766884">
              <w:rPr>
                <w:sz w:val="22"/>
                <w:szCs w:val="22"/>
              </w:rPr>
              <w:t xml:space="preserve"> </w:t>
            </w:r>
            <w:r w:rsidR="00262616" w:rsidRPr="00262616">
              <w:rPr>
                <w:sz w:val="22"/>
                <w:szCs w:val="22"/>
              </w:rPr>
              <w:t>HCST</w:t>
            </w:r>
            <w:r w:rsidR="00766884">
              <w:rPr>
                <w:sz w:val="22"/>
                <w:szCs w:val="22"/>
              </w:rPr>
              <w:t xml:space="preserve"> </w:t>
            </w:r>
            <w:r w:rsidR="00262616" w:rsidRPr="00262616">
              <w:rPr>
                <w:sz w:val="22"/>
                <w:szCs w:val="22"/>
              </w:rPr>
              <w:t>obejmują</w:t>
            </w:r>
            <w:r w:rsidR="00766884">
              <w:rPr>
                <w:sz w:val="22"/>
                <w:szCs w:val="22"/>
              </w:rPr>
              <w:t xml:space="preserve"> </w:t>
            </w:r>
            <w:r w:rsidR="00262616" w:rsidRPr="00262616">
              <w:rPr>
                <w:sz w:val="22"/>
                <w:szCs w:val="22"/>
              </w:rPr>
              <w:t>limit</w:t>
            </w:r>
            <w:r w:rsidR="00766884">
              <w:rPr>
                <w:sz w:val="22"/>
                <w:szCs w:val="22"/>
              </w:rPr>
              <w:t xml:space="preserve"> </w:t>
            </w:r>
            <w:r w:rsidR="00262616" w:rsidRPr="00262616">
              <w:rPr>
                <w:sz w:val="22"/>
                <w:szCs w:val="22"/>
              </w:rPr>
              <w:t>całkowitych</w:t>
            </w:r>
            <w:r w:rsidR="00766884">
              <w:rPr>
                <w:sz w:val="22"/>
                <w:szCs w:val="22"/>
              </w:rPr>
              <w:t xml:space="preserve"> </w:t>
            </w:r>
            <w:r w:rsidR="00262616" w:rsidRPr="00262616">
              <w:rPr>
                <w:sz w:val="22"/>
                <w:szCs w:val="22"/>
              </w:rPr>
              <w:t>kosztów</w:t>
            </w:r>
            <w:r w:rsidR="00766884">
              <w:rPr>
                <w:sz w:val="22"/>
                <w:szCs w:val="22"/>
              </w:rPr>
              <w:t xml:space="preserve"> </w:t>
            </w:r>
            <w:r w:rsidR="00262616" w:rsidRPr="00262616">
              <w:rPr>
                <w:sz w:val="22"/>
                <w:szCs w:val="22"/>
              </w:rPr>
              <w:t>pożyczki</w:t>
            </w:r>
            <w:r w:rsidR="00766884">
              <w:rPr>
                <w:sz w:val="22"/>
                <w:szCs w:val="22"/>
              </w:rPr>
              <w:t xml:space="preserve"> </w:t>
            </w:r>
            <w:r w:rsidR="00262616" w:rsidRPr="00262616">
              <w:rPr>
                <w:sz w:val="22"/>
                <w:szCs w:val="22"/>
              </w:rPr>
              <w:t>w</w:t>
            </w:r>
            <w:r w:rsidR="00766884">
              <w:rPr>
                <w:sz w:val="22"/>
                <w:szCs w:val="22"/>
              </w:rPr>
              <w:t xml:space="preserve"> </w:t>
            </w:r>
            <w:r w:rsidR="00262616" w:rsidRPr="00262616">
              <w:rPr>
                <w:sz w:val="22"/>
                <w:szCs w:val="22"/>
              </w:rPr>
              <w:t>wysokości</w:t>
            </w:r>
            <w:r w:rsidR="00766884">
              <w:rPr>
                <w:sz w:val="22"/>
                <w:szCs w:val="22"/>
              </w:rPr>
              <w:t xml:space="preserve"> </w:t>
            </w:r>
            <w:r w:rsidR="00262616" w:rsidRPr="00262616">
              <w:rPr>
                <w:sz w:val="22"/>
                <w:szCs w:val="22"/>
              </w:rPr>
              <w:t>kwoty</w:t>
            </w:r>
            <w:r w:rsidR="00766884">
              <w:rPr>
                <w:sz w:val="22"/>
                <w:szCs w:val="22"/>
              </w:rPr>
              <w:t xml:space="preserve"> </w:t>
            </w:r>
            <w:r w:rsidR="00262616" w:rsidRPr="00262616">
              <w:rPr>
                <w:sz w:val="22"/>
                <w:szCs w:val="22"/>
              </w:rPr>
              <w:t>udzielonej</w:t>
            </w:r>
            <w:r w:rsidR="00766884">
              <w:rPr>
                <w:sz w:val="22"/>
                <w:szCs w:val="22"/>
              </w:rPr>
              <w:t xml:space="preserve"> </w:t>
            </w:r>
            <w:r w:rsidR="00262616" w:rsidRPr="00262616">
              <w:rPr>
                <w:sz w:val="22"/>
                <w:szCs w:val="22"/>
              </w:rPr>
              <w:t>pożyczki,</w:t>
            </w:r>
            <w:r w:rsidR="00766884">
              <w:rPr>
                <w:sz w:val="22"/>
                <w:szCs w:val="22"/>
              </w:rPr>
              <w:t xml:space="preserve"> </w:t>
            </w:r>
            <w:r w:rsidR="00262616" w:rsidRPr="00262616">
              <w:rPr>
                <w:sz w:val="22"/>
                <w:szCs w:val="22"/>
              </w:rPr>
              <w:t>jak</w:t>
            </w:r>
            <w:r w:rsidR="00766884">
              <w:rPr>
                <w:sz w:val="22"/>
                <w:szCs w:val="22"/>
              </w:rPr>
              <w:t xml:space="preserve"> </w:t>
            </w:r>
            <w:r w:rsidR="00262616" w:rsidRPr="00262616">
              <w:rPr>
                <w:sz w:val="22"/>
                <w:szCs w:val="22"/>
              </w:rPr>
              <w:t>również</w:t>
            </w:r>
            <w:r w:rsidR="00766884">
              <w:rPr>
                <w:sz w:val="22"/>
                <w:szCs w:val="22"/>
              </w:rPr>
              <w:t xml:space="preserve"> </w:t>
            </w:r>
            <w:r w:rsidR="00262616" w:rsidRPr="00262616">
              <w:rPr>
                <w:sz w:val="22"/>
                <w:szCs w:val="22"/>
              </w:rPr>
              <w:t>limit</w:t>
            </w:r>
            <w:r w:rsidR="00766884">
              <w:rPr>
                <w:sz w:val="22"/>
                <w:szCs w:val="22"/>
              </w:rPr>
              <w:t xml:space="preserve"> </w:t>
            </w:r>
            <w:r w:rsidR="00262616" w:rsidRPr="00262616">
              <w:rPr>
                <w:sz w:val="22"/>
                <w:szCs w:val="22"/>
              </w:rPr>
              <w:t>wstępnych</w:t>
            </w:r>
            <w:r w:rsidR="00766884">
              <w:rPr>
                <w:sz w:val="22"/>
                <w:szCs w:val="22"/>
              </w:rPr>
              <w:t xml:space="preserve"> </w:t>
            </w:r>
            <w:r w:rsidR="00262616" w:rsidRPr="00262616">
              <w:rPr>
                <w:sz w:val="22"/>
                <w:szCs w:val="22"/>
              </w:rPr>
              <w:t>kosztów</w:t>
            </w:r>
            <w:r w:rsidR="00766884">
              <w:rPr>
                <w:sz w:val="22"/>
                <w:szCs w:val="22"/>
              </w:rPr>
              <w:t xml:space="preserve"> </w:t>
            </w:r>
            <w:r w:rsidR="00262616" w:rsidRPr="00262616">
              <w:rPr>
                <w:sz w:val="22"/>
                <w:szCs w:val="22"/>
              </w:rPr>
              <w:t>pożyczki</w:t>
            </w:r>
            <w:r w:rsidR="00766884">
              <w:rPr>
                <w:sz w:val="22"/>
                <w:szCs w:val="22"/>
              </w:rPr>
              <w:t xml:space="preserve"> </w:t>
            </w:r>
            <w:r w:rsidR="00262616" w:rsidRPr="00262616">
              <w:rPr>
                <w:sz w:val="22"/>
                <w:szCs w:val="22"/>
              </w:rPr>
              <w:t>w</w:t>
            </w:r>
            <w:r w:rsidR="00766884">
              <w:rPr>
                <w:sz w:val="22"/>
                <w:szCs w:val="22"/>
              </w:rPr>
              <w:t xml:space="preserve"> </w:t>
            </w:r>
            <w:r w:rsidR="00262616" w:rsidRPr="00262616">
              <w:rPr>
                <w:sz w:val="22"/>
                <w:szCs w:val="22"/>
              </w:rPr>
              <w:t>maksymalnej</w:t>
            </w:r>
            <w:r w:rsidR="00766884">
              <w:rPr>
                <w:sz w:val="22"/>
                <w:szCs w:val="22"/>
              </w:rPr>
              <w:t xml:space="preserve"> </w:t>
            </w:r>
            <w:r w:rsidR="00262616" w:rsidRPr="00262616">
              <w:rPr>
                <w:sz w:val="22"/>
                <w:szCs w:val="22"/>
              </w:rPr>
              <w:t>wysokości</w:t>
            </w:r>
            <w:r w:rsidR="00766884">
              <w:rPr>
                <w:sz w:val="22"/>
                <w:szCs w:val="22"/>
              </w:rPr>
              <w:t xml:space="preserve"> </w:t>
            </w:r>
            <w:r w:rsidR="00262616" w:rsidRPr="00262616">
              <w:rPr>
                <w:sz w:val="22"/>
                <w:szCs w:val="22"/>
              </w:rPr>
              <w:t>0,8%</w:t>
            </w:r>
            <w:r w:rsidR="00766884">
              <w:rPr>
                <w:sz w:val="22"/>
                <w:szCs w:val="22"/>
              </w:rPr>
              <w:t xml:space="preserve"> </w:t>
            </w:r>
            <w:r w:rsidR="00262616" w:rsidRPr="00262616">
              <w:rPr>
                <w:sz w:val="22"/>
                <w:szCs w:val="22"/>
              </w:rPr>
              <w:t>kwoty</w:t>
            </w:r>
            <w:r w:rsidR="00766884">
              <w:rPr>
                <w:sz w:val="22"/>
                <w:szCs w:val="22"/>
              </w:rPr>
              <w:t xml:space="preserve"> </w:t>
            </w:r>
            <w:r w:rsidR="00262616" w:rsidRPr="00262616">
              <w:rPr>
                <w:sz w:val="22"/>
                <w:szCs w:val="22"/>
              </w:rPr>
              <w:t>pożyczki</w:t>
            </w:r>
            <w:r w:rsidR="00766884">
              <w:rPr>
                <w:sz w:val="22"/>
                <w:szCs w:val="22"/>
              </w:rPr>
              <w:t xml:space="preserve"> </w:t>
            </w:r>
            <w:r w:rsidR="00262616" w:rsidRPr="00262616">
              <w:rPr>
                <w:sz w:val="22"/>
                <w:szCs w:val="22"/>
              </w:rPr>
              <w:t>za</w:t>
            </w:r>
            <w:r w:rsidR="00766884">
              <w:rPr>
                <w:sz w:val="22"/>
                <w:szCs w:val="22"/>
              </w:rPr>
              <w:t xml:space="preserve"> </w:t>
            </w:r>
            <w:r w:rsidR="00262616" w:rsidRPr="00262616">
              <w:rPr>
                <w:sz w:val="22"/>
                <w:szCs w:val="22"/>
              </w:rPr>
              <w:t>każdy</w:t>
            </w:r>
            <w:r w:rsidR="00766884">
              <w:rPr>
                <w:sz w:val="22"/>
                <w:szCs w:val="22"/>
              </w:rPr>
              <w:t xml:space="preserve"> </w:t>
            </w:r>
            <w:r w:rsidR="0057561E">
              <w:rPr>
                <w:sz w:val="22"/>
                <w:szCs w:val="22"/>
              </w:rPr>
              <w:t>dzień.</w:t>
            </w:r>
          </w:p>
          <w:p w14:paraId="33DBB23D" w14:textId="77777777" w:rsidR="009D328E" w:rsidRDefault="009D328E" w:rsidP="0057561E">
            <w:pPr>
              <w:pStyle w:val="Style8"/>
              <w:spacing w:before="115" w:line="240" w:lineRule="auto"/>
              <w:ind w:left="10" w:right="29" w:firstLine="0"/>
              <w:rPr>
                <w:sz w:val="22"/>
                <w:szCs w:val="22"/>
              </w:rPr>
            </w:pPr>
          </w:p>
          <w:p w14:paraId="0E51AA40" w14:textId="77777777" w:rsidR="00262616" w:rsidRPr="00ED441F" w:rsidRDefault="009D328E" w:rsidP="0057561E">
            <w:pPr>
              <w:pStyle w:val="Style8"/>
              <w:spacing w:before="115" w:line="240" w:lineRule="auto"/>
              <w:ind w:left="10" w:right="29" w:firstLine="0"/>
              <w:rPr>
                <w:sz w:val="22"/>
                <w:szCs w:val="22"/>
              </w:rPr>
            </w:pPr>
            <w:r>
              <w:rPr>
                <w:sz w:val="22"/>
                <w:szCs w:val="22"/>
              </w:rPr>
              <w:t xml:space="preserve"> </w:t>
            </w:r>
          </w:p>
        </w:tc>
      </w:tr>
      <w:tr w:rsidR="006A701A" w:rsidRPr="008B4FE6" w14:paraId="43F6E9C2" w14:textId="77777777" w:rsidTr="00676C8D">
        <w:trPr>
          <w:gridAfter w:val="1"/>
          <w:wAfter w:w="10" w:type="dxa"/>
          <w:trHeight w:val="359"/>
        </w:trPr>
        <w:tc>
          <w:tcPr>
            <w:tcW w:w="10937" w:type="dxa"/>
            <w:gridSpan w:val="30"/>
            <w:shd w:val="clear" w:color="auto" w:fill="99CCFF"/>
            <w:vAlign w:val="center"/>
          </w:tcPr>
          <w:p w14:paraId="2139DD99" w14:textId="77777777"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Podmioty, na które oddziałuje projekt</w:t>
            </w:r>
          </w:p>
        </w:tc>
      </w:tr>
      <w:tr w:rsidR="00260F33" w:rsidRPr="008B4FE6" w14:paraId="4EB50728" w14:textId="77777777" w:rsidTr="00676C8D">
        <w:trPr>
          <w:gridAfter w:val="1"/>
          <w:wAfter w:w="10" w:type="dxa"/>
          <w:trHeight w:val="142"/>
        </w:trPr>
        <w:tc>
          <w:tcPr>
            <w:tcW w:w="2668" w:type="dxa"/>
            <w:gridSpan w:val="3"/>
            <w:shd w:val="clear" w:color="auto" w:fill="auto"/>
          </w:tcPr>
          <w:p w14:paraId="727293A3"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shd w:val="clear" w:color="auto" w:fill="auto"/>
          </w:tcPr>
          <w:p w14:paraId="3096BE17"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14:paraId="22074529"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7"/>
            <w:shd w:val="clear" w:color="auto" w:fill="auto"/>
          </w:tcPr>
          <w:p w14:paraId="0BF4F058"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1B087A" w:rsidRPr="008B4FE6" w14:paraId="14C02C72" w14:textId="77777777" w:rsidTr="00676C8D">
        <w:trPr>
          <w:gridAfter w:val="1"/>
          <w:wAfter w:w="10" w:type="dxa"/>
          <w:trHeight w:val="142"/>
        </w:trPr>
        <w:tc>
          <w:tcPr>
            <w:tcW w:w="2668" w:type="dxa"/>
            <w:gridSpan w:val="3"/>
            <w:shd w:val="clear" w:color="auto" w:fill="auto"/>
          </w:tcPr>
          <w:p w14:paraId="11E0634C" w14:textId="77777777" w:rsidR="001B087A" w:rsidRPr="008B4FE6" w:rsidRDefault="00EA0EF9" w:rsidP="00EA0EF9">
            <w:pPr>
              <w:spacing w:line="240" w:lineRule="auto"/>
              <w:rPr>
                <w:rFonts w:ascii="Times New Roman" w:hAnsi="Times New Roman"/>
                <w:color w:val="000000"/>
                <w:spacing w:val="-2"/>
              </w:rPr>
            </w:pPr>
            <w:r>
              <w:rPr>
                <w:rFonts w:ascii="Times New Roman" w:hAnsi="Times New Roman"/>
                <w:color w:val="000000"/>
              </w:rPr>
              <w:t>Instytucje pożyczkowe</w:t>
            </w:r>
          </w:p>
        </w:tc>
        <w:tc>
          <w:tcPr>
            <w:tcW w:w="2292" w:type="dxa"/>
            <w:gridSpan w:val="8"/>
            <w:shd w:val="clear" w:color="auto" w:fill="auto"/>
          </w:tcPr>
          <w:p w14:paraId="684E2550" w14:textId="77777777" w:rsidR="001B087A" w:rsidRPr="00B37C80" w:rsidRDefault="000D4918" w:rsidP="000D4918">
            <w:pPr>
              <w:spacing w:line="240" w:lineRule="auto"/>
              <w:rPr>
                <w:rFonts w:ascii="Times New Roman" w:hAnsi="Times New Roman"/>
                <w:color w:val="000000"/>
                <w:spacing w:val="-2"/>
              </w:rPr>
            </w:pPr>
            <w:r>
              <w:rPr>
                <w:rFonts w:ascii="Times New Roman" w:hAnsi="Times New Roman"/>
                <w:color w:val="000000"/>
                <w:spacing w:val="-2"/>
              </w:rPr>
              <w:t>424</w:t>
            </w:r>
            <w:r w:rsidR="00EA0EF9">
              <w:rPr>
                <w:rFonts w:ascii="Times New Roman" w:hAnsi="Times New Roman"/>
                <w:color w:val="000000"/>
                <w:spacing w:val="-2"/>
              </w:rPr>
              <w:t xml:space="preserve"> – wg stanu na dzień</w:t>
            </w:r>
            <w:r w:rsidR="001B087A">
              <w:rPr>
                <w:rFonts w:ascii="Times New Roman" w:hAnsi="Times New Roman"/>
                <w:color w:val="000000"/>
                <w:spacing w:val="-2"/>
              </w:rPr>
              <w:t xml:space="preserve"> </w:t>
            </w:r>
            <w:r w:rsidR="00823E35">
              <w:rPr>
                <w:rFonts w:ascii="Times New Roman" w:hAnsi="Times New Roman"/>
                <w:color w:val="000000"/>
                <w:spacing w:val="-2"/>
              </w:rPr>
              <w:t>2</w:t>
            </w:r>
            <w:r>
              <w:rPr>
                <w:rFonts w:ascii="Times New Roman" w:hAnsi="Times New Roman"/>
                <w:color w:val="000000"/>
                <w:spacing w:val="-2"/>
              </w:rPr>
              <w:t>1</w:t>
            </w:r>
            <w:r w:rsidR="00823E35">
              <w:rPr>
                <w:rFonts w:ascii="Times New Roman" w:hAnsi="Times New Roman"/>
                <w:color w:val="000000"/>
                <w:spacing w:val="-2"/>
              </w:rPr>
              <w:t>.01.201</w:t>
            </w:r>
            <w:r>
              <w:rPr>
                <w:rFonts w:ascii="Times New Roman" w:hAnsi="Times New Roman"/>
                <w:color w:val="000000"/>
                <w:spacing w:val="-2"/>
              </w:rPr>
              <w:t>9</w:t>
            </w:r>
            <w:r w:rsidR="00823E35">
              <w:rPr>
                <w:rFonts w:ascii="Times New Roman" w:hAnsi="Times New Roman"/>
                <w:color w:val="000000"/>
                <w:spacing w:val="-2"/>
              </w:rPr>
              <w:t xml:space="preserve"> r.</w:t>
            </w:r>
          </w:p>
        </w:tc>
        <w:tc>
          <w:tcPr>
            <w:tcW w:w="2996" w:type="dxa"/>
            <w:gridSpan w:val="12"/>
            <w:shd w:val="clear" w:color="auto" w:fill="auto"/>
          </w:tcPr>
          <w:p w14:paraId="18FA4B93" w14:textId="77777777" w:rsidR="001B087A" w:rsidRPr="00B37C80" w:rsidRDefault="00F942F0" w:rsidP="009D328E">
            <w:pPr>
              <w:spacing w:line="240" w:lineRule="auto"/>
              <w:rPr>
                <w:rFonts w:ascii="Times New Roman" w:hAnsi="Times New Roman"/>
                <w:color w:val="000000"/>
                <w:spacing w:val="-2"/>
              </w:rPr>
            </w:pPr>
            <w:r>
              <w:rPr>
                <w:rFonts w:ascii="Times New Roman" w:hAnsi="Times New Roman"/>
                <w:color w:val="000000"/>
                <w:spacing w:val="-2"/>
              </w:rPr>
              <w:t xml:space="preserve">KNF </w:t>
            </w:r>
            <w:r w:rsidR="009D328E">
              <w:rPr>
                <w:rFonts w:ascii="Times New Roman" w:hAnsi="Times New Roman"/>
                <w:color w:val="000000"/>
                <w:spacing w:val="-2"/>
              </w:rPr>
              <w:t>–</w:t>
            </w:r>
            <w:r>
              <w:rPr>
                <w:rFonts w:ascii="Times New Roman" w:hAnsi="Times New Roman"/>
                <w:color w:val="000000"/>
                <w:spacing w:val="-2"/>
              </w:rPr>
              <w:t xml:space="preserve"> </w:t>
            </w:r>
            <w:r w:rsidRPr="00F942F0">
              <w:rPr>
                <w:rFonts w:ascii="Times New Roman" w:hAnsi="Times New Roman"/>
                <w:color w:val="000000"/>
                <w:spacing w:val="-2"/>
              </w:rPr>
              <w:t>Rejestr Instytucji Pożyczkowych</w:t>
            </w:r>
          </w:p>
        </w:tc>
        <w:tc>
          <w:tcPr>
            <w:tcW w:w="2981" w:type="dxa"/>
            <w:gridSpan w:val="7"/>
            <w:vMerge w:val="restart"/>
            <w:shd w:val="clear" w:color="auto" w:fill="auto"/>
          </w:tcPr>
          <w:p w14:paraId="55321440" w14:textId="77777777" w:rsidR="001B087A" w:rsidRDefault="001B087A" w:rsidP="002A40F8">
            <w:pPr>
              <w:spacing w:line="240" w:lineRule="auto"/>
              <w:rPr>
                <w:rFonts w:ascii="Times New Roman" w:hAnsi="Times New Roman"/>
                <w:color w:val="000000"/>
                <w:spacing w:val="-2"/>
              </w:rPr>
            </w:pPr>
            <w:r>
              <w:rPr>
                <w:rFonts w:ascii="Times New Roman" w:hAnsi="Times New Roman"/>
                <w:color w:val="000000"/>
                <w:spacing w:val="-2"/>
              </w:rPr>
              <w:t xml:space="preserve">Wprowadzenie penalizacji </w:t>
            </w:r>
            <w:r w:rsidRPr="00271CD3">
              <w:rPr>
                <w:rFonts w:ascii="Times New Roman" w:hAnsi="Times New Roman"/>
                <w:color w:val="000000"/>
                <w:spacing w:val="-2"/>
              </w:rPr>
              <w:t>działalno</w:t>
            </w:r>
            <w:r>
              <w:rPr>
                <w:rFonts w:ascii="Times New Roman" w:hAnsi="Times New Roman"/>
                <w:color w:val="000000"/>
                <w:spacing w:val="-2"/>
              </w:rPr>
              <w:t>ści lichwiarskiej sensu stricto,</w:t>
            </w:r>
            <w:r w:rsidRPr="00271CD3">
              <w:rPr>
                <w:rFonts w:ascii="Times New Roman" w:hAnsi="Times New Roman"/>
                <w:color w:val="000000"/>
                <w:spacing w:val="-2"/>
              </w:rPr>
              <w:t xml:space="preserve"> czyli żądania od pokrzywdzonego świadczenia wzajemnego przekraczającego określoną w przepisie wartość przekraczającą równowartość należnych odsetek maksymalnych.</w:t>
            </w:r>
          </w:p>
          <w:p w14:paraId="7D3FD0E2" w14:textId="77777777" w:rsidR="001B087A" w:rsidRPr="00B37C80" w:rsidRDefault="001B087A" w:rsidP="002A40F8">
            <w:pPr>
              <w:spacing w:line="240" w:lineRule="auto"/>
              <w:rPr>
                <w:rFonts w:ascii="Times New Roman" w:hAnsi="Times New Roman"/>
                <w:color w:val="000000"/>
                <w:spacing w:val="-2"/>
              </w:rPr>
            </w:pPr>
            <w:r w:rsidRPr="005D3A6F">
              <w:rPr>
                <w:rFonts w:ascii="Times New Roman" w:hAnsi="Times New Roman"/>
                <w:color w:val="000000"/>
                <w:spacing w:val="-2"/>
              </w:rPr>
              <w:t>Konieczność przestrzegania</w:t>
            </w:r>
            <w:r>
              <w:rPr>
                <w:rFonts w:ascii="Times New Roman" w:hAnsi="Times New Roman"/>
                <w:color w:val="000000"/>
                <w:spacing w:val="-2"/>
              </w:rPr>
              <w:t xml:space="preserve"> </w:t>
            </w:r>
            <w:r w:rsidRPr="005D3A6F">
              <w:rPr>
                <w:rFonts w:ascii="Times New Roman" w:hAnsi="Times New Roman"/>
                <w:color w:val="000000"/>
                <w:spacing w:val="-2"/>
              </w:rPr>
              <w:t>ustawowych</w:t>
            </w:r>
            <w:r>
              <w:rPr>
                <w:rFonts w:ascii="Times New Roman" w:hAnsi="Times New Roman"/>
                <w:color w:val="000000"/>
                <w:spacing w:val="-2"/>
              </w:rPr>
              <w:t xml:space="preserve"> </w:t>
            </w:r>
            <w:r w:rsidRPr="005D3A6F">
              <w:rPr>
                <w:rFonts w:ascii="Times New Roman" w:hAnsi="Times New Roman"/>
                <w:color w:val="000000"/>
                <w:spacing w:val="-2"/>
              </w:rPr>
              <w:t>limitów dot.</w:t>
            </w:r>
            <w:r>
              <w:rPr>
                <w:rFonts w:ascii="Times New Roman" w:hAnsi="Times New Roman"/>
                <w:color w:val="000000"/>
                <w:spacing w:val="-2"/>
              </w:rPr>
              <w:t xml:space="preserve"> </w:t>
            </w:r>
            <w:r w:rsidRPr="005D3A6F">
              <w:rPr>
                <w:rFonts w:ascii="Times New Roman" w:hAnsi="Times New Roman"/>
                <w:color w:val="000000"/>
                <w:spacing w:val="-2"/>
              </w:rPr>
              <w:t>kosztów</w:t>
            </w:r>
            <w:r>
              <w:rPr>
                <w:rFonts w:ascii="Times New Roman" w:hAnsi="Times New Roman"/>
                <w:color w:val="000000"/>
                <w:spacing w:val="-2"/>
              </w:rPr>
              <w:t xml:space="preserve"> kredytu </w:t>
            </w:r>
            <w:r w:rsidRPr="005D3A6F">
              <w:rPr>
                <w:rFonts w:ascii="Times New Roman" w:hAnsi="Times New Roman"/>
                <w:color w:val="000000"/>
                <w:spacing w:val="-2"/>
              </w:rPr>
              <w:t>konsumenckiego</w:t>
            </w:r>
            <w:r>
              <w:rPr>
                <w:rFonts w:ascii="Times New Roman" w:hAnsi="Times New Roman"/>
                <w:color w:val="000000"/>
                <w:spacing w:val="-2"/>
              </w:rPr>
              <w:t>.</w:t>
            </w:r>
          </w:p>
          <w:p w14:paraId="143D750D" w14:textId="77777777" w:rsidR="001B087A" w:rsidRPr="00B37C80" w:rsidRDefault="001B087A" w:rsidP="003A3AAE">
            <w:pPr>
              <w:spacing w:line="240" w:lineRule="auto"/>
              <w:rPr>
                <w:rFonts w:ascii="Times New Roman" w:hAnsi="Times New Roman"/>
                <w:color w:val="000000"/>
                <w:spacing w:val="-2"/>
              </w:rPr>
            </w:pPr>
          </w:p>
        </w:tc>
      </w:tr>
      <w:tr w:rsidR="001B087A" w:rsidRPr="008B4FE6" w14:paraId="13A9FEC0" w14:textId="77777777" w:rsidTr="00676C8D">
        <w:trPr>
          <w:gridAfter w:val="1"/>
          <w:wAfter w:w="10" w:type="dxa"/>
          <w:trHeight w:val="142"/>
        </w:trPr>
        <w:tc>
          <w:tcPr>
            <w:tcW w:w="2668" w:type="dxa"/>
            <w:gridSpan w:val="3"/>
            <w:shd w:val="clear" w:color="auto" w:fill="auto"/>
          </w:tcPr>
          <w:p w14:paraId="2B75D826" w14:textId="77777777" w:rsidR="001B087A" w:rsidRDefault="001B087A" w:rsidP="007F0021">
            <w:pPr>
              <w:spacing w:line="240" w:lineRule="auto"/>
              <w:rPr>
                <w:rFonts w:ascii="Times New Roman" w:hAnsi="Times New Roman"/>
                <w:color w:val="000000"/>
              </w:rPr>
            </w:pPr>
            <w:r>
              <w:rPr>
                <w:rFonts w:ascii="Times New Roman" w:hAnsi="Times New Roman"/>
                <w:color w:val="000000"/>
              </w:rPr>
              <w:t>Pośrednicy kredytowi</w:t>
            </w:r>
          </w:p>
        </w:tc>
        <w:tc>
          <w:tcPr>
            <w:tcW w:w="2292" w:type="dxa"/>
            <w:gridSpan w:val="8"/>
            <w:shd w:val="clear" w:color="auto" w:fill="auto"/>
          </w:tcPr>
          <w:p w14:paraId="62F1EF43" w14:textId="77777777" w:rsidR="001B087A" w:rsidRPr="00E76696" w:rsidRDefault="00870043" w:rsidP="0071276E">
            <w:pPr>
              <w:spacing w:line="240" w:lineRule="auto"/>
              <w:rPr>
                <w:rFonts w:ascii="Times New Roman" w:hAnsi="Times New Roman"/>
                <w:spacing w:val="-2"/>
              </w:rPr>
            </w:pPr>
            <w:r>
              <w:rPr>
                <w:rFonts w:ascii="Times New Roman" w:hAnsi="Times New Roman"/>
                <w:spacing w:val="-2"/>
              </w:rPr>
              <w:t>27</w:t>
            </w:r>
            <w:r w:rsidR="0071276E">
              <w:rPr>
                <w:rFonts w:ascii="Times New Roman" w:hAnsi="Times New Roman"/>
                <w:spacing w:val="-2"/>
              </w:rPr>
              <w:t> </w:t>
            </w:r>
            <w:r>
              <w:rPr>
                <w:rFonts w:ascii="Times New Roman" w:hAnsi="Times New Roman"/>
                <w:spacing w:val="-2"/>
              </w:rPr>
              <w:t xml:space="preserve">917 - </w:t>
            </w:r>
            <w:r w:rsidR="00090705">
              <w:t xml:space="preserve"> </w:t>
            </w:r>
            <w:r>
              <w:rPr>
                <w:rFonts w:ascii="Times New Roman" w:hAnsi="Times New Roman"/>
                <w:color w:val="000000"/>
                <w:spacing w:val="-2"/>
              </w:rPr>
              <w:t>wg stanu na dzień</w:t>
            </w:r>
            <w:r w:rsidRPr="00090705">
              <w:rPr>
                <w:rFonts w:ascii="Times New Roman" w:hAnsi="Times New Roman"/>
                <w:spacing w:val="-2"/>
              </w:rPr>
              <w:t xml:space="preserve"> </w:t>
            </w:r>
            <w:r w:rsidR="0071276E">
              <w:rPr>
                <w:rFonts w:ascii="Times New Roman" w:hAnsi="Times New Roman"/>
                <w:spacing w:val="-2"/>
              </w:rPr>
              <w:t>31.12.</w:t>
            </w:r>
            <w:r w:rsidR="00090705" w:rsidRPr="00090705">
              <w:rPr>
                <w:rFonts w:ascii="Times New Roman" w:hAnsi="Times New Roman"/>
                <w:spacing w:val="-2"/>
              </w:rPr>
              <w:t>2018</w:t>
            </w:r>
            <w:r>
              <w:rPr>
                <w:rFonts w:ascii="Times New Roman" w:hAnsi="Times New Roman"/>
                <w:spacing w:val="-2"/>
              </w:rPr>
              <w:t xml:space="preserve"> r.</w:t>
            </w:r>
          </w:p>
        </w:tc>
        <w:tc>
          <w:tcPr>
            <w:tcW w:w="2996" w:type="dxa"/>
            <w:gridSpan w:val="12"/>
            <w:shd w:val="clear" w:color="auto" w:fill="auto"/>
          </w:tcPr>
          <w:p w14:paraId="7674C5C9" w14:textId="77777777" w:rsidR="001B087A" w:rsidRDefault="00870043" w:rsidP="00870043">
            <w:pPr>
              <w:spacing w:line="240" w:lineRule="auto"/>
              <w:rPr>
                <w:rFonts w:ascii="Times New Roman" w:hAnsi="Times New Roman"/>
                <w:color w:val="000000"/>
                <w:spacing w:val="-2"/>
              </w:rPr>
            </w:pPr>
            <w:r>
              <w:rPr>
                <w:rFonts w:ascii="Times New Roman" w:hAnsi="Times New Roman"/>
                <w:color w:val="000000"/>
                <w:spacing w:val="-2"/>
              </w:rPr>
              <w:t>Sprawozdanie KNF za 2018 r.</w:t>
            </w:r>
          </w:p>
        </w:tc>
        <w:tc>
          <w:tcPr>
            <w:tcW w:w="2981" w:type="dxa"/>
            <w:gridSpan w:val="7"/>
            <w:vMerge/>
            <w:shd w:val="clear" w:color="auto" w:fill="auto"/>
          </w:tcPr>
          <w:p w14:paraId="78D4B829" w14:textId="77777777" w:rsidR="001B087A" w:rsidRPr="005D3A6F" w:rsidRDefault="001B087A" w:rsidP="003A3AAE">
            <w:pPr>
              <w:spacing w:line="240" w:lineRule="auto"/>
              <w:rPr>
                <w:rFonts w:ascii="Times New Roman" w:hAnsi="Times New Roman"/>
                <w:color w:val="000000"/>
                <w:spacing w:val="-2"/>
              </w:rPr>
            </w:pPr>
          </w:p>
        </w:tc>
      </w:tr>
      <w:tr w:rsidR="00241CC0" w:rsidRPr="009E42B5" w14:paraId="07023877" w14:textId="77777777" w:rsidTr="00676C8D">
        <w:trPr>
          <w:gridAfter w:val="1"/>
          <w:wAfter w:w="10" w:type="dxa"/>
          <w:trHeight w:val="142"/>
        </w:trPr>
        <w:tc>
          <w:tcPr>
            <w:tcW w:w="2668" w:type="dxa"/>
            <w:gridSpan w:val="3"/>
            <w:shd w:val="clear" w:color="auto" w:fill="auto"/>
          </w:tcPr>
          <w:p w14:paraId="7B9EB6FB" w14:textId="77777777" w:rsidR="00241CC0" w:rsidRPr="009E42B5" w:rsidRDefault="00DA4F67" w:rsidP="00825201">
            <w:pPr>
              <w:spacing w:line="240" w:lineRule="auto"/>
              <w:rPr>
                <w:rFonts w:ascii="Times New Roman" w:hAnsi="Times New Roman"/>
                <w:color w:val="000000"/>
              </w:rPr>
            </w:pPr>
            <w:r w:rsidRPr="009E42B5">
              <w:rPr>
                <w:rFonts w:ascii="Times New Roman" w:hAnsi="Times New Roman"/>
                <w:color w:val="000000"/>
              </w:rPr>
              <w:t>Biura informacji gospodarczej</w:t>
            </w:r>
          </w:p>
        </w:tc>
        <w:tc>
          <w:tcPr>
            <w:tcW w:w="2292" w:type="dxa"/>
            <w:gridSpan w:val="8"/>
            <w:shd w:val="clear" w:color="auto" w:fill="auto"/>
          </w:tcPr>
          <w:p w14:paraId="12DEB3F9" w14:textId="77777777" w:rsidR="00241CC0" w:rsidRPr="009E42B5" w:rsidRDefault="00DA4F67" w:rsidP="007F0021">
            <w:pPr>
              <w:spacing w:line="240" w:lineRule="auto"/>
              <w:rPr>
                <w:rFonts w:ascii="Times New Roman" w:hAnsi="Times New Roman"/>
                <w:spacing w:val="-2"/>
              </w:rPr>
            </w:pPr>
            <w:r w:rsidRPr="009E42B5">
              <w:rPr>
                <w:rFonts w:ascii="Times New Roman" w:hAnsi="Times New Roman"/>
                <w:spacing w:val="-2"/>
              </w:rPr>
              <w:t>6</w:t>
            </w:r>
          </w:p>
        </w:tc>
        <w:tc>
          <w:tcPr>
            <w:tcW w:w="2996" w:type="dxa"/>
            <w:gridSpan w:val="12"/>
            <w:shd w:val="clear" w:color="auto" w:fill="auto"/>
          </w:tcPr>
          <w:p w14:paraId="04AB0372" w14:textId="77777777" w:rsidR="00241CC0" w:rsidRPr="009E42B5" w:rsidRDefault="00DA4F67" w:rsidP="007F0021">
            <w:pPr>
              <w:spacing w:line="240" w:lineRule="auto"/>
              <w:rPr>
                <w:rFonts w:ascii="Times New Roman" w:hAnsi="Times New Roman"/>
                <w:color w:val="000000"/>
                <w:spacing w:val="-2"/>
              </w:rPr>
            </w:pPr>
            <w:r w:rsidRPr="009E42B5">
              <w:rPr>
                <w:rFonts w:ascii="Times New Roman" w:hAnsi="Times New Roman"/>
                <w:color w:val="000000"/>
                <w:spacing w:val="-2"/>
              </w:rPr>
              <w:t>Ministerstwo Przedsiębiorczości i</w:t>
            </w:r>
            <w:r w:rsidR="00F63484">
              <w:rPr>
                <w:rFonts w:ascii="Times New Roman" w:hAnsi="Times New Roman"/>
                <w:color w:val="000000"/>
                <w:spacing w:val="-2"/>
              </w:rPr>
              <w:t> </w:t>
            </w:r>
            <w:r w:rsidRPr="009E42B5">
              <w:rPr>
                <w:rFonts w:ascii="Times New Roman" w:hAnsi="Times New Roman"/>
                <w:color w:val="000000"/>
                <w:spacing w:val="-2"/>
              </w:rPr>
              <w:t>Technologii</w:t>
            </w:r>
          </w:p>
        </w:tc>
        <w:tc>
          <w:tcPr>
            <w:tcW w:w="2981" w:type="dxa"/>
            <w:gridSpan w:val="7"/>
            <w:shd w:val="clear" w:color="auto" w:fill="auto"/>
          </w:tcPr>
          <w:p w14:paraId="2FAFD16E" w14:textId="77777777" w:rsidR="00241CC0" w:rsidRPr="009E42B5" w:rsidRDefault="0051739B" w:rsidP="00D15B92">
            <w:pPr>
              <w:spacing w:line="240" w:lineRule="auto"/>
              <w:rPr>
                <w:rFonts w:ascii="Times New Roman" w:hAnsi="Times New Roman"/>
                <w:color w:val="000000"/>
                <w:spacing w:val="-2"/>
              </w:rPr>
            </w:pPr>
            <w:r w:rsidRPr="009E42B5">
              <w:rPr>
                <w:rFonts w:ascii="Times New Roman" w:hAnsi="Times New Roman"/>
                <w:color w:val="000000"/>
                <w:spacing w:val="-2"/>
              </w:rPr>
              <w:t xml:space="preserve">Uczestnictwo w </w:t>
            </w:r>
            <w:r w:rsidR="00D15B92" w:rsidRPr="009E42B5">
              <w:rPr>
                <w:rFonts w:ascii="Times New Roman" w:hAnsi="Times New Roman"/>
                <w:color w:val="000000"/>
                <w:spacing w:val="-2"/>
              </w:rPr>
              <w:t xml:space="preserve">weryfikacji </w:t>
            </w:r>
            <w:r w:rsidR="00D15B92" w:rsidRPr="009E42B5">
              <w:rPr>
                <w:rFonts w:ascii="Times New Roman" w:hAnsi="Times New Roman"/>
              </w:rPr>
              <w:t xml:space="preserve">wiarygodności </w:t>
            </w:r>
            <w:r w:rsidRPr="009E42B5">
              <w:rPr>
                <w:rFonts w:ascii="Times New Roman" w:hAnsi="Times New Roman"/>
                <w:color w:val="000000"/>
                <w:spacing w:val="-2"/>
              </w:rPr>
              <w:t>oświad</w:t>
            </w:r>
            <w:r w:rsidR="009E42B5" w:rsidRPr="009E42B5">
              <w:rPr>
                <w:rFonts w:ascii="Times New Roman" w:hAnsi="Times New Roman"/>
                <w:color w:val="000000"/>
                <w:spacing w:val="-2"/>
              </w:rPr>
              <w:t>czenia</w:t>
            </w:r>
            <w:r w:rsidRPr="009E42B5">
              <w:rPr>
                <w:rFonts w:ascii="Times New Roman" w:hAnsi="Times New Roman"/>
                <w:color w:val="000000"/>
                <w:spacing w:val="-2"/>
              </w:rPr>
              <w:t xml:space="preserve"> o</w:t>
            </w:r>
            <w:r w:rsidR="00F63484">
              <w:rPr>
                <w:rFonts w:ascii="Times New Roman" w:hAnsi="Times New Roman"/>
                <w:color w:val="000000"/>
                <w:spacing w:val="-2"/>
              </w:rPr>
              <w:t> </w:t>
            </w:r>
            <w:r w:rsidRPr="009E42B5">
              <w:rPr>
                <w:rFonts w:ascii="Times New Roman" w:hAnsi="Times New Roman"/>
                <w:color w:val="000000"/>
                <w:spacing w:val="-2"/>
              </w:rPr>
              <w:t xml:space="preserve">dochodach i wydatkach </w:t>
            </w:r>
            <w:r w:rsidR="009E42B5" w:rsidRPr="009E42B5">
              <w:rPr>
                <w:rFonts w:ascii="Times New Roman" w:hAnsi="Times New Roman"/>
                <w:color w:val="000000"/>
                <w:spacing w:val="-2"/>
              </w:rPr>
              <w:t>złożonego przez osobę ubiegającą się o kredyt konsumencki</w:t>
            </w:r>
          </w:p>
        </w:tc>
      </w:tr>
      <w:tr w:rsidR="00260F33" w:rsidRPr="008B4FE6" w14:paraId="716B223A" w14:textId="77777777" w:rsidTr="00676C8D">
        <w:trPr>
          <w:gridAfter w:val="1"/>
          <w:wAfter w:w="10" w:type="dxa"/>
          <w:trHeight w:val="142"/>
        </w:trPr>
        <w:tc>
          <w:tcPr>
            <w:tcW w:w="2668" w:type="dxa"/>
            <w:gridSpan w:val="3"/>
            <w:shd w:val="clear" w:color="auto" w:fill="auto"/>
          </w:tcPr>
          <w:p w14:paraId="7B3CD5FD" w14:textId="77777777" w:rsidR="00260F33" w:rsidRPr="008B4FE6" w:rsidRDefault="00825201" w:rsidP="00825201">
            <w:pPr>
              <w:spacing w:line="240" w:lineRule="auto"/>
              <w:rPr>
                <w:rFonts w:ascii="Times New Roman" w:hAnsi="Times New Roman"/>
                <w:color w:val="000000"/>
                <w:spacing w:val="-2"/>
              </w:rPr>
            </w:pPr>
            <w:r>
              <w:rPr>
                <w:rFonts w:ascii="Times New Roman" w:hAnsi="Times New Roman"/>
                <w:color w:val="000000"/>
              </w:rPr>
              <w:t>Banki</w:t>
            </w:r>
          </w:p>
        </w:tc>
        <w:tc>
          <w:tcPr>
            <w:tcW w:w="2292" w:type="dxa"/>
            <w:gridSpan w:val="8"/>
            <w:shd w:val="clear" w:color="auto" w:fill="auto"/>
          </w:tcPr>
          <w:p w14:paraId="67EA43EB" w14:textId="77777777" w:rsidR="00260F33" w:rsidRPr="00CB4BF0" w:rsidRDefault="00825201" w:rsidP="007F0021">
            <w:pPr>
              <w:spacing w:line="240" w:lineRule="auto"/>
              <w:rPr>
                <w:rFonts w:ascii="Times New Roman" w:hAnsi="Times New Roman"/>
                <w:spacing w:val="-2"/>
              </w:rPr>
            </w:pPr>
            <w:r w:rsidRPr="00CB4BF0">
              <w:rPr>
                <w:rFonts w:ascii="Times New Roman" w:hAnsi="Times New Roman"/>
                <w:spacing w:val="-2"/>
              </w:rPr>
              <w:t>55</w:t>
            </w:r>
            <w:r w:rsidR="00626977">
              <w:rPr>
                <w:rFonts w:ascii="Times New Roman" w:hAnsi="Times New Roman"/>
                <w:spacing w:val="-2"/>
              </w:rPr>
              <w:t>0</w:t>
            </w:r>
            <w:r w:rsidRPr="00CB4BF0">
              <w:rPr>
                <w:rFonts w:ascii="Times New Roman" w:hAnsi="Times New Roman"/>
                <w:spacing w:val="-2"/>
              </w:rPr>
              <w:t xml:space="preserve"> </w:t>
            </w:r>
            <w:r w:rsidR="00232EAA" w:rsidRPr="00CB4BF0">
              <w:rPr>
                <w:rFonts w:ascii="Times New Roman" w:hAnsi="Times New Roman"/>
                <w:spacing w:val="-2"/>
              </w:rPr>
              <w:t>–</w:t>
            </w:r>
            <w:r w:rsidRPr="00CB4BF0">
              <w:rPr>
                <w:rFonts w:ascii="Times New Roman" w:hAnsi="Times New Roman"/>
                <w:spacing w:val="-2"/>
              </w:rPr>
              <w:t xml:space="preserve"> </w:t>
            </w:r>
            <w:r w:rsidR="00232EAA" w:rsidRPr="00CB4BF0">
              <w:rPr>
                <w:rFonts w:ascii="Times New Roman" w:hAnsi="Times New Roman"/>
                <w:spacing w:val="-2"/>
              </w:rPr>
              <w:t>l</w:t>
            </w:r>
            <w:r w:rsidR="0081075B">
              <w:rPr>
                <w:rFonts w:ascii="Times New Roman" w:hAnsi="Times New Roman"/>
                <w:spacing w:val="-2"/>
              </w:rPr>
              <w:t>iczba</w:t>
            </w:r>
            <w:r w:rsidR="00232EAA" w:rsidRPr="00CB4BF0">
              <w:rPr>
                <w:rFonts w:ascii="Times New Roman" w:hAnsi="Times New Roman"/>
                <w:spacing w:val="-2"/>
              </w:rPr>
              <w:t xml:space="preserve"> banków spółdzielczych</w:t>
            </w:r>
          </w:p>
          <w:p w14:paraId="213C75B3" w14:textId="77777777" w:rsidR="00232EAA" w:rsidRPr="00CB4BF0" w:rsidRDefault="00232EAA" w:rsidP="007F0021">
            <w:pPr>
              <w:spacing w:line="240" w:lineRule="auto"/>
              <w:rPr>
                <w:rFonts w:ascii="Times New Roman" w:hAnsi="Times New Roman"/>
                <w:spacing w:val="-2"/>
              </w:rPr>
            </w:pPr>
            <w:r w:rsidRPr="00CB4BF0">
              <w:rPr>
                <w:rFonts w:ascii="Times New Roman" w:hAnsi="Times New Roman"/>
                <w:spacing w:val="-2"/>
              </w:rPr>
              <w:t>3</w:t>
            </w:r>
            <w:r w:rsidR="00823957">
              <w:rPr>
                <w:rFonts w:ascii="Times New Roman" w:hAnsi="Times New Roman"/>
                <w:spacing w:val="-2"/>
              </w:rPr>
              <w:t>5</w:t>
            </w:r>
            <w:r w:rsidRPr="00CB4BF0">
              <w:rPr>
                <w:rFonts w:ascii="Times New Roman" w:hAnsi="Times New Roman"/>
                <w:spacing w:val="-2"/>
              </w:rPr>
              <w:t xml:space="preserve"> – liczba banków działających w formie spółki akcyjnej</w:t>
            </w:r>
          </w:p>
          <w:p w14:paraId="277C1A03" w14:textId="77777777" w:rsidR="00232EAA" w:rsidRPr="00CB4BF0" w:rsidRDefault="00823957" w:rsidP="007F0021">
            <w:pPr>
              <w:spacing w:line="240" w:lineRule="auto"/>
              <w:rPr>
                <w:rFonts w:ascii="Times New Roman" w:hAnsi="Times New Roman"/>
                <w:spacing w:val="-2"/>
              </w:rPr>
            </w:pPr>
            <w:r>
              <w:rPr>
                <w:rFonts w:ascii="Times New Roman" w:hAnsi="Times New Roman"/>
                <w:spacing w:val="-2"/>
              </w:rPr>
              <w:t>20</w:t>
            </w:r>
            <w:r w:rsidR="00232EAA" w:rsidRPr="00CB4BF0">
              <w:rPr>
                <w:rFonts w:ascii="Times New Roman" w:hAnsi="Times New Roman"/>
                <w:spacing w:val="-2"/>
              </w:rPr>
              <w:t xml:space="preserve"> – liczba banków komercyjnych</w:t>
            </w:r>
          </w:p>
          <w:p w14:paraId="5EFEB197" w14:textId="77777777" w:rsidR="00CB4BF0" w:rsidRPr="00CB4BF0" w:rsidRDefault="00CB4BF0" w:rsidP="007F0021">
            <w:pPr>
              <w:spacing w:line="240" w:lineRule="auto"/>
              <w:rPr>
                <w:rFonts w:ascii="Times New Roman" w:hAnsi="Times New Roman"/>
                <w:spacing w:val="-2"/>
              </w:rPr>
            </w:pPr>
          </w:p>
        </w:tc>
        <w:tc>
          <w:tcPr>
            <w:tcW w:w="2996" w:type="dxa"/>
            <w:gridSpan w:val="12"/>
            <w:shd w:val="clear" w:color="auto" w:fill="auto"/>
          </w:tcPr>
          <w:p w14:paraId="6BEFD927" w14:textId="77777777" w:rsidR="00260F33" w:rsidRPr="00B37C80" w:rsidRDefault="00213969" w:rsidP="007F0021">
            <w:pPr>
              <w:spacing w:line="240" w:lineRule="auto"/>
              <w:rPr>
                <w:rFonts w:ascii="Times New Roman" w:hAnsi="Times New Roman"/>
                <w:color w:val="000000"/>
                <w:spacing w:val="-2"/>
              </w:rPr>
            </w:pPr>
            <w:r>
              <w:rPr>
                <w:rFonts w:ascii="Times New Roman" w:hAnsi="Times New Roman"/>
                <w:color w:val="000000"/>
                <w:spacing w:val="-2"/>
              </w:rPr>
              <w:lastRenderedPageBreak/>
              <w:t xml:space="preserve">Rejestr </w:t>
            </w:r>
            <w:r w:rsidR="00626977">
              <w:rPr>
                <w:rFonts w:ascii="Times New Roman" w:hAnsi="Times New Roman"/>
                <w:color w:val="000000"/>
                <w:spacing w:val="-2"/>
              </w:rPr>
              <w:t>podmiotów sektora bankowego KNF</w:t>
            </w:r>
          </w:p>
        </w:tc>
        <w:tc>
          <w:tcPr>
            <w:tcW w:w="2981" w:type="dxa"/>
            <w:gridSpan w:val="7"/>
            <w:shd w:val="clear" w:color="auto" w:fill="auto"/>
          </w:tcPr>
          <w:p w14:paraId="6B6A8B33" w14:textId="77777777" w:rsidR="00260F33" w:rsidRPr="00B37C80" w:rsidRDefault="005B498D" w:rsidP="003A3AAE">
            <w:pPr>
              <w:spacing w:line="240" w:lineRule="auto"/>
              <w:rPr>
                <w:rFonts w:ascii="Times New Roman" w:hAnsi="Times New Roman"/>
                <w:color w:val="000000"/>
                <w:spacing w:val="-2"/>
              </w:rPr>
            </w:pPr>
            <w:r>
              <w:rPr>
                <w:rFonts w:ascii="Times New Roman" w:hAnsi="Times New Roman"/>
                <w:color w:val="000000"/>
                <w:spacing w:val="-2"/>
              </w:rPr>
              <w:t xml:space="preserve">Określenie maksymalnej wysokości kosztów </w:t>
            </w:r>
            <w:proofErr w:type="spellStart"/>
            <w:r>
              <w:rPr>
                <w:rFonts w:ascii="Times New Roman" w:hAnsi="Times New Roman"/>
                <w:color w:val="000000"/>
                <w:spacing w:val="-2"/>
              </w:rPr>
              <w:t>pozaodsetkowych</w:t>
            </w:r>
            <w:proofErr w:type="spellEnd"/>
            <w:r>
              <w:rPr>
                <w:rFonts w:ascii="Times New Roman" w:hAnsi="Times New Roman"/>
                <w:color w:val="000000"/>
                <w:spacing w:val="-2"/>
              </w:rPr>
              <w:t xml:space="preserve"> umowy kredytu lub pożyczki zawieranej z konsumentem</w:t>
            </w:r>
          </w:p>
        </w:tc>
      </w:tr>
      <w:tr w:rsidR="00DD29DE" w:rsidRPr="00704186" w14:paraId="31D34A92" w14:textId="77777777" w:rsidTr="00676C8D">
        <w:trPr>
          <w:gridAfter w:val="1"/>
          <w:wAfter w:w="10" w:type="dxa"/>
          <w:trHeight w:val="142"/>
        </w:trPr>
        <w:tc>
          <w:tcPr>
            <w:tcW w:w="2668" w:type="dxa"/>
            <w:gridSpan w:val="3"/>
            <w:shd w:val="clear" w:color="auto" w:fill="auto"/>
          </w:tcPr>
          <w:p w14:paraId="360D1145" w14:textId="77777777" w:rsidR="00DD29DE" w:rsidRDefault="003A7842" w:rsidP="00DD29DE">
            <w:pPr>
              <w:spacing w:line="240" w:lineRule="auto"/>
              <w:rPr>
                <w:rFonts w:ascii="Times New Roman" w:hAnsi="Times New Roman"/>
                <w:color w:val="000000"/>
              </w:rPr>
            </w:pPr>
            <w:r>
              <w:rPr>
                <w:rFonts w:ascii="Times New Roman" w:hAnsi="Times New Roman"/>
                <w:color w:val="000000"/>
              </w:rPr>
              <w:lastRenderedPageBreak/>
              <w:t>S</w:t>
            </w:r>
            <w:r w:rsidR="00DD29DE" w:rsidRPr="00DD29DE">
              <w:rPr>
                <w:rFonts w:ascii="Times New Roman" w:hAnsi="Times New Roman"/>
                <w:color w:val="000000"/>
              </w:rPr>
              <w:t>półdzielcze kasy oszczędnościowo-kredytowe</w:t>
            </w:r>
          </w:p>
        </w:tc>
        <w:tc>
          <w:tcPr>
            <w:tcW w:w="2292" w:type="dxa"/>
            <w:gridSpan w:val="8"/>
            <w:shd w:val="clear" w:color="auto" w:fill="auto"/>
          </w:tcPr>
          <w:p w14:paraId="2E5C43D5" w14:textId="77777777" w:rsidR="00DD29DE" w:rsidRDefault="00704186" w:rsidP="00824451">
            <w:pPr>
              <w:spacing w:line="240" w:lineRule="auto"/>
              <w:rPr>
                <w:rFonts w:ascii="Times New Roman" w:hAnsi="Times New Roman"/>
                <w:spacing w:val="-2"/>
              </w:rPr>
            </w:pPr>
            <w:r>
              <w:rPr>
                <w:rFonts w:ascii="Times New Roman" w:hAnsi="Times New Roman"/>
                <w:spacing w:val="-2"/>
              </w:rPr>
              <w:t>35</w:t>
            </w:r>
          </w:p>
        </w:tc>
        <w:tc>
          <w:tcPr>
            <w:tcW w:w="2996" w:type="dxa"/>
            <w:gridSpan w:val="12"/>
            <w:shd w:val="clear" w:color="auto" w:fill="auto"/>
          </w:tcPr>
          <w:p w14:paraId="24A30BF6" w14:textId="77777777" w:rsidR="00DD29DE" w:rsidRPr="00DB1D43" w:rsidRDefault="00704186" w:rsidP="00704186">
            <w:pPr>
              <w:spacing w:line="240" w:lineRule="auto"/>
              <w:rPr>
                <w:rFonts w:ascii="Times New Roman" w:hAnsi="Times New Roman"/>
                <w:i/>
                <w:color w:val="000000"/>
                <w:spacing w:val="-2"/>
              </w:rPr>
            </w:pPr>
            <w:r w:rsidRPr="00704186">
              <w:rPr>
                <w:rFonts w:ascii="Times New Roman" w:hAnsi="Times New Roman"/>
                <w:color w:val="000000"/>
                <w:spacing w:val="-2"/>
              </w:rPr>
              <w:t>KNF – dostęp na</w:t>
            </w:r>
            <w:r>
              <w:rPr>
                <w:rFonts w:ascii="Times New Roman" w:hAnsi="Times New Roman"/>
                <w:color w:val="000000"/>
                <w:spacing w:val="-2"/>
              </w:rPr>
              <w:t xml:space="preserve"> dzień 18.01.2018 r.</w:t>
            </w:r>
            <w:r>
              <w:t xml:space="preserve"> </w:t>
            </w:r>
            <w:r w:rsidR="008F4B57" w:rsidRPr="00D77FB5">
              <w:t>https://www.knf.gov.pl/podmioty/Podmioty_sektora_kas_spoldzielczych</w:t>
            </w:r>
            <w:r w:rsidRPr="00DB1D43">
              <w:rPr>
                <w:rFonts w:ascii="Times New Roman" w:hAnsi="Times New Roman"/>
                <w:i/>
                <w:color w:val="000000"/>
                <w:spacing w:val="-2"/>
              </w:rPr>
              <w:t xml:space="preserve"> </w:t>
            </w:r>
          </w:p>
        </w:tc>
        <w:tc>
          <w:tcPr>
            <w:tcW w:w="2981" w:type="dxa"/>
            <w:gridSpan w:val="7"/>
            <w:shd w:val="clear" w:color="auto" w:fill="auto"/>
          </w:tcPr>
          <w:p w14:paraId="1E0E9E15" w14:textId="77777777" w:rsidR="00DD29DE" w:rsidRPr="00704186" w:rsidRDefault="005B498D" w:rsidP="00D05E4E">
            <w:pPr>
              <w:spacing w:line="240" w:lineRule="auto"/>
              <w:rPr>
                <w:rFonts w:ascii="Times New Roman" w:hAnsi="Times New Roman"/>
                <w:color w:val="000000"/>
                <w:spacing w:val="-2"/>
              </w:rPr>
            </w:pPr>
            <w:r>
              <w:rPr>
                <w:rFonts w:ascii="Times New Roman" w:hAnsi="Times New Roman"/>
                <w:color w:val="000000"/>
                <w:spacing w:val="-2"/>
              </w:rPr>
              <w:t xml:space="preserve">Określenie maksymalnej wysokości kosztów </w:t>
            </w:r>
            <w:proofErr w:type="spellStart"/>
            <w:r>
              <w:rPr>
                <w:rFonts w:ascii="Times New Roman" w:hAnsi="Times New Roman"/>
                <w:color w:val="000000"/>
                <w:spacing w:val="-2"/>
              </w:rPr>
              <w:t>pozaodsetkowych</w:t>
            </w:r>
            <w:proofErr w:type="spellEnd"/>
            <w:r>
              <w:rPr>
                <w:rFonts w:ascii="Times New Roman" w:hAnsi="Times New Roman"/>
                <w:color w:val="000000"/>
                <w:spacing w:val="-2"/>
              </w:rPr>
              <w:t xml:space="preserve"> umowy kredytu lub pożyczki zawieranej z konsumentem</w:t>
            </w:r>
          </w:p>
        </w:tc>
      </w:tr>
      <w:tr w:rsidR="00E36B2A" w:rsidRPr="008B4FE6" w14:paraId="776E6367" w14:textId="77777777" w:rsidTr="00676C8D">
        <w:trPr>
          <w:gridAfter w:val="1"/>
          <w:wAfter w:w="10" w:type="dxa"/>
          <w:trHeight w:val="142"/>
        </w:trPr>
        <w:tc>
          <w:tcPr>
            <w:tcW w:w="2668" w:type="dxa"/>
            <w:gridSpan w:val="3"/>
            <w:shd w:val="clear" w:color="auto" w:fill="auto"/>
          </w:tcPr>
          <w:p w14:paraId="11E08CB2" w14:textId="77777777" w:rsidR="00E36B2A" w:rsidRPr="008B4FE6" w:rsidRDefault="00E36B2A" w:rsidP="008D6600">
            <w:pPr>
              <w:spacing w:line="240" w:lineRule="auto"/>
              <w:rPr>
                <w:rFonts w:ascii="Times New Roman" w:hAnsi="Times New Roman"/>
                <w:color w:val="000000"/>
                <w:spacing w:val="-2"/>
              </w:rPr>
            </w:pPr>
            <w:r>
              <w:rPr>
                <w:rFonts w:ascii="Times New Roman" w:hAnsi="Times New Roman"/>
                <w:color w:val="000000"/>
              </w:rPr>
              <w:t>Osoby f</w:t>
            </w:r>
            <w:r w:rsidR="008D6600">
              <w:rPr>
                <w:rFonts w:ascii="Times New Roman" w:hAnsi="Times New Roman"/>
                <w:color w:val="000000"/>
              </w:rPr>
              <w:t xml:space="preserve">izyczne korzystające z usług firm pożyczkowych </w:t>
            </w:r>
          </w:p>
        </w:tc>
        <w:tc>
          <w:tcPr>
            <w:tcW w:w="2292" w:type="dxa"/>
            <w:gridSpan w:val="8"/>
            <w:shd w:val="clear" w:color="auto" w:fill="auto"/>
          </w:tcPr>
          <w:p w14:paraId="6E825158" w14:textId="77777777" w:rsidR="009378C2" w:rsidRDefault="009378C2" w:rsidP="00717501">
            <w:pPr>
              <w:spacing w:line="240" w:lineRule="auto"/>
              <w:rPr>
                <w:rFonts w:ascii="Times New Roman" w:hAnsi="Times New Roman"/>
                <w:spacing w:val="-2"/>
              </w:rPr>
            </w:pPr>
            <w:r>
              <w:rPr>
                <w:rFonts w:ascii="Times New Roman" w:hAnsi="Times New Roman"/>
                <w:spacing w:val="-2"/>
              </w:rPr>
              <w:t>15 377 tys. – liczba klientów sektora bankowego i pożyczkowego posiadających czynne zobowiązania</w:t>
            </w:r>
          </w:p>
          <w:p w14:paraId="18777E27" w14:textId="77777777" w:rsidR="009378C2" w:rsidRPr="00CB4BF0" w:rsidRDefault="009378C2" w:rsidP="00717501">
            <w:pPr>
              <w:spacing w:line="240" w:lineRule="auto"/>
              <w:rPr>
                <w:rFonts w:ascii="Times New Roman" w:hAnsi="Times New Roman"/>
                <w:spacing w:val="-2"/>
              </w:rPr>
            </w:pPr>
            <w:r>
              <w:rPr>
                <w:rFonts w:ascii="Times New Roman" w:hAnsi="Times New Roman"/>
                <w:spacing w:val="-2"/>
              </w:rPr>
              <w:t>577,7 tys. – liczba pożyczkobiorców</w:t>
            </w:r>
          </w:p>
        </w:tc>
        <w:tc>
          <w:tcPr>
            <w:tcW w:w="2996" w:type="dxa"/>
            <w:gridSpan w:val="12"/>
            <w:shd w:val="clear" w:color="auto" w:fill="auto"/>
          </w:tcPr>
          <w:p w14:paraId="3B2F6846" w14:textId="77777777" w:rsidR="009378C2" w:rsidRPr="00B37C80" w:rsidRDefault="009378C2" w:rsidP="009378C2">
            <w:pPr>
              <w:spacing w:line="240" w:lineRule="auto"/>
              <w:rPr>
                <w:rFonts w:ascii="Times New Roman" w:hAnsi="Times New Roman"/>
                <w:color w:val="000000"/>
                <w:spacing w:val="-2"/>
              </w:rPr>
            </w:pPr>
            <w:r>
              <w:rPr>
                <w:rFonts w:ascii="Times New Roman" w:hAnsi="Times New Roman"/>
                <w:color w:val="000000"/>
                <w:spacing w:val="-2"/>
              </w:rPr>
              <w:t>Biuro Informacji Kredytowej, grudzień 2018 r.</w:t>
            </w:r>
          </w:p>
        </w:tc>
        <w:tc>
          <w:tcPr>
            <w:tcW w:w="2981" w:type="dxa"/>
            <w:gridSpan w:val="7"/>
            <w:shd w:val="clear" w:color="auto" w:fill="auto"/>
          </w:tcPr>
          <w:p w14:paraId="24C0118F" w14:textId="77777777" w:rsidR="00E36B2A" w:rsidRPr="00B37C80" w:rsidRDefault="003A3AAE" w:rsidP="00D05E4E">
            <w:pPr>
              <w:spacing w:line="240" w:lineRule="auto"/>
              <w:rPr>
                <w:rFonts w:ascii="Times New Roman" w:hAnsi="Times New Roman"/>
                <w:color w:val="000000"/>
                <w:spacing w:val="-2"/>
              </w:rPr>
            </w:pPr>
            <w:r>
              <w:rPr>
                <w:rFonts w:ascii="Times New Roman" w:hAnsi="Times New Roman"/>
                <w:color w:val="000000"/>
                <w:spacing w:val="-2"/>
              </w:rPr>
              <w:t xml:space="preserve">Ochrona przed ponoszeniem nadmiernych obciążeń z tytułu </w:t>
            </w:r>
            <w:r w:rsidR="00D05E4E">
              <w:rPr>
                <w:rFonts w:ascii="Times New Roman" w:hAnsi="Times New Roman"/>
                <w:color w:val="000000"/>
                <w:spacing w:val="-2"/>
              </w:rPr>
              <w:t>zaciągniętych</w:t>
            </w:r>
            <w:r>
              <w:rPr>
                <w:rFonts w:ascii="Times New Roman" w:hAnsi="Times New Roman"/>
                <w:color w:val="000000"/>
                <w:spacing w:val="-2"/>
              </w:rPr>
              <w:t xml:space="preserve"> pożyczek</w:t>
            </w:r>
          </w:p>
        </w:tc>
      </w:tr>
      <w:tr w:rsidR="00DD54E3" w:rsidRPr="008B4FE6" w14:paraId="219A6A20" w14:textId="77777777" w:rsidTr="00676C8D">
        <w:trPr>
          <w:gridAfter w:val="1"/>
          <w:wAfter w:w="10" w:type="dxa"/>
          <w:trHeight w:val="142"/>
        </w:trPr>
        <w:tc>
          <w:tcPr>
            <w:tcW w:w="2668" w:type="dxa"/>
            <w:gridSpan w:val="3"/>
            <w:shd w:val="clear" w:color="auto" w:fill="auto"/>
          </w:tcPr>
          <w:p w14:paraId="60E8590E" w14:textId="77777777" w:rsidR="00DD54E3" w:rsidRDefault="00DD54E3" w:rsidP="00717501">
            <w:pPr>
              <w:spacing w:line="240" w:lineRule="auto"/>
              <w:rPr>
                <w:rFonts w:ascii="Times New Roman" w:hAnsi="Times New Roman"/>
                <w:color w:val="000000"/>
              </w:rPr>
            </w:pPr>
            <w:r>
              <w:rPr>
                <w:rFonts w:ascii="Times New Roman" w:hAnsi="Times New Roman"/>
                <w:color w:val="000000"/>
              </w:rPr>
              <w:t>Komisja Nadzoru Finansowego</w:t>
            </w:r>
          </w:p>
        </w:tc>
        <w:tc>
          <w:tcPr>
            <w:tcW w:w="2292" w:type="dxa"/>
            <w:gridSpan w:val="8"/>
            <w:shd w:val="clear" w:color="auto" w:fill="auto"/>
          </w:tcPr>
          <w:p w14:paraId="4CAD6AFE" w14:textId="77777777" w:rsidR="00DD54E3" w:rsidRPr="00E36B2A" w:rsidRDefault="00C3035B" w:rsidP="00717501">
            <w:pPr>
              <w:spacing w:line="240" w:lineRule="auto"/>
              <w:rPr>
                <w:rFonts w:ascii="Times New Roman" w:hAnsi="Times New Roman"/>
                <w:color w:val="000000"/>
                <w:spacing w:val="-2"/>
              </w:rPr>
            </w:pPr>
            <w:r>
              <w:rPr>
                <w:rFonts w:ascii="Times New Roman" w:hAnsi="Times New Roman"/>
                <w:color w:val="000000"/>
                <w:spacing w:val="-2"/>
              </w:rPr>
              <w:t>1</w:t>
            </w:r>
          </w:p>
        </w:tc>
        <w:tc>
          <w:tcPr>
            <w:tcW w:w="2996" w:type="dxa"/>
            <w:gridSpan w:val="12"/>
            <w:shd w:val="clear" w:color="auto" w:fill="auto"/>
          </w:tcPr>
          <w:p w14:paraId="33EE643F" w14:textId="77777777" w:rsidR="00DD54E3" w:rsidRPr="00B37C80" w:rsidRDefault="00DD54E3" w:rsidP="00717501">
            <w:pPr>
              <w:spacing w:line="240" w:lineRule="auto"/>
              <w:rPr>
                <w:rFonts w:ascii="Times New Roman" w:hAnsi="Times New Roman"/>
                <w:color w:val="000000"/>
                <w:spacing w:val="-2"/>
              </w:rPr>
            </w:pPr>
          </w:p>
        </w:tc>
        <w:tc>
          <w:tcPr>
            <w:tcW w:w="2981" w:type="dxa"/>
            <w:gridSpan w:val="7"/>
            <w:shd w:val="clear" w:color="auto" w:fill="auto"/>
          </w:tcPr>
          <w:p w14:paraId="5B8893C9" w14:textId="77777777" w:rsidR="00DD54E3" w:rsidRDefault="00DD54E3" w:rsidP="000C7A86">
            <w:pPr>
              <w:spacing w:line="240" w:lineRule="auto"/>
              <w:rPr>
                <w:rFonts w:ascii="Times New Roman" w:hAnsi="Times New Roman"/>
                <w:color w:val="000000"/>
                <w:spacing w:val="-2"/>
              </w:rPr>
            </w:pPr>
            <w:r>
              <w:rPr>
                <w:rFonts w:ascii="Times New Roman" w:hAnsi="Times New Roman"/>
                <w:color w:val="000000"/>
                <w:spacing w:val="-2"/>
              </w:rPr>
              <w:t xml:space="preserve">Objęcie nadzorem </w:t>
            </w:r>
            <w:r w:rsidR="00C3035B">
              <w:rPr>
                <w:rFonts w:ascii="Times New Roman" w:hAnsi="Times New Roman"/>
                <w:color w:val="000000"/>
                <w:spacing w:val="-2"/>
              </w:rPr>
              <w:t>instytucj</w:t>
            </w:r>
            <w:r w:rsidR="000C7A86">
              <w:rPr>
                <w:rFonts w:ascii="Times New Roman" w:hAnsi="Times New Roman"/>
                <w:color w:val="000000"/>
                <w:spacing w:val="-2"/>
              </w:rPr>
              <w:t>i</w:t>
            </w:r>
            <w:r w:rsidR="00C3035B">
              <w:rPr>
                <w:rFonts w:ascii="Times New Roman" w:hAnsi="Times New Roman"/>
                <w:color w:val="000000"/>
                <w:spacing w:val="-2"/>
              </w:rPr>
              <w:t xml:space="preserve"> pożyczkow</w:t>
            </w:r>
            <w:r w:rsidR="000C7A86">
              <w:rPr>
                <w:rFonts w:ascii="Times New Roman" w:hAnsi="Times New Roman"/>
                <w:color w:val="000000"/>
                <w:spacing w:val="-2"/>
              </w:rPr>
              <w:t>ych</w:t>
            </w:r>
          </w:p>
        </w:tc>
      </w:tr>
      <w:tr w:rsidR="006A701A" w:rsidRPr="008B4FE6" w14:paraId="05A1E7A2" w14:textId="77777777" w:rsidTr="00676C8D">
        <w:trPr>
          <w:gridAfter w:val="1"/>
          <w:wAfter w:w="10" w:type="dxa"/>
          <w:trHeight w:val="302"/>
        </w:trPr>
        <w:tc>
          <w:tcPr>
            <w:tcW w:w="10937" w:type="dxa"/>
            <w:gridSpan w:val="30"/>
            <w:shd w:val="clear" w:color="auto" w:fill="99CCFF"/>
            <w:vAlign w:val="center"/>
          </w:tcPr>
          <w:p w14:paraId="3BE61AE0"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14:paraId="6F7E303A" w14:textId="77777777" w:rsidTr="00676C8D">
        <w:trPr>
          <w:gridAfter w:val="1"/>
          <w:wAfter w:w="10" w:type="dxa"/>
          <w:trHeight w:val="342"/>
        </w:trPr>
        <w:tc>
          <w:tcPr>
            <w:tcW w:w="10937" w:type="dxa"/>
            <w:gridSpan w:val="30"/>
            <w:shd w:val="clear" w:color="auto" w:fill="FFFFFF"/>
          </w:tcPr>
          <w:p w14:paraId="2F3FE6AD" w14:textId="77777777" w:rsidR="00363309" w:rsidRDefault="00C835C2" w:rsidP="00B37C80">
            <w:pPr>
              <w:spacing w:line="240" w:lineRule="auto"/>
              <w:jc w:val="both"/>
              <w:rPr>
                <w:rFonts w:ascii="Times New Roman" w:hAnsi="Times New Roman"/>
                <w:color w:val="000000"/>
                <w:spacing w:val="-2"/>
              </w:rPr>
            </w:pPr>
            <w:r w:rsidRPr="00C835C2">
              <w:rPr>
                <w:rFonts w:ascii="Times New Roman" w:hAnsi="Times New Roman"/>
                <w:color w:val="000000"/>
                <w:spacing w:val="-2"/>
              </w:rPr>
              <w:t xml:space="preserve">Projekt </w:t>
            </w:r>
            <w:r w:rsidR="00AA68BB" w:rsidRPr="00C835C2">
              <w:rPr>
                <w:rFonts w:ascii="Times New Roman" w:hAnsi="Times New Roman"/>
                <w:color w:val="000000"/>
                <w:spacing w:val="-2"/>
              </w:rPr>
              <w:t>zosta</w:t>
            </w:r>
            <w:r w:rsidR="00AA68BB">
              <w:rPr>
                <w:rFonts w:ascii="Times New Roman" w:hAnsi="Times New Roman"/>
                <w:color w:val="000000"/>
                <w:spacing w:val="-2"/>
              </w:rPr>
              <w:t>ł</w:t>
            </w:r>
            <w:r w:rsidR="00AA68BB" w:rsidRPr="00C835C2">
              <w:rPr>
                <w:rFonts w:ascii="Times New Roman" w:hAnsi="Times New Roman"/>
                <w:color w:val="000000"/>
                <w:spacing w:val="-2"/>
              </w:rPr>
              <w:t xml:space="preserve"> </w:t>
            </w:r>
            <w:r w:rsidRPr="00C835C2">
              <w:rPr>
                <w:rFonts w:ascii="Times New Roman" w:hAnsi="Times New Roman"/>
                <w:color w:val="000000"/>
                <w:spacing w:val="-2"/>
              </w:rPr>
              <w:t>zamieszczony w Biuletynie informacji Publicznej na stronie Ministerstwa Sprawiedliwości, stosownie do wymogów art. 5 ustaw</w:t>
            </w:r>
            <w:r w:rsidR="00BD4393">
              <w:rPr>
                <w:rFonts w:ascii="Times New Roman" w:hAnsi="Times New Roman"/>
                <w:color w:val="000000"/>
                <w:spacing w:val="-2"/>
              </w:rPr>
              <w:t>y</w:t>
            </w:r>
            <w:r w:rsidRPr="00C835C2">
              <w:rPr>
                <w:rFonts w:ascii="Times New Roman" w:hAnsi="Times New Roman"/>
                <w:color w:val="000000"/>
                <w:spacing w:val="-2"/>
              </w:rPr>
              <w:t xml:space="preserve"> z dnia 7 lipca 2005 r. o działalności lobbingowej w procesie stanowienia prawa (Dz. U. </w:t>
            </w:r>
            <w:r w:rsidR="00EA3540" w:rsidRPr="00EA3540">
              <w:rPr>
                <w:rFonts w:ascii="Times New Roman" w:hAnsi="Times New Roman"/>
                <w:color w:val="000000"/>
                <w:spacing w:val="-2"/>
              </w:rPr>
              <w:t>z 2017 r. poz. 248)</w:t>
            </w:r>
            <w:r w:rsidR="00EA3540" w:rsidRPr="00EA3540" w:rsidDel="00EA3540">
              <w:rPr>
                <w:rFonts w:ascii="Times New Roman" w:hAnsi="Times New Roman"/>
                <w:color w:val="000000"/>
                <w:spacing w:val="-2"/>
              </w:rPr>
              <w:t xml:space="preserve"> </w:t>
            </w:r>
            <w:r w:rsidRPr="00C835C2">
              <w:rPr>
                <w:rFonts w:ascii="Times New Roman" w:hAnsi="Times New Roman"/>
                <w:color w:val="000000"/>
                <w:spacing w:val="-2"/>
              </w:rPr>
              <w:t xml:space="preserve">oraz zgodnie z § 52 ust. 1 uchwały </w:t>
            </w:r>
            <w:r w:rsidR="00EA3540" w:rsidRPr="00C835C2">
              <w:rPr>
                <w:rFonts w:ascii="Times New Roman" w:hAnsi="Times New Roman"/>
                <w:color w:val="000000"/>
                <w:spacing w:val="-2"/>
              </w:rPr>
              <w:t xml:space="preserve">nr </w:t>
            </w:r>
            <w:r w:rsidRPr="00C835C2">
              <w:rPr>
                <w:rFonts w:ascii="Times New Roman" w:hAnsi="Times New Roman"/>
                <w:color w:val="000000"/>
                <w:spacing w:val="-2"/>
              </w:rPr>
              <w:t xml:space="preserve">190 Rady Ministrów z dnia 29 października 2013 r. </w:t>
            </w:r>
            <w:r w:rsidR="00EA3540">
              <w:rPr>
                <w:rFonts w:ascii="Times New Roman" w:hAnsi="Times New Roman"/>
                <w:color w:val="000000"/>
                <w:spacing w:val="-2"/>
              </w:rPr>
              <w:t>–</w:t>
            </w:r>
            <w:r w:rsidRPr="00C835C2">
              <w:rPr>
                <w:rFonts w:ascii="Times New Roman" w:hAnsi="Times New Roman"/>
                <w:color w:val="000000"/>
                <w:spacing w:val="-2"/>
              </w:rPr>
              <w:t xml:space="preserve"> Regulamin Pracy Ministrów (M.P. </w:t>
            </w:r>
            <w:r w:rsidR="00AA68BB" w:rsidRPr="00AA68BB">
              <w:rPr>
                <w:rFonts w:ascii="Times New Roman" w:hAnsi="Times New Roman"/>
                <w:color w:val="000000"/>
                <w:spacing w:val="-2"/>
              </w:rPr>
              <w:t>z 2016 r. poz. 1006</w:t>
            </w:r>
            <w:r w:rsidR="008F4B57">
              <w:rPr>
                <w:rFonts w:ascii="Times New Roman" w:hAnsi="Times New Roman"/>
                <w:color w:val="000000"/>
                <w:spacing w:val="-2"/>
              </w:rPr>
              <w:t xml:space="preserve">, z </w:t>
            </w:r>
            <w:proofErr w:type="spellStart"/>
            <w:r w:rsidR="008F4B57">
              <w:rPr>
                <w:rFonts w:ascii="Times New Roman" w:hAnsi="Times New Roman"/>
                <w:color w:val="000000"/>
                <w:spacing w:val="-2"/>
              </w:rPr>
              <w:t>późn</w:t>
            </w:r>
            <w:proofErr w:type="spellEnd"/>
            <w:r w:rsidR="008F4B57">
              <w:rPr>
                <w:rFonts w:ascii="Times New Roman" w:hAnsi="Times New Roman"/>
                <w:color w:val="000000"/>
                <w:spacing w:val="-2"/>
              </w:rPr>
              <w:t>. zm.</w:t>
            </w:r>
            <w:r w:rsidR="00AA68BB" w:rsidRPr="00AA68BB">
              <w:rPr>
                <w:rFonts w:ascii="Times New Roman" w:hAnsi="Times New Roman"/>
                <w:color w:val="000000"/>
                <w:spacing w:val="-2"/>
              </w:rPr>
              <w:t>)</w:t>
            </w:r>
            <w:r w:rsidRPr="00C835C2">
              <w:rPr>
                <w:rFonts w:ascii="Times New Roman" w:hAnsi="Times New Roman"/>
                <w:color w:val="000000"/>
                <w:spacing w:val="-2"/>
              </w:rPr>
              <w:t xml:space="preserve"> projekt </w:t>
            </w:r>
            <w:r w:rsidR="00AA68BB" w:rsidRPr="00C835C2">
              <w:rPr>
                <w:rFonts w:ascii="Times New Roman" w:hAnsi="Times New Roman"/>
                <w:color w:val="000000"/>
                <w:spacing w:val="-2"/>
              </w:rPr>
              <w:t>zosta</w:t>
            </w:r>
            <w:r w:rsidR="00AA68BB">
              <w:rPr>
                <w:rFonts w:ascii="Times New Roman" w:hAnsi="Times New Roman"/>
                <w:color w:val="000000"/>
                <w:spacing w:val="-2"/>
              </w:rPr>
              <w:t>ł</w:t>
            </w:r>
            <w:r w:rsidR="00AA68BB" w:rsidRPr="00C835C2">
              <w:rPr>
                <w:rFonts w:ascii="Times New Roman" w:hAnsi="Times New Roman"/>
                <w:color w:val="000000"/>
                <w:spacing w:val="-2"/>
              </w:rPr>
              <w:t xml:space="preserve"> </w:t>
            </w:r>
            <w:r w:rsidRPr="00C835C2">
              <w:rPr>
                <w:rFonts w:ascii="Times New Roman" w:hAnsi="Times New Roman"/>
                <w:color w:val="000000"/>
                <w:spacing w:val="-2"/>
              </w:rPr>
              <w:t>udostępniony w Biuletynie Informacji Publicznej Rządowego Centrum Legislacji</w:t>
            </w:r>
            <w:r w:rsidR="00997606" w:rsidRPr="00D55E15">
              <w:rPr>
                <w:rFonts w:ascii="Times New Roman" w:hAnsi="Times New Roman"/>
                <w:color w:val="000000"/>
                <w:spacing w:val="-2"/>
              </w:rPr>
              <w:t xml:space="preserve"> w serwisie Rządowy Proces Legislacyjny</w:t>
            </w:r>
            <w:r w:rsidR="00997606" w:rsidRPr="007374A4">
              <w:rPr>
                <w:rFonts w:ascii="Times New Roman" w:hAnsi="Times New Roman"/>
                <w:color w:val="000000"/>
                <w:spacing w:val="-2"/>
              </w:rPr>
              <w:t>.</w:t>
            </w:r>
          </w:p>
          <w:p w14:paraId="418156DC" w14:textId="77777777" w:rsidR="002044CF" w:rsidRDefault="002044CF" w:rsidP="00B37C80">
            <w:pPr>
              <w:spacing w:line="240" w:lineRule="auto"/>
              <w:jc w:val="both"/>
              <w:rPr>
                <w:rFonts w:ascii="Times New Roman" w:hAnsi="Times New Roman"/>
                <w:color w:val="000000"/>
                <w:spacing w:val="-2"/>
              </w:rPr>
            </w:pPr>
          </w:p>
          <w:p w14:paraId="19EE11DD" w14:textId="77777777" w:rsidR="002044CF" w:rsidRDefault="002044CF" w:rsidP="002044CF">
            <w:pPr>
              <w:jc w:val="both"/>
              <w:rPr>
                <w:rFonts w:ascii="Times New Roman" w:hAnsi="Times New Roman"/>
                <w:color w:val="000000"/>
                <w:spacing w:val="-2"/>
              </w:rPr>
            </w:pPr>
            <w:r w:rsidRPr="00462FDF">
              <w:rPr>
                <w:rFonts w:ascii="Times New Roman" w:hAnsi="Times New Roman"/>
                <w:color w:val="000000"/>
                <w:spacing w:val="-2"/>
              </w:rPr>
              <w:t xml:space="preserve">W ramach konsultacji </w:t>
            </w:r>
            <w:r>
              <w:rPr>
                <w:rFonts w:ascii="Times New Roman" w:hAnsi="Times New Roman"/>
                <w:color w:val="000000"/>
                <w:spacing w:val="-2"/>
              </w:rPr>
              <w:t xml:space="preserve">publicznych i opiniowania projekt </w:t>
            </w:r>
            <w:r w:rsidR="00997606">
              <w:rPr>
                <w:rFonts w:ascii="Times New Roman" w:hAnsi="Times New Roman"/>
                <w:color w:val="000000"/>
                <w:spacing w:val="-2"/>
              </w:rPr>
              <w:t>został</w:t>
            </w:r>
            <w:r w:rsidR="00997606" w:rsidRPr="00462FDF">
              <w:rPr>
                <w:rFonts w:ascii="Times New Roman" w:hAnsi="Times New Roman"/>
                <w:color w:val="000000"/>
                <w:spacing w:val="-2"/>
              </w:rPr>
              <w:t xml:space="preserve"> </w:t>
            </w:r>
            <w:r w:rsidRPr="00462FDF">
              <w:rPr>
                <w:rFonts w:ascii="Times New Roman" w:hAnsi="Times New Roman"/>
                <w:color w:val="000000"/>
                <w:spacing w:val="-2"/>
              </w:rPr>
              <w:t>przekazany</w:t>
            </w:r>
            <w:r>
              <w:rPr>
                <w:rFonts w:ascii="Times New Roman" w:hAnsi="Times New Roman"/>
                <w:color w:val="000000"/>
                <w:spacing w:val="-2"/>
              </w:rPr>
              <w:t xml:space="preserve"> do:</w:t>
            </w:r>
            <w:r w:rsidR="0026543A">
              <w:rPr>
                <w:rFonts w:ascii="Times New Roman" w:hAnsi="Times New Roman"/>
                <w:color w:val="000000"/>
                <w:spacing w:val="-2"/>
              </w:rPr>
              <w:t xml:space="preserve"> </w:t>
            </w:r>
            <w:r w:rsidRPr="005C38B3">
              <w:rPr>
                <w:rFonts w:ascii="Times New Roman" w:hAnsi="Times New Roman"/>
                <w:color w:val="000000"/>
                <w:spacing w:val="-2"/>
              </w:rPr>
              <w:t xml:space="preserve">Pierwszego Prezesa Sądu Najwyższego, </w:t>
            </w:r>
            <w:r w:rsidR="000A28C3" w:rsidRPr="000A28C3">
              <w:rPr>
                <w:rFonts w:ascii="Times New Roman" w:hAnsi="Times New Roman"/>
                <w:color w:val="000000"/>
                <w:spacing w:val="-2"/>
              </w:rPr>
              <w:t>Prezes</w:t>
            </w:r>
            <w:r w:rsidR="00AE5A75">
              <w:rPr>
                <w:rFonts w:ascii="Times New Roman" w:hAnsi="Times New Roman"/>
                <w:color w:val="000000"/>
                <w:spacing w:val="-2"/>
              </w:rPr>
              <w:t>a</w:t>
            </w:r>
            <w:r w:rsidR="000A28C3" w:rsidRPr="000A28C3">
              <w:rPr>
                <w:rFonts w:ascii="Times New Roman" w:hAnsi="Times New Roman"/>
                <w:color w:val="000000"/>
                <w:spacing w:val="-2"/>
              </w:rPr>
              <w:t xml:space="preserve"> Urzędu Ochrony Konkurencji i Konsumentów</w:t>
            </w:r>
            <w:r w:rsidR="000A28C3">
              <w:rPr>
                <w:rFonts w:ascii="Times New Roman" w:hAnsi="Times New Roman"/>
                <w:color w:val="000000"/>
                <w:spacing w:val="-2"/>
              </w:rPr>
              <w:t>,</w:t>
            </w:r>
            <w:r w:rsidR="00AE5A75">
              <w:rPr>
                <w:rFonts w:ascii="Times New Roman" w:hAnsi="Times New Roman"/>
                <w:color w:val="000000"/>
                <w:spacing w:val="-2"/>
              </w:rPr>
              <w:t xml:space="preserve"> </w:t>
            </w:r>
            <w:r w:rsidR="00360AAC">
              <w:rPr>
                <w:rFonts w:ascii="Times New Roman" w:hAnsi="Times New Roman"/>
                <w:color w:val="000000"/>
                <w:spacing w:val="-2"/>
              </w:rPr>
              <w:t xml:space="preserve">Krajowej Rady Rzeczników Konsumentów, </w:t>
            </w:r>
            <w:r w:rsidR="00AE5A75">
              <w:rPr>
                <w:rFonts w:ascii="Times New Roman" w:hAnsi="Times New Roman"/>
                <w:color w:val="000000"/>
                <w:spacing w:val="-2"/>
              </w:rPr>
              <w:t xml:space="preserve">Rzecznika Finansowego, </w:t>
            </w:r>
            <w:r w:rsidR="000445B4">
              <w:rPr>
                <w:rFonts w:ascii="Times New Roman" w:hAnsi="Times New Roman"/>
                <w:color w:val="000000"/>
                <w:spacing w:val="-2"/>
              </w:rPr>
              <w:t>Rady Dialogu Społecznego,</w:t>
            </w:r>
            <w:r w:rsidR="00360AAC">
              <w:rPr>
                <w:rFonts w:ascii="Times New Roman" w:hAnsi="Times New Roman"/>
                <w:color w:val="000000"/>
                <w:spacing w:val="-2"/>
              </w:rPr>
              <w:t xml:space="preserve"> </w:t>
            </w:r>
            <w:r w:rsidRPr="005C38B3">
              <w:rPr>
                <w:rFonts w:ascii="Times New Roman" w:hAnsi="Times New Roman"/>
                <w:color w:val="000000"/>
                <w:spacing w:val="-2"/>
              </w:rPr>
              <w:t>Stowarzyszenia Sędziów Polskich „</w:t>
            </w:r>
            <w:proofErr w:type="spellStart"/>
            <w:r w:rsidRPr="005C38B3">
              <w:rPr>
                <w:rFonts w:ascii="Times New Roman" w:hAnsi="Times New Roman"/>
                <w:color w:val="000000"/>
                <w:spacing w:val="-2"/>
              </w:rPr>
              <w:t>Iustitia</w:t>
            </w:r>
            <w:proofErr w:type="spellEnd"/>
            <w:r w:rsidRPr="005C38B3">
              <w:rPr>
                <w:rFonts w:ascii="Times New Roman" w:hAnsi="Times New Roman"/>
                <w:color w:val="000000"/>
                <w:spacing w:val="-2"/>
              </w:rPr>
              <w:t>”, Stowarzyszenia Sędziów „</w:t>
            </w:r>
            <w:proofErr w:type="spellStart"/>
            <w:r w:rsidRPr="005C38B3">
              <w:rPr>
                <w:rFonts w:ascii="Times New Roman" w:hAnsi="Times New Roman"/>
                <w:color w:val="000000"/>
                <w:spacing w:val="-2"/>
              </w:rPr>
              <w:t>Themis</w:t>
            </w:r>
            <w:proofErr w:type="spellEnd"/>
            <w:r w:rsidRPr="005C38B3">
              <w:rPr>
                <w:rFonts w:ascii="Times New Roman" w:hAnsi="Times New Roman"/>
                <w:color w:val="000000"/>
                <w:spacing w:val="-2"/>
              </w:rPr>
              <w:t>”, Krajowej Rady Radców Prawny</w:t>
            </w:r>
            <w:r w:rsidR="00830C9C">
              <w:rPr>
                <w:rFonts w:ascii="Times New Roman" w:hAnsi="Times New Roman"/>
                <w:color w:val="000000"/>
                <w:spacing w:val="-2"/>
              </w:rPr>
              <w:t>ch, Naczelnej Rady Adwokackiej</w:t>
            </w:r>
            <w:r w:rsidRPr="005C38B3">
              <w:rPr>
                <w:rFonts w:ascii="Times New Roman" w:hAnsi="Times New Roman"/>
                <w:color w:val="000000"/>
                <w:spacing w:val="-2"/>
              </w:rPr>
              <w:t>, Business Centre Club, Krajowej Izby Gospodarczej, Polskiej Konfederacji Pr</w:t>
            </w:r>
            <w:r w:rsidR="00830C9C">
              <w:rPr>
                <w:rFonts w:ascii="Times New Roman" w:hAnsi="Times New Roman"/>
                <w:color w:val="000000"/>
                <w:spacing w:val="-2"/>
              </w:rPr>
              <w:t>acodawców Prywatnych „Lewiatan”</w:t>
            </w:r>
            <w:r w:rsidRPr="005C38B3">
              <w:rPr>
                <w:rFonts w:ascii="Times New Roman" w:hAnsi="Times New Roman"/>
                <w:color w:val="000000"/>
                <w:spacing w:val="-2"/>
              </w:rPr>
              <w:t>, Generalnemu Inspektorowi Ochrony Danych Osobowych, oraz Prezesów wszystkich Sądów Apelacyjnych.</w:t>
            </w:r>
          </w:p>
          <w:p w14:paraId="5D2FF9E4" w14:textId="77777777" w:rsidR="002044CF" w:rsidRPr="00D678DB" w:rsidRDefault="002044CF" w:rsidP="002044CF">
            <w:pPr>
              <w:jc w:val="both"/>
              <w:rPr>
                <w:rFonts w:ascii="Times New Roman" w:hAnsi="Times New Roman"/>
                <w:color w:val="000000"/>
                <w:spacing w:val="-2"/>
              </w:rPr>
            </w:pPr>
          </w:p>
          <w:p w14:paraId="149278EC" w14:textId="77777777" w:rsidR="002044CF" w:rsidRDefault="00C771B9" w:rsidP="002044CF">
            <w:pPr>
              <w:spacing w:line="240" w:lineRule="auto"/>
              <w:jc w:val="both"/>
              <w:rPr>
                <w:rFonts w:ascii="Times New Roman" w:hAnsi="Times New Roman"/>
                <w:color w:val="000000"/>
                <w:spacing w:val="-2"/>
              </w:rPr>
            </w:pPr>
            <w:r>
              <w:rPr>
                <w:rFonts w:ascii="Times New Roman" w:hAnsi="Times New Roman"/>
                <w:color w:val="000000"/>
                <w:spacing w:val="-2"/>
                <w:szCs w:val="24"/>
              </w:rPr>
              <w:t>Wyniki konsultacji zostały</w:t>
            </w:r>
            <w:r w:rsidR="002044CF" w:rsidRPr="00F63F40">
              <w:rPr>
                <w:rFonts w:ascii="Times New Roman" w:hAnsi="Times New Roman"/>
                <w:color w:val="000000"/>
                <w:spacing w:val="-2"/>
                <w:szCs w:val="24"/>
              </w:rPr>
              <w:t xml:space="preserve"> omówione </w:t>
            </w:r>
            <w:r w:rsidR="00997606">
              <w:rPr>
                <w:rFonts w:ascii="Times New Roman" w:hAnsi="Times New Roman"/>
                <w:color w:val="000000"/>
                <w:spacing w:val="-2"/>
                <w:szCs w:val="24"/>
              </w:rPr>
              <w:t>w raporcie z konsultacji</w:t>
            </w:r>
            <w:r w:rsidR="002044CF" w:rsidRPr="00F63F40">
              <w:rPr>
                <w:rFonts w:ascii="Times New Roman" w:hAnsi="Times New Roman"/>
                <w:color w:val="000000"/>
                <w:spacing w:val="-2"/>
                <w:szCs w:val="24"/>
              </w:rPr>
              <w:t>.</w:t>
            </w:r>
          </w:p>
          <w:p w14:paraId="5235A816" w14:textId="77777777" w:rsidR="006A701A" w:rsidRPr="00B37C80" w:rsidRDefault="006A701A" w:rsidP="00B37C80">
            <w:pPr>
              <w:spacing w:line="240" w:lineRule="auto"/>
              <w:jc w:val="both"/>
              <w:rPr>
                <w:rFonts w:ascii="Times New Roman" w:hAnsi="Times New Roman"/>
                <w:color w:val="000000"/>
                <w:spacing w:val="-2"/>
              </w:rPr>
            </w:pPr>
          </w:p>
        </w:tc>
      </w:tr>
      <w:tr w:rsidR="006A701A" w:rsidRPr="008B4FE6" w14:paraId="2B7506C4" w14:textId="77777777" w:rsidTr="00676C8D">
        <w:trPr>
          <w:gridAfter w:val="1"/>
          <w:wAfter w:w="10" w:type="dxa"/>
          <w:trHeight w:val="363"/>
        </w:trPr>
        <w:tc>
          <w:tcPr>
            <w:tcW w:w="10937" w:type="dxa"/>
            <w:gridSpan w:val="30"/>
            <w:shd w:val="clear" w:color="auto" w:fill="99CCFF"/>
            <w:vAlign w:val="center"/>
          </w:tcPr>
          <w:p w14:paraId="570D11E9" w14:textId="77777777"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Wpływ na sektor finansów publicznych</w:t>
            </w:r>
          </w:p>
        </w:tc>
      </w:tr>
      <w:tr w:rsidR="00260F33" w:rsidRPr="008B4FE6" w14:paraId="0DFBCC9C" w14:textId="77777777" w:rsidTr="00010350">
        <w:trPr>
          <w:gridAfter w:val="1"/>
          <w:wAfter w:w="10" w:type="dxa"/>
          <w:trHeight w:val="142"/>
        </w:trPr>
        <w:tc>
          <w:tcPr>
            <w:tcW w:w="2694" w:type="dxa"/>
            <w:gridSpan w:val="4"/>
            <w:vMerge w:val="restart"/>
            <w:shd w:val="clear" w:color="auto" w:fill="FFFFFF"/>
          </w:tcPr>
          <w:p w14:paraId="43914EFE" w14:textId="77777777" w:rsidR="00260F33" w:rsidRPr="00C53F26" w:rsidRDefault="00821717" w:rsidP="00CA4978">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411D87">
              <w:rPr>
                <w:rFonts w:ascii="Times New Roman" w:hAnsi="Times New Roman"/>
                <w:color w:val="000000"/>
                <w:sz w:val="21"/>
                <w:szCs w:val="21"/>
              </w:rPr>
              <w:t>201</w:t>
            </w:r>
            <w:r w:rsidR="00CA4978">
              <w:rPr>
                <w:rFonts w:ascii="Times New Roman" w:hAnsi="Times New Roman"/>
                <w:color w:val="000000"/>
                <w:sz w:val="21"/>
                <w:szCs w:val="21"/>
              </w:rPr>
              <w:t>9</w:t>
            </w:r>
            <w:r w:rsidRPr="006F78C4">
              <w:rPr>
                <w:rFonts w:ascii="Times New Roman" w:hAnsi="Times New Roman"/>
                <w:color w:val="000000"/>
                <w:sz w:val="21"/>
                <w:szCs w:val="21"/>
              </w:rPr>
              <w:t xml:space="preserve"> r.)</w:t>
            </w:r>
          </w:p>
        </w:tc>
        <w:tc>
          <w:tcPr>
            <w:tcW w:w="8243" w:type="dxa"/>
            <w:gridSpan w:val="26"/>
            <w:shd w:val="clear" w:color="auto" w:fill="FFFFFF"/>
          </w:tcPr>
          <w:p w14:paraId="38902C2F" w14:textId="77777777"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14:paraId="702394AE" w14:textId="77777777" w:rsidTr="00010350">
        <w:trPr>
          <w:gridAfter w:val="1"/>
          <w:wAfter w:w="10" w:type="dxa"/>
          <w:trHeight w:val="142"/>
        </w:trPr>
        <w:tc>
          <w:tcPr>
            <w:tcW w:w="2694" w:type="dxa"/>
            <w:gridSpan w:val="4"/>
            <w:vMerge/>
            <w:shd w:val="clear" w:color="auto" w:fill="FFFFFF"/>
          </w:tcPr>
          <w:p w14:paraId="0FE545BB" w14:textId="77777777" w:rsidR="0057668E" w:rsidRPr="00C53F26" w:rsidRDefault="0057668E" w:rsidP="00A52ADB">
            <w:pPr>
              <w:spacing w:before="40" w:after="40" w:line="240" w:lineRule="auto"/>
              <w:rPr>
                <w:rFonts w:ascii="Times New Roman" w:hAnsi="Times New Roman"/>
                <w:i/>
                <w:color w:val="000000"/>
                <w:sz w:val="21"/>
                <w:szCs w:val="21"/>
              </w:rPr>
            </w:pPr>
          </w:p>
        </w:tc>
        <w:tc>
          <w:tcPr>
            <w:tcW w:w="1008" w:type="dxa"/>
            <w:gridSpan w:val="2"/>
            <w:shd w:val="clear" w:color="auto" w:fill="FFFFFF"/>
          </w:tcPr>
          <w:p w14:paraId="69B0CE3A" w14:textId="77777777" w:rsidR="00010350"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p w14:paraId="3EE48939" w14:textId="77777777" w:rsidR="0057668E" w:rsidRPr="00C53F26" w:rsidRDefault="00010350" w:rsidP="001D6A3C">
            <w:pPr>
              <w:spacing w:line="240" w:lineRule="auto"/>
              <w:jc w:val="center"/>
              <w:rPr>
                <w:rFonts w:ascii="Times New Roman" w:hAnsi="Times New Roman"/>
                <w:color w:val="000000"/>
                <w:sz w:val="21"/>
                <w:szCs w:val="21"/>
              </w:rPr>
            </w:pPr>
            <w:r>
              <w:rPr>
                <w:rFonts w:ascii="Times New Roman" w:hAnsi="Times New Roman"/>
                <w:color w:val="000000"/>
                <w:sz w:val="21"/>
                <w:szCs w:val="21"/>
              </w:rPr>
              <w:t>(2020 r.)</w:t>
            </w:r>
          </w:p>
        </w:tc>
        <w:tc>
          <w:tcPr>
            <w:tcW w:w="570" w:type="dxa"/>
            <w:gridSpan w:val="2"/>
            <w:shd w:val="clear" w:color="auto" w:fill="FFFFFF"/>
          </w:tcPr>
          <w:p w14:paraId="607116BD" w14:textId="77777777" w:rsidR="0057668E"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p w14:paraId="6D8231FD" w14:textId="77777777" w:rsidR="005838A6" w:rsidRPr="00C53F26" w:rsidRDefault="005838A6" w:rsidP="001D6A3C">
            <w:pPr>
              <w:spacing w:line="240" w:lineRule="auto"/>
              <w:jc w:val="center"/>
              <w:rPr>
                <w:rFonts w:ascii="Times New Roman" w:hAnsi="Times New Roman"/>
                <w:color w:val="000000"/>
                <w:sz w:val="21"/>
                <w:szCs w:val="21"/>
              </w:rPr>
            </w:pPr>
          </w:p>
        </w:tc>
        <w:tc>
          <w:tcPr>
            <w:tcW w:w="570" w:type="dxa"/>
            <w:gridSpan w:val="2"/>
            <w:shd w:val="clear" w:color="auto" w:fill="FFFFFF"/>
          </w:tcPr>
          <w:p w14:paraId="36C4B53D"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3369C897"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7C41241D"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6A1375E0"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079E10A2"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14:paraId="55F0CCCD"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14:paraId="11EDA5EC"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65031338"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420525EF"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3"/>
            <w:shd w:val="clear" w:color="auto" w:fill="FFFFFF"/>
          </w:tcPr>
          <w:p w14:paraId="5A8D0C74" w14:textId="77777777"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882821" w:rsidRPr="008B4FE6" w14:paraId="3F8CA36F" w14:textId="77777777" w:rsidTr="00BD2F2A">
        <w:trPr>
          <w:trHeight w:val="321"/>
        </w:trPr>
        <w:tc>
          <w:tcPr>
            <w:tcW w:w="2694" w:type="dxa"/>
            <w:gridSpan w:val="4"/>
            <w:shd w:val="clear" w:color="auto" w:fill="FFFFFF"/>
            <w:vAlign w:val="center"/>
          </w:tcPr>
          <w:p w14:paraId="200BCF8C" w14:textId="77777777" w:rsidR="00882821" w:rsidRPr="00C53F26" w:rsidRDefault="00882821"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1008" w:type="dxa"/>
            <w:gridSpan w:val="2"/>
            <w:shd w:val="clear" w:color="auto" w:fill="FFFFFF"/>
            <w:vAlign w:val="center"/>
          </w:tcPr>
          <w:p w14:paraId="0025FCEA"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70" w:type="dxa"/>
            <w:gridSpan w:val="2"/>
            <w:shd w:val="clear" w:color="auto" w:fill="FFFFFF"/>
            <w:vAlign w:val="center"/>
          </w:tcPr>
          <w:p w14:paraId="4C644252"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70" w:type="dxa"/>
            <w:gridSpan w:val="2"/>
            <w:shd w:val="clear" w:color="auto" w:fill="FFFFFF"/>
            <w:vAlign w:val="center"/>
          </w:tcPr>
          <w:p w14:paraId="3D512F2A"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69" w:type="dxa"/>
            <w:gridSpan w:val="3"/>
            <w:shd w:val="clear" w:color="auto" w:fill="FFFFFF"/>
            <w:vAlign w:val="center"/>
          </w:tcPr>
          <w:p w14:paraId="6E8B2B48"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70" w:type="dxa"/>
            <w:gridSpan w:val="2"/>
            <w:shd w:val="clear" w:color="auto" w:fill="FFFFFF"/>
            <w:vAlign w:val="center"/>
          </w:tcPr>
          <w:p w14:paraId="6C085EDE"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70" w:type="dxa"/>
            <w:shd w:val="clear" w:color="auto" w:fill="FFFFFF"/>
            <w:vAlign w:val="center"/>
          </w:tcPr>
          <w:p w14:paraId="182C5247"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70" w:type="dxa"/>
            <w:gridSpan w:val="3"/>
            <w:shd w:val="clear" w:color="auto" w:fill="FFFFFF"/>
            <w:vAlign w:val="center"/>
          </w:tcPr>
          <w:p w14:paraId="775D295C"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69" w:type="dxa"/>
            <w:gridSpan w:val="3"/>
            <w:shd w:val="clear" w:color="auto" w:fill="FFFFFF"/>
            <w:vAlign w:val="center"/>
          </w:tcPr>
          <w:p w14:paraId="4C0897C5"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70" w:type="dxa"/>
            <w:gridSpan w:val="2"/>
            <w:shd w:val="clear" w:color="auto" w:fill="FFFFFF"/>
            <w:vAlign w:val="center"/>
          </w:tcPr>
          <w:p w14:paraId="00B34965"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70" w:type="dxa"/>
            <w:gridSpan w:val="2"/>
            <w:shd w:val="clear" w:color="auto" w:fill="FFFFFF"/>
            <w:vAlign w:val="center"/>
          </w:tcPr>
          <w:p w14:paraId="79135F96"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570" w:type="dxa"/>
            <w:shd w:val="clear" w:color="auto" w:fill="FFFFFF"/>
            <w:vAlign w:val="center"/>
          </w:tcPr>
          <w:p w14:paraId="7746EAA9" w14:textId="77777777" w:rsidR="00882821" w:rsidRPr="0068560B" w:rsidRDefault="00882821" w:rsidP="00882821">
            <w:pPr>
              <w:jc w:val="center"/>
              <w:rPr>
                <w:rFonts w:ascii="Times New Roman" w:hAnsi="Times New Roman"/>
                <w:b/>
                <w:color w:val="000000"/>
                <w:sz w:val="20"/>
                <w:szCs w:val="20"/>
              </w:rPr>
            </w:pPr>
            <w:r w:rsidRPr="0068560B">
              <w:rPr>
                <w:rFonts w:ascii="Times New Roman" w:hAnsi="Times New Roman"/>
                <w:b/>
                <w:color w:val="000000"/>
                <w:sz w:val="20"/>
                <w:szCs w:val="20"/>
              </w:rPr>
              <w:t>8,68</w:t>
            </w:r>
          </w:p>
        </w:tc>
        <w:tc>
          <w:tcPr>
            <w:tcW w:w="1547" w:type="dxa"/>
            <w:gridSpan w:val="4"/>
            <w:shd w:val="clear" w:color="auto" w:fill="FFFFFF"/>
            <w:vAlign w:val="center"/>
          </w:tcPr>
          <w:p w14:paraId="76A553CC" w14:textId="77777777" w:rsidR="00BD2F2A" w:rsidRPr="00BD2F2A" w:rsidRDefault="00BD2F2A" w:rsidP="00BD2F2A">
            <w:pPr>
              <w:jc w:val="center"/>
              <w:rPr>
                <w:rFonts w:ascii="Times New Roman" w:hAnsi="Times New Roman"/>
                <w:b/>
                <w:color w:val="000000"/>
                <w:sz w:val="20"/>
                <w:szCs w:val="20"/>
              </w:rPr>
            </w:pPr>
            <w:r w:rsidRPr="00BD2F2A">
              <w:rPr>
                <w:rFonts w:ascii="Times New Roman" w:hAnsi="Times New Roman"/>
                <w:b/>
                <w:color w:val="000000"/>
                <w:sz w:val="20"/>
                <w:szCs w:val="20"/>
              </w:rPr>
              <w:t>95,48</w:t>
            </w:r>
          </w:p>
        </w:tc>
      </w:tr>
      <w:tr w:rsidR="00BD2F2A" w:rsidRPr="008B4FE6" w14:paraId="0E7166A6" w14:textId="77777777" w:rsidTr="00BD2F2A">
        <w:trPr>
          <w:trHeight w:val="344"/>
        </w:trPr>
        <w:tc>
          <w:tcPr>
            <w:tcW w:w="2694" w:type="dxa"/>
            <w:gridSpan w:val="4"/>
            <w:shd w:val="clear" w:color="auto" w:fill="FFFFFF"/>
            <w:vAlign w:val="center"/>
          </w:tcPr>
          <w:p w14:paraId="1166A993" w14:textId="77777777" w:rsidR="00BD2F2A" w:rsidRPr="00C53F26" w:rsidRDefault="00BD2F2A" w:rsidP="00C53F26">
            <w:pPr>
              <w:spacing w:line="240" w:lineRule="auto"/>
              <w:rPr>
                <w:rFonts w:ascii="Times New Roman" w:hAnsi="Times New Roman"/>
                <w:color w:val="000000"/>
                <w:sz w:val="21"/>
                <w:szCs w:val="21"/>
              </w:rPr>
            </w:pPr>
            <w:r>
              <w:rPr>
                <w:rFonts w:ascii="Times New Roman" w:hAnsi="Times New Roman"/>
                <w:color w:val="000000"/>
                <w:sz w:val="21"/>
                <w:szCs w:val="21"/>
              </w:rPr>
              <w:t>KNF</w:t>
            </w:r>
          </w:p>
        </w:tc>
        <w:tc>
          <w:tcPr>
            <w:tcW w:w="1008" w:type="dxa"/>
            <w:gridSpan w:val="2"/>
            <w:shd w:val="clear" w:color="auto" w:fill="FFFFFF"/>
            <w:vAlign w:val="center"/>
          </w:tcPr>
          <w:p w14:paraId="2A84347C"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70" w:type="dxa"/>
            <w:gridSpan w:val="2"/>
            <w:shd w:val="clear" w:color="auto" w:fill="FFFFFF"/>
            <w:vAlign w:val="center"/>
          </w:tcPr>
          <w:p w14:paraId="2CDE48D9"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70" w:type="dxa"/>
            <w:gridSpan w:val="2"/>
            <w:shd w:val="clear" w:color="auto" w:fill="FFFFFF"/>
            <w:vAlign w:val="center"/>
          </w:tcPr>
          <w:p w14:paraId="669D7177"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69" w:type="dxa"/>
            <w:gridSpan w:val="3"/>
            <w:shd w:val="clear" w:color="auto" w:fill="FFFFFF"/>
            <w:vAlign w:val="center"/>
          </w:tcPr>
          <w:p w14:paraId="4116CAC1"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70" w:type="dxa"/>
            <w:gridSpan w:val="2"/>
            <w:shd w:val="clear" w:color="auto" w:fill="FFFFFF"/>
            <w:vAlign w:val="center"/>
          </w:tcPr>
          <w:p w14:paraId="226D36DD"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70" w:type="dxa"/>
            <w:shd w:val="clear" w:color="auto" w:fill="FFFFFF"/>
            <w:vAlign w:val="center"/>
          </w:tcPr>
          <w:p w14:paraId="52DE9393"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70" w:type="dxa"/>
            <w:gridSpan w:val="3"/>
            <w:shd w:val="clear" w:color="auto" w:fill="FFFFFF"/>
            <w:vAlign w:val="center"/>
          </w:tcPr>
          <w:p w14:paraId="3FD05FB2"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69" w:type="dxa"/>
            <w:gridSpan w:val="3"/>
            <w:shd w:val="clear" w:color="auto" w:fill="FFFFFF"/>
            <w:vAlign w:val="center"/>
          </w:tcPr>
          <w:p w14:paraId="37F3FBB8"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70" w:type="dxa"/>
            <w:gridSpan w:val="2"/>
            <w:shd w:val="clear" w:color="auto" w:fill="FFFFFF"/>
            <w:vAlign w:val="center"/>
          </w:tcPr>
          <w:p w14:paraId="260C8355"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70" w:type="dxa"/>
            <w:gridSpan w:val="2"/>
            <w:shd w:val="clear" w:color="auto" w:fill="FFFFFF"/>
            <w:vAlign w:val="center"/>
          </w:tcPr>
          <w:p w14:paraId="49172447"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570" w:type="dxa"/>
            <w:shd w:val="clear" w:color="auto" w:fill="FFFFFF"/>
            <w:vAlign w:val="center"/>
          </w:tcPr>
          <w:p w14:paraId="17D78DD0"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8,68</w:t>
            </w:r>
          </w:p>
        </w:tc>
        <w:tc>
          <w:tcPr>
            <w:tcW w:w="1547" w:type="dxa"/>
            <w:gridSpan w:val="4"/>
            <w:shd w:val="clear" w:color="auto" w:fill="FFFFFF"/>
            <w:vAlign w:val="center"/>
          </w:tcPr>
          <w:p w14:paraId="43682C1E" w14:textId="77777777" w:rsidR="00BD2F2A" w:rsidRPr="00BD2F2A" w:rsidRDefault="00BF291C" w:rsidP="00BD2F2A">
            <w:pPr>
              <w:jc w:val="center"/>
              <w:rPr>
                <w:rFonts w:ascii="Times New Roman" w:hAnsi="Times New Roman"/>
                <w:sz w:val="20"/>
                <w:szCs w:val="20"/>
              </w:rPr>
            </w:pPr>
            <w:r w:rsidRPr="00BF291C">
              <w:rPr>
                <w:rFonts w:ascii="Times New Roman" w:hAnsi="Times New Roman"/>
                <w:sz w:val="20"/>
                <w:szCs w:val="20"/>
              </w:rPr>
              <w:t>95,48</w:t>
            </w:r>
          </w:p>
        </w:tc>
      </w:tr>
      <w:tr w:rsidR="00BD2F2A" w:rsidRPr="008B4FE6" w14:paraId="4D0DFBCB" w14:textId="77777777" w:rsidTr="00BD2F2A">
        <w:trPr>
          <w:trHeight w:val="330"/>
        </w:trPr>
        <w:tc>
          <w:tcPr>
            <w:tcW w:w="2694" w:type="dxa"/>
            <w:gridSpan w:val="4"/>
            <w:shd w:val="clear" w:color="auto" w:fill="FFFFFF"/>
            <w:vAlign w:val="center"/>
          </w:tcPr>
          <w:p w14:paraId="2F7BA96D" w14:textId="77777777" w:rsidR="00BD2F2A" w:rsidRPr="00C53F26" w:rsidRDefault="00BD2F2A"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1008" w:type="dxa"/>
            <w:gridSpan w:val="2"/>
            <w:shd w:val="clear" w:color="auto" w:fill="FFFFFF"/>
            <w:vAlign w:val="center"/>
          </w:tcPr>
          <w:p w14:paraId="361F7A23"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70" w:type="dxa"/>
            <w:gridSpan w:val="2"/>
            <w:shd w:val="clear" w:color="auto" w:fill="FFFFFF"/>
            <w:vAlign w:val="center"/>
          </w:tcPr>
          <w:p w14:paraId="709D6BC0"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70" w:type="dxa"/>
            <w:gridSpan w:val="2"/>
            <w:shd w:val="clear" w:color="auto" w:fill="FFFFFF"/>
            <w:vAlign w:val="center"/>
          </w:tcPr>
          <w:p w14:paraId="623B9930"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69" w:type="dxa"/>
            <w:gridSpan w:val="3"/>
            <w:shd w:val="clear" w:color="auto" w:fill="FFFFFF"/>
            <w:vAlign w:val="center"/>
          </w:tcPr>
          <w:p w14:paraId="2370AAC5"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70" w:type="dxa"/>
            <w:gridSpan w:val="2"/>
            <w:shd w:val="clear" w:color="auto" w:fill="FFFFFF"/>
            <w:vAlign w:val="center"/>
          </w:tcPr>
          <w:p w14:paraId="3454035C"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70" w:type="dxa"/>
            <w:shd w:val="clear" w:color="auto" w:fill="FFFFFF"/>
            <w:vAlign w:val="center"/>
          </w:tcPr>
          <w:p w14:paraId="1611B851"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70" w:type="dxa"/>
            <w:gridSpan w:val="3"/>
            <w:shd w:val="clear" w:color="auto" w:fill="FFFFFF"/>
            <w:vAlign w:val="center"/>
          </w:tcPr>
          <w:p w14:paraId="40D8B160"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69" w:type="dxa"/>
            <w:gridSpan w:val="3"/>
            <w:shd w:val="clear" w:color="auto" w:fill="FFFFFF"/>
            <w:vAlign w:val="center"/>
          </w:tcPr>
          <w:p w14:paraId="54198152"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70" w:type="dxa"/>
            <w:gridSpan w:val="2"/>
            <w:shd w:val="clear" w:color="auto" w:fill="FFFFFF"/>
            <w:vAlign w:val="center"/>
          </w:tcPr>
          <w:p w14:paraId="718311A2"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70" w:type="dxa"/>
            <w:gridSpan w:val="2"/>
            <w:shd w:val="clear" w:color="auto" w:fill="FFFFFF"/>
            <w:vAlign w:val="center"/>
          </w:tcPr>
          <w:p w14:paraId="4C4874CD"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570" w:type="dxa"/>
            <w:shd w:val="clear" w:color="auto" w:fill="FFFFFF"/>
            <w:vAlign w:val="center"/>
          </w:tcPr>
          <w:p w14:paraId="12B5CD8B" w14:textId="77777777" w:rsidR="00BD2F2A" w:rsidRPr="0068560B" w:rsidRDefault="00BD2F2A" w:rsidP="00882821">
            <w:pPr>
              <w:jc w:val="center"/>
              <w:rPr>
                <w:rFonts w:ascii="Times New Roman" w:hAnsi="Times New Roman"/>
                <w:b/>
                <w:color w:val="000000"/>
                <w:sz w:val="20"/>
                <w:szCs w:val="20"/>
              </w:rPr>
            </w:pPr>
            <w:r w:rsidRPr="0068560B">
              <w:rPr>
                <w:rFonts w:ascii="Times New Roman" w:hAnsi="Times New Roman"/>
                <w:b/>
                <w:color w:val="000000"/>
                <w:sz w:val="20"/>
                <w:szCs w:val="20"/>
              </w:rPr>
              <w:t>8,48</w:t>
            </w:r>
          </w:p>
        </w:tc>
        <w:tc>
          <w:tcPr>
            <w:tcW w:w="1547" w:type="dxa"/>
            <w:gridSpan w:val="4"/>
            <w:shd w:val="clear" w:color="auto" w:fill="FFFFFF"/>
            <w:vAlign w:val="center"/>
          </w:tcPr>
          <w:p w14:paraId="639B04A4" w14:textId="77777777" w:rsidR="00BD2F2A" w:rsidRPr="00BD2F2A" w:rsidRDefault="00BF291C" w:rsidP="00BD2F2A">
            <w:pPr>
              <w:jc w:val="center"/>
              <w:rPr>
                <w:rFonts w:ascii="Times New Roman" w:hAnsi="Times New Roman"/>
                <w:b/>
                <w:sz w:val="20"/>
                <w:szCs w:val="20"/>
              </w:rPr>
            </w:pPr>
            <w:r>
              <w:rPr>
                <w:rFonts w:ascii="Times New Roman" w:hAnsi="Times New Roman"/>
                <w:b/>
                <w:sz w:val="20"/>
                <w:szCs w:val="20"/>
              </w:rPr>
              <w:t>93,28</w:t>
            </w:r>
          </w:p>
        </w:tc>
      </w:tr>
      <w:tr w:rsidR="00BD2F2A" w:rsidRPr="008B4FE6" w14:paraId="3DC62832" w14:textId="77777777" w:rsidTr="00BD2F2A">
        <w:trPr>
          <w:trHeight w:val="344"/>
        </w:trPr>
        <w:tc>
          <w:tcPr>
            <w:tcW w:w="2694" w:type="dxa"/>
            <w:gridSpan w:val="4"/>
            <w:shd w:val="clear" w:color="auto" w:fill="FFFFFF"/>
            <w:vAlign w:val="center"/>
          </w:tcPr>
          <w:p w14:paraId="2C816A06" w14:textId="77777777" w:rsidR="00BD2F2A" w:rsidRPr="00C53F26" w:rsidRDefault="00BD2F2A" w:rsidP="00D359DC">
            <w:pPr>
              <w:spacing w:line="240" w:lineRule="auto"/>
              <w:rPr>
                <w:rFonts w:ascii="Times New Roman" w:hAnsi="Times New Roman"/>
                <w:color w:val="000000"/>
                <w:sz w:val="21"/>
                <w:szCs w:val="21"/>
              </w:rPr>
            </w:pPr>
            <w:r>
              <w:rPr>
                <w:rFonts w:ascii="Times New Roman" w:hAnsi="Times New Roman"/>
                <w:color w:val="000000"/>
                <w:sz w:val="21"/>
                <w:szCs w:val="21"/>
              </w:rPr>
              <w:t>KNF</w:t>
            </w:r>
          </w:p>
        </w:tc>
        <w:tc>
          <w:tcPr>
            <w:tcW w:w="1008" w:type="dxa"/>
            <w:gridSpan w:val="2"/>
            <w:shd w:val="clear" w:color="auto" w:fill="FFFFFF"/>
            <w:vAlign w:val="center"/>
          </w:tcPr>
          <w:p w14:paraId="7BCD2265"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70" w:type="dxa"/>
            <w:gridSpan w:val="2"/>
            <w:shd w:val="clear" w:color="auto" w:fill="FFFFFF"/>
            <w:vAlign w:val="center"/>
          </w:tcPr>
          <w:p w14:paraId="07AD8211"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70" w:type="dxa"/>
            <w:gridSpan w:val="2"/>
            <w:shd w:val="clear" w:color="auto" w:fill="FFFFFF"/>
            <w:vAlign w:val="center"/>
          </w:tcPr>
          <w:p w14:paraId="266385F1"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69" w:type="dxa"/>
            <w:gridSpan w:val="3"/>
            <w:shd w:val="clear" w:color="auto" w:fill="FFFFFF"/>
            <w:vAlign w:val="center"/>
          </w:tcPr>
          <w:p w14:paraId="53163821"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70" w:type="dxa"/>
            <w:gridSpan w:val="2"/>
            <w:shd w:val="clear" w:color="auto" w:fill="FFFFFF"/>
            <w:vAlign w:val="center"/>
          </w:tcPr>
          <w:p w14:paraId="16743211"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70" w:type="dxa"/>
            <w:shd w:val="clear" w:color="auto" w:fill="FFFFFF"/>
            <w:vAlign w:val="center"/>
          </w:tcPr>
          <w:p w14:paraId="02B1751F"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70" w:type="dxa"/>
            <w:gridSpan w:val="3"/>
            <w:shd w:val="clear" w:color="auto" w:fill="FFFFFF"/>
            <w:vAlign w:val="center"/>
          </w:tcPr>
          <w:p w14:paraId="6CE6C98D"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69" w:type="dxa"/>
            <w:gridSpan w:val="3"/>
            <w:shd w:val="clear" w:color="auto" w:fill="FFFFFF"/>
            <w:vAlign w:val="center"/>
          </w:tcPr>
          <w:p w14:paraId="6CCF1544"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70" w:type="dxa"/>
            <w:gridSpan w:val="2"/>
            <w:shd w:val="clear" w:color="auto" w:fill="FFFFFF"/>
            <w:vAlign w:val="center"/>
          </w:tcPr>
          <w:p w14:paraId="5F6FC9F6"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70" w:type="dxa"/>
            <w:gridSpan w:val="2"/>
            <w:shd w:val="clear" w:color="auto" w:fill="FFFFFF"/>
            <w:vAlign w:val="center"/>
          </w:tcPr>
          <w:p w14:paraId="5EA3D0BC"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570" w:type="dxa"/>
            <w:shd w:val="clear" w:color="auto" w:fill="FFFFFF"/>
            <w:vAlign w:val="center"/>
          </w:tcPr>
          <w:p w14:paraId="4D8BAB7D" w14:textId="77777777" w:rsidR="00BD2F2A" w:rsidRPr="0068560B" w:rsidRDefault="00BD2F2A" w:rsidP="00882821">
            <w:pPr>
              <w:jc w:val="center"/>
              <w:rPr>
                <w:rFonts w:ascii="Times New Roman" w:hAnsi="Times New Roman"/>
                <w:color w:val="000000"/>
                <w:sz w:val="20"/>
                <w:szCs w:val="20"/>
              </w:rPr>
            </w:pPr>
            <w:r w:rsidRPr="0068560B">
              <w:rPr>
                <w:rFonts w:ascii="Times New Roman" w:hAnsi="Times New Roman"/>
                <w:color w:val="000000"/>
                <w:sz w:val="20"/>
                <w:szCs w:val="20"/>
              </w:rPr>
              <w:t>8,48</w:t>
            </w:r>
          </w:p>
        </w:tc>
        <w:tc>
          <w:tcPr>
            <w:tcW w:w="1547" w:type="dxa"/>
            <w:gridSpan w:val="4"/>
            <w:shd w:val="clear" w:color="auto" w:fill="FFFFFF"/>
            <w:vAlign w:val="center"/>
          </w:tcPr>
          <w:p w14:paraId="023EC988" w14:textId="77777777" w:rsidR="00BD2F2A" w:rsidRPr="00BD2F2A" w:rsidRDefault="00BF291C" w:rsidP="00BD2F2A">
            <w:pPr>
              <w:jc w:val="center"/>
              <w:rPr>
                <w:rFonts w:ascii="Times New Roman" w:hAnsi="Times New Roman"/>
                <w:sz w:val="20"/>
                <w:szCs w:val="20"/>
              </w:rPr>
            </w:pPr>
            <w:r w:rsidRPr="00BF291C">
              <w:rPr>
                <w:rFonts w:ascii="Times New Roman" w:hAnsi="Times New Roman"/>
                <w:sz w:val="20"/>
                <w:szCs w:val="20"/>
              </w:rPr>
              <w:t>93,28</w:t>
            </w:r>
          </w:p>
        </w:tc>
      </w:tr>
      <w:tr w:rsidR="00BD2F2A" w:rsidRPr="008B4FE6" w14:paraId="12B44452" w14:textId="77777777" w:rsidTr="00BD2F2A">
        <w:trPr>
          <w:trHeight w:val="360"/>
        </w:trPr>
        <w:tc>
          <w:tcPr>
            <w:tcW w:w="2694" w:type="dxa"/>
            <w:gridSpan w:val="4"/>
            <w:shd w:val="clear" w:color="auto" w:fill="FFFFFF"/>
            <w:vAlign w:val="center"/>
          </w:tcPr>
          <w:p w14:paraId="7600CC12" w14:textId="77777777" w:rsidR="00BD2F2A" w:rsidRPr="00C53F26" w:rsidRDefault="00BD2F2A"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1008" w:type="dxa"/>
            <w:gridSpan w:val="2"/>
            <w:shd w:val="clear" w:color="auto" w:fill="FFFFFF"/>
            <w:vAlign w:val="center"/>
          </w:tcPr>
          <w:p w14:paraId="17A1D171"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70" w:type="dxa"/>
            <w:gridSpan w:val="2"/>
            <w:shd w:val="clear" w:color="auto" w:fill="FFFFFF"/>
            <w:vAlign w:val="center"/>
          </w:tcPr>
          <w:p w14:paraId="35EC9C1E"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70" w:type="dxa"/>
            <w:gridSpan w:val="2"/>
            <w:shd w:val="clear" w:color="auto" w:fill="FFFFFF"/>
            <w:vAlign w:val="center"/>
          </w:tcPr>
          <w:p w14:paraId="512DE9FD"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69" w:type="dxa"/>
            <w:gridSpan w:val="3"/>
            <w:shd w:val="clear" w:color="auto" w:fill="FFFFFF"/>
            <w:vAlign w:val="center"/>
          </w:tcPr>
          <w:p w14:paraId="69766680"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70" w:type="dxa"/>
            <w:gridSpan w:val="2"/>
            <w:shd w:val="clear" w:color="auto" w:fill="FFFFFF"/>
            <w:vAlign w:val="center"/>
          </w:tcPr>
          <w:p w14:paraId="7E47234C"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70" w:type="dxa"/>
            <w:shd w:val="clear" w:color="auto" w:fill="FFFFFF"/>
            <w:vAlign w:val="center"/>
          </w:tcPr>
          <w:p w14:paraId="0A2222E8"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70" w:type="dxa"/>
            <w:gridSpan w:val="3"/>
            <w:shd w:val="clear" w:color="auto" w:fill="FFFFFF"/>
            <w:vAlign w:val="center"/>
          </w:tcPr>
          <w:p w14:paraId="5AA1E157"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69" w:type="dxa"/>
            <w:gridSpan w:val="3"/>
            <w:shd w:val="clear" w:color="auto" w:fill="FFFFFF"/>
            <w:vAlign w:val="center"/>
          </w:tcPr>
          <w:p w14:paraId="0F4EB640"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70" w:type="dxa"/>
            <w:gridSpan w:val="2"/>
            <w:shd w:val="clear" w:color="auto" w:fill="FFFFFF"/>
            <w:vAlign w:val="center"/>
          </w:tcPr>
          <w:p w14:paraId="59B28173"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70" w:type="dxa"/>
            <w:gridSpan w:val="2"/>
            <w:shd w:val="clear" w:color="auto" w:fill="FFFFFF"/>
            <w:vAlign w:val="center"/>
          </w:tcPr>
          <w:p w14:paraId="301D0E91"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570" w:type="dxa"/>
            <w:shd w:val="clear" w:color="auto" w:fill="FFFFFF"/>
            <w:vAlign w:val="center"/>
          </w:tcPr>
          <w:p w14:paraId="65C498D4" w14:textId="77777777" w:rsidR="00BD2F2A" w:rsidRPr="0068560B" w:rsidRDefault="00BD2F2A" w:rsidP="00882821">
            <w:pPr>
              <w:jc w:val="center"/>
              <w:rPr>
                <w:rFonts w:ascii="Times New Roman" w:hAnsi="Times New Roman"/>
                <w:b/>
                <w:bCs/>
                <w:color w:val="000000"/>
                <w:sz w:val="20"/>
                <w:szCs w:val="20"/>
              </w:rPr>
            </w:pPr>
            <w:r w:rsidRPr="0068560B">
              <w:rPr>
                <w:rFonts w:ascii="Times New Roman" w:hAnsi="Times New Roman"/>
                <w:b/>
                <w:bCs/>
                <w:color w:val="000000"/>
                <w:sz w:val="20"/>
                <w:szCs w:val="20"/>
              </w:rPr>
              <w:t>0,2</w:t>
            </w:r>
          </w:p>
        </w:tc>
        <w:tc>
          <w:tcPr>
            <w:tcW w:w="1547" w:type="dxa"/>
            <w:gridSpan w:val="4"/>
            <w:shd w:val="clear" w:color="auto" w:fill="FFFFFF"/>
            <w:vAlign w:val="center"/>
          </w:tcPr>
          <w:p w14:paraId="4227FA25" w14:textId="77777777" w:rsidR="00BD2F2A" w:rsidRPr="00BD2F2A" w:rsidRDefault="002B629C" w:rsidP="002B629C">
            <w:pPr>
              <w:jc w:val="center"/>
              <w:rPr>
                <w:rFonts w:ascii="Times New Roman" w:hAnsi="Times New Roman"/>
                <w:b/>
                <w:sz w:val="20"/>
                <w:szCs w:val="20"/>
              </w:rPr>
            </w:pPr>
            <w:r>
              <w:rPr>
                <w:rFonts w:ascii="Times New Roman" w:hAnsi="Times New Roman"/>
                <w:b/>
                <w:sz w:val="20"/>
                <w:szCs w:val="20"/>
              </w:rPr>
              <w:t>2,2</w:t>
            </w:r>
          </w:p>
        </w:tc>
      </w:tr>
      <w:tr w:rsidR="00BD2F2A" w:rsidRPr="008B4FE6" w14:paraId="40BEE1A6" w14:textId="77777777" w:rsidTr="00BD2F2A">
        <w:trPr>
          <w:trHeight w:val="357"/>
        </w:trPr>
        <w:tc>
          <w:tcPr>
            <w:tcW w:w="2694" w:type="dxa"/>
            <w:gridSpan w:val="4"/>
            <w:shd w:val="clear" w:color="auto" w:fill="FFFFFF"/>
            <w:vAlign w:val="center"/>
          </w:tcPr>
          <w:p w14:paraId="28ADC054" w14:textId="77777777" w:rsidR="00BD2F2A" w:rsidRPr="00C53F26" w:rsidRDefault="00BD2F2A" w:rsidP="00C53F26">
            <w:pPr>
              <w:spacing w:line="240" w:lineRule="auto"/>
              <w:rPr>
                <w:rFonts w:ascii="Times New Roman" w:hAnsi="Times New Roman"/>
                <w:color w:val="000000"/>
                <w:sz w:val="21"/>
                <w:szCs w:val="21"/>
              </w:rPr>
            </w:pPr>
            <w:r>
              <w:rPr>
                <w:rFonts w:ascii="Times New Roman" w:hAnsi="Times New Roman"/>
                <w:color w:val="000000"/>
                <w:sz w:val="21"/>
                <w:szCs w:val="21"/>
              </w:rPr>
              <w:t>KNF</w:t>
            </w:r>
          </w:p>
        </w:tc>
        <w:tc>
          <w:tcPr>
            <w:tcW w:w="1008" w:type="dxa"/>
            <w:gridSpan w:val="2"/>
            <w:shd w:val="clear" w:color="auto" w:fill="FFFFFF"/>
            <w:vAlign w:val="center"/>
          </w:tcPr>
          <w:p w14:paraId="2CB81562"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70" w:type="dxa"/>
            <w:gridSpan w:val="2"/>
            <w:shd w:val="clear" w:color="auto" w:fill="FFFFFF"/>
            <w:vAlign w:val="center"/>
          </w:tcPr>
          <w:p w14:paraId="2D19134A"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70" w:type="dxa"/>
            <w:gridSpan w:val="2"/>
            <w:shd w:val="clear" w:color="auto" w:fill="FFFFFF"/>
            <w:vAlign w:val="center"/>
          </w:tcPr>
          <w:p w14:paraId="3605CAAF"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69" w:type="dxa"/>
            <w:gridSpan w:val="3"/>
            <w:shd w:val="clear" w:color="auto" w:fill="FFFFFF"/>
            <w:vAlign w:val="center"/>
          </w:tcPr>
          <w:p w14:paraId="173D7C62"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70" w:type="dxa"/>
            <w:gridSpan w:val="2"/>
            <w:shd w:val="clear" w:color="auto" w:fill="FFFFFF"/>
            <w:vAlign w:val="center"/>
          </w:tcPr>
          <w:p w14:paraId="2CD98927"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70" w:type="dxa"/>
            <w:shd w:val="clear" w:color="auto" w:fill="FFFFFF"/>
            <w:vAlign w:val="center"/>
          </w:tcPr>
          <w:p w14:paraId="306F76EF"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70" w:type="dxa"/>
            <w:gridSpan w:val="3"/>
            <w:shd w:val="clear" w:color="auto" w:fill="FFFFFF"/>
            <w:vAlign w:val="center"/>
          </w:tcPr>
          <w:p w14:paraId="3F327987"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69" w:type="dxa"/>
            <w:gridSpan w:val="3"/>
            <w:shd w:val="clear" w:color="auto" w:fill="FFFFFF"/>
            <w:vAlign w:val="center"/>
          </w:tcPr>
          <w:p w14:paraId="0E6D0D8F"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70" w:type="dxa"/>
            <w:gridSpan w:val="2"/>
            <w:shd w:val="clear" w:color="auto" w:fill="FFFFFF"/>
            <w:vAlign w:val="center"/>
          </w:tcPr>
          <w:p w14:paraId="08ADCE71"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70" w:type="dxa"/>
            <w:gridSpan w:val="2"/>
            <w:shd w:val="clear" w:color="auto" w:fill="FFFFFF"/>
            <w:vAlign w:val="center"/>
          </w:tcPr>
          <w:p w14:paraId="0ED56DF7"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570" w:type="dxa"/>
            <w:shd w:val="clear" w:color="auto" w:fill="FFFFFF"/>
            <w:vAlign w:val="center"/>
          </w:tcPr>
          <w:p w14:paraId="2CE856F4" w14:textId="77777777" w:rsidR="00BD2F2A" w:rsidRPr="004C6851" w:rsidRDefault="00BD2F2A" w:rsidP="00882821">
            <w:pPr>
              <w:jc w:val="center"/>
              <w:rPr>
                <w:rFonts w:ascii="Times New Roman" w:hAnsi="Times New Roman"/>
                <w:color w:val="000000"/>
                <w:sz w:val="20"/>
                <w:szCs w:val="20"/>
              </w:rPr>
            </w:pPr>
            <w:r w:rsidRPr="004C6851">
              <w:rPr>
                <w:rFonts w:ascii="Times New Roman" w:hAnsi="Times New Roman"/>
                <w:color w:val="000000"/>
                <w:sz w:val="20"/>
                <w:szCs w:val="20"/>
              </w:rPr>
              <w:t>0,2</w:t>
            </w:r>
          </w:p>
        </w:tc>
        <w:tc>
          <w:tcPr>
            <w:tcW w:w="1547" w:type="dxa"/>
            <w:gridSpan w:val="4"/>
            <w:shd w:val="clear" w:color="auto" w:fill="FFFFFF"/>
            <w:vAlign w:val="center"/>
          </w:tcPr>
          <w:p w14:paraId="685C8749" w14:textId="77777777" w:rsidR="00BD2F2A" w:rsidRPr="00BD2F2A" w:rsidRDefault="002B629C" w:rsidP="00BD2F2A">
            <w:pPr>
              <w:jc w:val="center"/>
              <w:rPr>
                <w:rFonts w:ascii="Times New Roman" w:hAnsi="Times New Roman"/>
                <w:sz w:val="20"/>
                <w:szCs w:val="20"/>
              </w:rPr>
            </w:pPr>
            <w:r>
              <w:rPr>
                <w:rFonts w:ascii="Times New Roman" w:hAnsi="Times New Roman"/>
                <w:sz w:val="20"/>
                <w:szCs w:val="20"/>
              </w:rPr>
              <w:t>2,2</w:t>
            </w:r>
          </w:p>
        </w:tc>
      </w:tr>
      <w:tr w:rsidR="00882821" w:rsidRPr="008B4FE6" w14:paraId="784EA7B9" w14:textId="77777777" w:rsidTr="00862088">
        <w:trPr>
          <w:gridAfter w:val="2"/>
          <w:wAfter w:w="31" w:type="dxa"/>
          <w:trHeight w:val="348"/>
        </w:trPr>
        <w:tc>
          <w:tcPr>
            <w:tcW w:w="2243" w:type="dxa"/>
            <w:gridSpan w:val="2"/>
            <w:shd w:val="clear" w:color="auto" w:fill="FFFFFF"/>
            <w:vAlign w:val="center"/>
          </w:tcPr>
          <w:p w14:paraId="75E366E2" w14:textId="77777777" w:rsidR="00882821" w:rsidRPr="00C53F26" w:rsidRDefault="00882821" w:rsidP="005741E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73" w:type="dxa"/>
            <w:gridSpan w:val="27"/>
            <w:shd w:val="clear" w:color="auto" w:fill="FFFFFF"/>
            <w:vAlign w:val="center"/>
          </w:tcPr>
          <w:p w14:paraId="2FEED42E" w14:textId="77777777" w:rsidR="00882821" w:rsidRPr="00A114F6" w:rsidRDefault="00882821" w:rsidP="008052CF">
            <w:pPr>
              <w:spacing w:line="240" w:lineRule="auto"/>
              <w:jc w:val="both"/>
              <w:rPr>
                <w:rFonts w:ascii="Times New Roman" w:hAnsi="Times New Roman"/>
                <w:color w:val="000000"/>
              </w:rPr>
            </w:pPr>
            <w:r w:rsidRPr="00A114F6">
              <w:rPr>
                <w:rFonts w:ascii="Times New Roman" w:hAnsi="Times New Roman"/>
                <w:color w:val="000000"/>
              </w:rPr>
              <w:t>Zadania związane z wykonywaniem przez Komisję Nadzoru Finansowego nadzoru nad działalnością instytucji pożyczkowych będą pokrywane z opłat uiszczanych przez tych przedsiębiorców bezpośrednio na rachunek</w:t>
            </w:r>
            <w:r w:rsidRPr="001338BD">
              <w:t xml:space="preserve"> </w:t>
            </w:r>
            <w:r w:rsidRPr="00A114F6">
              <w:rPr>
                <w:rFonts w:ascii="Times New Roman" w:hAnsi="Times New Roman"/>
                <w:color w:val="000000"/>
              </w:rPr>
              <w:t xml:space="preserve">urzędu obsługującego KNF. </w:t>
            </w:r>
          </w:p>
        </w:tc>
      </w:tr>
      <w:tr w:rsidR="00882821" w:rsidRPr="008B4FE6" w14:paraId="5FEF9728" w14:textId="77777777" w:rsidTr="00862088">
        <w:trPr>
          <w:gridAfter w:val="2"/>
          <w:wAfter w:w="31" w:type="dxa"/>
          <w:trHeight w:val="1926"/>
        </w:trPr>
        <w:tc>
          <w:tcPr>
            <w:tcW w:w="2243" w:type="dxa"/>
            <w:gridSpan w:val="2"/>
            <w:shd w:val="clear" w:color="auto" w:fill="FFFFFF"/>
          </w:tcPr>
          <w:p w14:paraId="7C855B31" w14:textId="77777777" w:rsidR="00882821" w:rsidRPr="00C53F26" w:rsidRDefault="00882821"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73" w:type="dxa"/>
            <w:gridSpan w:val="27"/>
            <w:shd w:val="clear" w:color="auto" w:fill="FFFFFF"/>
          </w:tcPr>
          <w:p w14:paraId="230851BA" w14:textId="77777777" w:rsidR="00882821" w:rsidRDefault="00882821" w:rsidP="00285313">
            <w:pPr>
              <w:spacing w:line="240" w:lineRule="auto"/>
              <w:jc w:val="both"/>
              <w:rPr>
                <w:rFonts w:ascii="Times New Roman" w:hAnsi="Times New Roman"/>
                <w:color w:val="000000"/>
              </w:rPr>
            </w:pPr>
            <w:r>
              <w:rPr>
                <w:rFonts w:ascii="Times New Roman" w:hAnsi="Times New Roman"/>
                <w:color w:val="000000"/>
              </w:rPr>
              <w:t>Projekt ustawy przewiduje (projektowany art. 59dn ustawy</w:t>
            </w:r>
            <w:r>
              <w:t xml:space="preserve"> </w:t>
            </w:r>
            <w:r w:rsidRPr="008E2E12">
              <w:rPr>
                <w:rFonts w:ascii="Times New Roman" w:hAnsi="Times New Roman"/>
                <w:color w:val="000000"/>
              </w:rPr>
              <w:t>o kredycie konsumenckim</w:t>
            </w:r>
            <w:r>
              <w:rPr>
                <w:rFonts w:ascii="Times New Roman" w:hAnsi="Times New Roman"/>
                <w:color w:val="000000"/>
              </w:rPr>
              <w:t xml:space="preserve">), że </w:t>
            </w:r>
            <w:r w:rsidRPr="0014793F">
              <w:rPr>
                <w:rFonts w:ascii="Times New Roman" w:hAnsi="Times New Roman"/>
                <w:color w:val="000000"/>
              </w:rPr>
              <w:t>instytucje poż</w:t>
            </w:r>
            <w:r>
              <w:rPr>
                <w:rFonts w:ascii="Times New Roman" w:hAnsi="Times New Roman"/>
                <w:color w:val="000000"/>
              </w:rPr>
              <w:t>yczkowe będą</w:t>
            </w:r>
            <w:r w:rsidRPr="0014793F">
              <w:rPr>
                <w:rFonts w:ascii="Times New Roman" w:hAnsi="Times New Roman"/>
                <w:color w:val="000000"/>
              </w:rPr>
              <w:t xml:space="preserve"> obowiązan</w:t>
            </w:r>
            <w:r>
              <w:rPr>
                <w:rFonts w:ascii="Times New Roman" w:hAnsi="Times New Roman"/>
                <w:color w:val="000000"/>
              </w:rPr>
              <w:t>e</w:t>
            </w:r>
            <w:r w:rsidRPr="0014793F">
              <w:rPr>
                <w:rFonts w:ascii="Times New Roman" w:hAnsi="Times New Roman"/>
                <w:color w:val="000000"/>
              </w:rPr>
              <w:t xml:space="preserve"> do wnoszenia wpłat na pokrycie kosztów nadzoru </w:t>
            </w:r>
            <w:r w:rsidRPr="003F68CA">
              <w:rPr>
                <w:rFonts w:ascii="Times New Roman" w:hAnsi="Times New Roman"/>
                <w:color w:val="000000"/>
                <w:spacing w:val="-2"/>
              </w:rPr>
              <w:t>KNF</w:t>
            </w:r>
            <w:r w:rsidRPr="0014793F">
              <w:rPr>
                <w:rFonts w:ascii="Times New Roman" w:hAnsi="Times New Roman"/>
                <w:color w:val="000000"/>
              </w:rPr>
              <w:t xml:space="preserve"> w kwocie nie wyższej niż</w:t>
            </w:r>
            <w:r>
              <w:rPr>
                <w:rFonts w:ascii="Times New Roman" w:hAnsi="Times New Roman"/>
                <w:color w:val="000000"/>
              </w:rPr>
              <w:t xml:space="preserve"> 5</w:t>
            </w:r>
            <w:r w:rsidRPr="00264E4D">
              <w:rPr>
                <w:rFonts w:ascii="Times New Roman" w:hAnsi="Times New Roman"/>
                <w:color w:val="000000"/>
              </w:rPr>
              <w:t>000 zł za każdy rozpoczęty kwartał działalności</w:t>
            </w:r>
            <w:r>
              <w:rPr>
                <w:rFonts w:ascii="Times New Roman" w:hAnsi="Times New Roman"/>
                <w:color w:val="000000"/>
              </w:rPr>
              <w:t>.</w:t>
            </w:r>
          </w:p>
          <w:p w14:paraId="113407D7" w14:textId="77777777" w:rsidR="00882821" w:rsidRDefault="00882821" w:rsidP="00264E4D">
            <w:pPr>
              <w:spacing w:line="240" w:lineRule="auto"/>
              <w:jc w:val="both"/>
              <w:rPr>
                <w:rFonts w:ascii="Times New Roman" w:hAnsi="Times New Roman"/>
                <w:color w:val="000000"/>
              </w:rPr>
            </w:pPr>
            <w:r>
              <w:rPr>
                <w:rFonts w:ascii="Times New Roman" w:hAnsi="Times New Roman"/>
                <w:color w:val="000000"/>
              </w:rPr>
              <w:t xml:space="preserve">Wysokość opłat zostanie określona w rozporządzeniu Prezesa Rady Ministrów. </w:t>
            </w:r>
          </w:p>
          <w:p w14:paraId="141D9096" w14:textId="77777777" w:rsidR="00882821" w:rsidRPr="003F68CA" w:rsidRDefault="00882821" w:rsidP="00264E4D">
            <w:pPr>
              <w:spacing w:line="240" w:lineRule="auto"/>
              <w:jc w:val="both"/>
              <w:rPr>
                <w:rFonts w:ascii="Times New Roman" w:hAnsi="Times New Roman"/>
                <w:color w:val="000000"/>
                <w:spacing w:val="-2"/>
              </w:rPr>
            </w:pPr>
            <w:r w:rsidRPr="003F68CA">
              <w:rPr>
                <w:rFonts w:ascii="Times New Roman" w:hAnsi="Times New Roman"/>
                <w:color w:val="000000"/>
                <w:spacing w:val="-2"/>
              </w:rPr>
              <w:t xml:space="preserve">Zakłada się, że całość wpływów z opłat będzie wydatkowana na działalność nadzorczą KNF. Przedmiotowa regulacja </w:t>
            </w:r>
            <w:r>
              <w:rPr>
                <w:rFonts w:ascii="Times New Roman" w:hAnsi="Times New Roman"/>
                <w:color w:val="000000"/>
                <w:spacing w:val="-2"/>
              </w:rPr>
              <w:t>w ujęciu maksymalnym może spowodować</w:t>
            </w:r>
            <w:r w:rsidRPr="003F68CA">
              <w:rPr>
                <w:rFonts w:ascii="Times New Roman" w:hAnsi="Times New Roman"/>
                <w:color w:val="000000"/>
                <w:spacing w:val="-2"/>
              </w:rPr>
              <w:t xml:space="preserve"> następujące zwiększenie wpływów do sektora finansów publicznych: </w:t>
            </w:r>
          </w:p>
          <w:p w14:paraId="4D4076ED" w14:textId="77777777" w:rsidR="00882821" w:rsidRPr="003F68CA" w:rsidRDefault="00882821" w:rsidP="00B76BD1">
            <w:pPr>
              <w:spacing w:line="240" w:lineRule="auto"/>
              <w:jc w:val="both"/>
              <w:rPr>
                <w:rFonts w:ascii="Times New Roman" w:hAnsi="Times New Roman"/>
                <w:color w:val="000000"/>
                <w:spacing w:val="-2"/>
              </w:rPr>
            </w:pPr>
            <w:r w:rsidRPr="003F68CA">
              <w:rPr>
                <w:rFonts w:ascii="Times New Roman" w:hAnsi="Times New Roman"/>
                <w:b/>
                <w:color w:val="000000"/>
                <w:spacing w:val="-2"/>
              </w:rPr>
              <w:t xml:space="preserve">424 x </w:t>
            </w:r>
            <w:r>
              <w:rPr>
                <w:rFonts w:ascii="Times New Roman" w:hAnsi="Times New Roman"/>
                <w:b/>
                <w:color w:val="000000"/>
                <w:spacing w:val="-2"/>
              </w:rPr>
              <w:t>20 </w:t>
            </w:r>
            <w:r w:rsidRPr="003F68CA">
              <w:rPr>
                <w:rFonts w:ascii="Times New Roman" w:hAnsi="Times New Roman"/>
                <w:b/>
                <w:color w:val="000000"/>
                <w:spacing w:val="-2"/>
              </w:rPr>
              <w:t xml:space="preserve">000 zł = </w:t>
            </w:r>
            <w:r>
              <w:rPr>
                <w:rFonts w:ascii="Times New Roman" w:hAnsi="Times New Roman"/>
                <w:b/>
                <w:color w:val="000000"/>
                <w:spacing w:val="-2"/>
              </w:rPr>
              <w:t>8 480</w:t>
            </w:r>
            <w:r w:rsidRPr="003F68CA">
              <w:rPr>
                <w:rFonts w:ascii="Times New Roman" w:hAnsi="Times New Roman"/>
                <w:b/>
                <w:color w:val="000000"/>
                <w:spacing w:val="-2"/>
              </w:rPr>
              <w:t xml:space="preserve"> tys. zł</w:t>
            </w:r>
            <w:r w:rsidRPr="003F68CA">
              <w:rPr>
                <w:rFonts w:ascii="Times New Roman" w:hAnsi="Times New Roman"/>
                <w:color w:val="000000"/>
                <w:spacing w:val="-2"/>
              </w:rPr>
              <w:t xml:space="preserve"> (liczba instytucji pożyczkowych x wielkość opłaty za 4 kwartały)</w:t>
            </w:r>
          </w:p>
          <w:p w14:paraId="3D1F30EC" w14:textId="77777777" w:rsidR="00882821" w:rsidRPr="003F68CA" w:rsidRDefault="00882821" w:rsidP="002E7A0C">
            <w:pPr>
              <w:spacing w:line="240" w:lineRule="auto"/>
              <w:jc w:val="both"/>
              <w:rPr>
                <w:rFonts w:ascii="Times New Roman" w:hAnsi="Times New Roman"/>
                <w:color w:val="000000"/>
                <w:spacing w:val="-2"/>
              </w:rPr>
            </w:pPr>
          </w:p>
          <w:p w14:paraId="70A4AADE" w14:textId="77777777" w:rsidR="00882821" w:rsidRPr="003F68CA" w:rsidRDefault="00882821" w:rsidP="00583A50">
            <w:pPr>
              <w:spacing w:line="240" w:lineRule="auto"/>
              <w:jc w:val="both"/>
              <w:rPr>
                <w:rFonts w:ascii="Times New Roman" w:hAnsi="Times New Roman"/>
                <w:color w:val="000000"/>
                <w:spacing w:val="-2"/>
              </w:rPr>
            </w:pPr>
            <w:r w:rsidRPr="003F68CA">
              <w:rPr>
                <w:rFonts w:ascii="Times New Roman" w:hAnsi="Times New Roman"/>
                <w:color w:val="000000"/>
              </w:rPr>
              <w:t>W razie stwierdzenia narusze</w:t>
            </w:r>
            <w:r>
              <w:rPr>
                <w:rFonts w:ascii="Times New Roman" w:hAnsi="Times New Roman"/>
                <w:color w:val="000000"/>
              </w:rPr>
              <w:t>nia przez instytucję pożyczkową</w:t>
            </w:r>
            <w:r w:rsidRPr="003F68CA">
              <w:rPr>
                <w:rFonts w:ascii="Times New Roman" w:hAnsi="Times New Roman"/>
                <w:color w:val="000000"/>
              </w:rPr>
              <w:t xml:space="preserve"> przepisów art. 7-56 ustawy o </w:t>
            </w:r>
            <w:r w:rsidRPr="003F68CA">
              <w:rPr>
                <w:rFonts w:ascii="Times New Roman" w:hAnsi="Times New Roman"/>
                <w:color w:val="000000"/>
              </w:rPr>
              <w:lastRenderedPageBreak/>
              <w:t xml:space="preserve">kredycie konsumenckim przewiduje się możliwość nałożenia na </w:t>
            </w:r>
            <w:r w:rsidRPr="003F68CA">
              <w:rPr>
                <w:rFonts w:ascii="Times New Roman" w:hAnsi="Times New Roman"/>
                <w:color w:val="000000"/>
                <w:spacing w:val="-2"/>
              </w:rPr>
              <w:t>instytucje pożyczkow</w:t>
            </w:r>
            <w:r>
              <w:rPr>
                <w:rFonts w:ascii="Times New Roman" w:hAnsi="Times New Roman"/>
                <w:color w:val="000000"/>
                <w:spacing w:val="-2"/>
              </w:rPr>
              <w:t>e kary w wysokości do 15 mln zł</w:t>
            </w:r>
            <w:r w:rsidRPr="003F68CA">
              <w:rPr>
                <w:rFonts w:ascii="Times New Roman" w:hAnsi="Times New Roman"/>
                <w:color w:val="000000"/>
                <w:spacing w:val="-2"/>
              </w:rPr>
              <w:t>. Ze względu na</w:t>
            </w:r>
            <w:r>
              <w:rPr>
                <w:rFonts w:ascii="Times New Roman" w:hAnsi="Times New Roman"/>
                <w:color w:val="000000"/>
                <w:spacing w:val="-2"/>
              </w:rPr>
              <w:t xml:space="preserve"> charakter</w:t>
            </w:r>
            <w:r w:rsidRPr="003F68CA">
              <w:rPr>
                <w:rFonts w:ascii="Times New Roman" w:hAnsi="Times New Roman"/>
                <w:color w:val="000000"/>
                <w:spacing w:val="-2"/>
              </w:rPr>
              <w:t xml:space="preserve"> przedmiotowej regulacji nie jest możliwe dokładne określenie </w:t>
            </w:r>
            <w:r>
              <w:rPr>
                <w:rFonts w:ascii="Times New Roman" w:hAnsi="Times New Roman"/>
                <w:color w:val="000000"/>
                <w:spacing w:val="-2"/>
              </w:rPr>
              <w:t xml:space="preserve">przyszłych </w:t>
            </w:r>
            <w:r w:rsidRPr="003F68CA">
              <w:rPr>
                <w:rFonts w:ascii="Times New Roman" w:hAnsi="Times New Roman"/>
                <w:color w:val="000000"/>
                <w:spacing w:val="-2"/>
              </w:rPr>
              <w:t>skutków finansowych. Poniżej podjęto próbę przybliżonego szacowania potencjalnych wpływów z tytułu nałożonych kar finansowych.</w:t>
            </w:r>
          </w:p>
          <w:p w14:paraId="783BFE61" w14:textId="77777777" w:rsidR="00882821" w:rsidRPr="003F68CA" w:rsidRDefault="00882821" w:rsidP="00583A50">
            <w:pPr>
              <w:spacing w:line="240" w:lineRule="auto"/>
              <w:jc w:val="both"/>
              <w:rPr>
                <w:rFonts w:ascii="Times New Roman" w:hAnsi="Times New Roman"/>
                <w:color w:val="000000"/>
                <w:spacing w:val="-2"/>
              </w:rPr>
            </w:pPr>
          </w:p>
          <w:p w14:paraId="309AD9A2" w14:textId="77777777" w:rsidR="00882821" w:rsidRPr="003F68CA" w:rsidRDefault="00882821" w:rsidP="00583A50">
            <w:pPr>
              <w:spacing w:line="240" w:lineRule="auto"/>
              <w:jc w:val="both"/>
              <w:rPr>
                <w:rFonts w:ascii="Times New Roman" w:hAnsi="Times New Roman"/>
              </w:rPr>
            </w:pPr>
            <w:r w:rsidRPr="003F68CA">
              <w:rPr>
                <w:rFonts w:ascii="Times New Roman" w:hAnsi="Times New Roman"/>
              </w:rPr>
              <w:t>12 421 – liczba podmiotów aktualnie nadzorowanych przez KNF</w:t>
            </w:r>
          </w:p>
          <w:p w14:paraId="3F9BE236" w14:textId="77777777" w:rsidR="00882821" w:rsidRPr="003F68CA" w:rsidRDefault="00882821" w:rsidP="00583A50">
            <w:pPr>
              <w:spacing w:line="240" w:lineRule="auto"/>
              <w:jc w:val="both"/>
              <w:rPr>
                <w:rFonts w:ascii="Times New Roman" w:hAnsi="Times New Roman"/>
              </w:rPr>
            </w:pPr>
            <w:r w:rsidRPr="003F68CA">
              <w:rPr>
                <w:rFonts w:ascii="Times New Roman" w:hAnsi="Times New Roman"/>
              </w:rPr>
              <w:t>45 – liczba</w:t>
            </w:r>
            <w:r>
              <w:rPr>
                <w:rFonts w:ascii="Times New Roman" w:hAnsi="Times New Roman"/>
              </w:rPr>
              <w:t xml:space="preserve"> podmiotów, wobec których</w:t>
            </w:r>
            <w:r w:rsidRPr="003F68CA">
              <w:rPr>
                <w:rFonts w:ascii="Times New Roman" w:hAnsi="Times New Roman"/>
              </w:rPr>
              <w:t xml:space="preserve"> KNF </w:t>
            </w:r>
            <w:r>
              <w:rPr>
                <w:rFonts w:ascii="Times New Roman" w:hAnsi="Times New Roman"/>
              </w:rPr>
              <w:t xml:space="preserve">wydał </w:t>
            </w:r>
            <w:r w:rsidRPr="003F68CA">
              <w:rPr>
                <w:rFonts w:ascii="Times New Roman" w:hAnsi="Times New Roman"/>
              </w:rPr>
              <w:t>decyzj</w:t>
            </w:r>
            <w:r>
              <w:rPr>
                <w:rFonts w:ascii="Times New Roman" w:hAnsi="Times New Roman"/>
              </w:rPr>
              <w:t>e</w:t>
            </w:r>
            <w:r w:rsidRPr="003F68CA">
              <w:rPr>
                <w:rFonts w:ascii="Times New Roman" w:hAnsi="Times New Roman"/>
              </w:rPr>
              <w:t xml:space="preserve"> nakładając</w:t>
            </w:r>
            <w:r>
              <w:rPr>
                <w:rFonts w:ascii="Times New Roman" w:hAnsi="Times New Roman"/>
              </w:rPr>
              <w:t>e</w:t>
            </w:r>
            <w:r w:rsidRPr="003F68CA">
              <w:rPr>
                <w:rFonts w:ascii="Times New Roman" w:hAnsi="Times New Roman"/>
              </w:rPr>
              <w:t xml:space="preserve"> kary finansowe w</w:t>
            </w:r>
            <w:r>
              <w:rPr>
                <w:rFonts w:ascii="Times New Roman" w:hAnsi="Times New Roman"/>
              </w:rPr>
              <w:t> </w:t>
            </w:r>
            <w:r w:rsidRPr="003F68CA">
              <w:rPr>
                <w:rFonts w:ascii="Times New Roman" w:hAnsi="Times New Roman"/>
              </w:rPr>
              <w:t>2018</w:t>
            </w:r>
            <w:r>
              <w:rPr>
                <w:rFonts w:ascii="Times New Roman" w:hAnsi="Times New Roman"/>
              </w:rPr>
              <w:t> </w:t>
            </w:r>
            <w:r w:rsidRPr="003F68CA">
              <w:rPr>
                <w:rFonts w:ascii="Times New Roman" w:hAnsi="Times New Roman"/>
              </w:rPr>
              <w:t>r.</w:t>
            </w:r>
            <w:r>
              <w:rPr>
                <w:rStyle w:val="Odwoanieprzypisudolnego"/>
                <w:rFonts w:ascii="Times New Roman" w:hAnsi="Times New Roman"/>
              </w:rPr>
              <w:footnoteReference w:id="9"/>
            </w:r>
            <w:r w:rsidRPr="003F68CA">
              <w:rPr>
                <w:rFonts w:ascii="Times New Roman" w:hAnsi="Times New Roman"/>
              </w:rPr>
              <w:t xml:space="preserve"> </w:t>
            </w:r>
          </w:p>
          <w:p w14:paraId="5A41FA99" w14:textId="77777777" w:rsidR="00882821" w:rsidRPr="003F68CA" w:rsidRDefault="00882821" w:rsidP="00583A50">
            <w:pPr>
              <w:spacing w:line="240" w:lineRule="auto"/>
              <w:jc w:val="both"/>
              <w:rPr>
                <w:rFonts w:ascii="Times New Roman" w:hAnsi="Times New Roman"/>
              </w:rPr>
            </w:pPr>
          </w:p>
          <w:p w14:paraId="30379646" w14:textId="77777777" w:rsidR="00882821" w:rsidRPr="003F68CA" w:rsidRDefault="00882821" w:rsidP="001D40F3">
            <w:pPr>
              <w:spacing w:line="240" w:lineRule="auto"/>
              <w:ind w:left="2469" w:hanging="2469"/>
              <w:jc w:val="both"/>
              <w:rPr>
                <w:rFonts w:ascii="Times New Roman" w:hAnsi="Times New Roman"/>
              </w:rPr>
            </w:pPr>
            <w:r w:rsidRPr="003F68CA">
              <w:rPr>
                <w:rFonts w:ascii="Times New Roman" w:hAnsi="Times New Roman"/>
              </w:rPr>
              <w:t xml:space="preserve">12 421/45 x 100% = 0,4% (wyrażony procentowo stosunek liczby podmiotów kontrolowanych do liczby </w:t>
            </w:r>
            <w:r>
              <w:rPr>
                <w:rFonts w:ascii="Times New Roman" w:hAnsi="Times New Roman"/>
              </w:rPr>
              <w:t xml:space="preserve">podmiotów, na które </w:t>
            </w:r>
            <w:r w:rsidRPr="003F68CA">
              <w:rPr>
                <w:rFonts w:ascii="Times New Roman" w:hAnsi="Times New Roman"/>
              </w:rPr>
              <w:t>nałożon</w:t>
            </w:r>
            <w:r>
              <w:rPr>
                <w:rFonts w:ascii="Times New Roman" w:hAnsi="Times New Roman"/>
              </w:rPr>
              <w:t>o</w:t>
            </w:r>
            <w:r w:rsidRPr="003F68CA">
              <w:rPr>
                <w:rFonts w:ascii="Times New Roman" w:hAnsi="Times New Roman"/>
              </w:rPr>
              <w:t xml:space="preserve"> kar</w:t>
            </w:r>
            <w:r>
              <w:rPr>
                <w:rFonts w:ascii="Times New Roman" w:hAnsi="Times New Roman"/>
              </w:rPr>
              <w:t>y</w:t>
            </w:r>
            <w:r w:rsidRPr="003F68CA">
              <w:rPr>
                <w:rFonts w:ascii="Times New Roman" w:hAnsi="Times New Roman"/>
              </w:rPr>
              <w:t xml:space="preserve"> finansow</w:t>
            </w:r>
            <w:r>
              <w:rPr>
                <w:rFonts w:ascii="Times New Roman" w:hAnsi="Times New Roman"/>
              </w:rPr>
              <w:t>e</w:t>
            </w:r>
            <w:r w:rsidRPr="003F68CA">
              <w:rPr>
                <w:rFonts w:ascii="Times New Roman" w:hAnsi="Times New Roman"/>
              </w:rPr>
              <w:t>)</w:t>
            </w:r>
          </w:p>
          <w:p w14:paraId="5F8CDB56" w14:textId="77777777" w:rsidR="00882821" w:rsidRPr="003F68CA" w:rsidRDefault="00882821" w:rsidP="00583A50">
            <w:pPr>
              <w:spacing w:line="240" w:lineRule="auto"/>
              <w:jc w:val="both"/>
              <w:rPr>
                <w:rFonts w:ascii="Times New Roman" w:hAnsi="Times New Roman"/>
              </w:rPr>
            </w:pPr>
          </w:p>
          <w:p w14:paraId="39C75F43" w14:textId="77777777" w:rsidR="00882821" w:rsidRPr="003F68CA" w:rsidRDefault="00882821" w:rsidP="00583A50">
            <w:pPr>
              <w:spacing w:line="240" w:lineRule="auto"/>
              <w:jc w:val="both"/>
              <w:rPr>
                <w:rFonts w:ascii="Times New Roman" w:hAnsi="Times New Roman"/>
              </w:rPr>
            </w:pPr>
            <w:r w:rsidRPr="003F68CA">
              <w:rPr>
                <w:rFonts w:ascii="Times New Roman" w:hAnsi="Times New Roman"/>
              </w:rPr>
              <w:t xml:space="preserve">424 x 0,4% = 2 – szacowana, roczna liczba kar nałożonych na instytucje </w:t>
            </w:r>
            <w:r>
              <w:rPr>
                <w:rFonts w:ascii="Times New Roman" w:hAnsi="Times New Roman"/>
              </w:rPr>
              <w:t>pożyczkowe</w:t>
            </w:r>
          </w:p>
          <w:p w14:paraId="309E7232" w14:textId="77777777" w:rsidR="00882821" w:rsidRPr="003F68CA" w:rsidRDefault="00882821" w:rsidP="00583A50">
            <w:pPr>
              <w:spacing w:line="240" w:lineRule="auto"/>
              <w:jc w:val="both"/>
              <w:rPr>
                <w:rFonts w:ascii="Times New Roman" w:hAnsi="Times New Roman"/>
              </w:rPr>
            </w:pPr>
          </w:p>
          <w:p w14:paraId="498FAE5F" w14:textId="77777777" w:rsidR="00882821" w:rsidRPr="003F68CA" w:rsidRDefault="00882821" w:rsidP="00583A50">
            <w:pPr>
              <w:spacing w:line="240" w:lineRule="auto"/>
              <w:jc w:val="both"/>
              <w:rPr>
                <w:rFonts w:ascii="Times New Roman" w:hAnsi="Times New Roman"/>
              </w:rPr>
            </w:pPr>
          </w:p>
          <w:p w14:paraId="282153EC" w14:textId="77777777" w:rsidR="00882821" w:rsidRDefault="00882821" w:rsidP="00583A50">
            <w:pPr>
              <w:spacing w:line="240" w:lineRule="auto"/>
              <w:jc w:val="both"/>
              <w:rPr>
                <w:rFonts w:ascii="Times New Roman" w:hAnsi="Times New Roman"/>
              </w:rPr>
            </w:pPr>
            <w:r>
              <w:rPr>
                <w:rFonts w:ascii="Times New Roman" w:hAnsi="Times New Roman"/>
              </w:rPr>
              <w:t xml:space="preserve">Zgodnie z obowiązującym obecnie przepisami KNF jest uprawniona do nakładania kar pieniężnych na osoby prawne i osoby fizyczne pełniące określone funkcje na podstawie: </w:t>
            </w:r>
          </w:p>
          <w:p w14:paraId="219D3D4F" w14:textId="77777777" w:rsidR="00882821" w:rsidRDefault="00882821" w:rsidP="00277620">
            <w:pPr>
              <w:numPr>
                <w:ilvl w:val="0"/>
                <w:numId w:val="25"/>
              </w:numPr>
              <w:spacing w:line="240" w:lineRule="auto"/>
              <w:jc w:val="both"/>
              <w:rPr>
                <w:rFonts w:ascii="Times New Roman" w:hAnsi="Times New Roman"/>
              </w:rPr>
            </w:pPr>
            <w:r>
              <w:rPr>
                <w:rFonts w:ascii="Times New Roman" w:hAnsi="Times New Roman"/>
              </w:rPr>
              <w:t xml:space="preserve">ustawy </w:t>
            </w:r>
            <w:r w:rsidRPr="00277620">
              <w:rPr>
                <w:rFonts w:ascii="Times New Roman" w:hAnsi="Times New Roman"/>
              </w:rPr>
              <w:t>z dnia 21 lipca 2006 r.</w:t>
            </w:r>
            <w:r>
              <w:rPr>
                <w:rFonts w:ascii="Times New Roman" w:hAnsi="Times New Roman"/>
              </w:rPr>
              <w:t xml:space="preserve"> o nadzorze nad rynkiem finansowym;</w:t>
            </w:r>
          </w:p>
          <w:p w14:paraId="2845B87F" w14:textId="77777777" w:rsidR="00882821" w:rsidRDefault="00882821" w:rsidP="0019361C">
            <w:pPr>
              <w:numPr>
                <w:ilvl w:val="0"/>
                <w:numId w:val="25"/>
              </w:numPr>
              <w:spacing w:line="240" w:lineRule="auto"/>
              <w:jc w:val="both"/>
              <w:rPr>
                <w:rFonts w:ascii="Times New Roman" w:hAnsi="Times New Roman"/>
              </w:rPr>
            </w:pPr>
            <w:r>
              <w:rPr>
                <w:rFonts w:ascii="Times New Roman" w:hAnsi="Times New Roman"/>
              </w:rPr>
              <w:t xml:space="preserve">ustawy </w:t>
            </w:r>
            <w:r w:rsidRPr="0019361C">
              <w:rPr>
                <w:rFonts w:ascii="Times New Roman" w:hAnsi="Times New Roman"/>
              </w:rPr>
              <w:t>z dnia 29 lipca 2005 r.</w:t>
            </w:r>
            <w:r>
              <w:rPr>
                <w:rFonts w:ascii="Times New Roman" w:hAnsi="Times New Roman"/>
              </w:rPr>
              <w:t xml:space="preserve"> </w:t>
            </w:r>
            <w:r w:rsidRPr="0019361C">
              <w:rPr>
                <w:rFonts w:ascii="Times New Roman" w:hAnsi="Times New Roman"/>
              </w:rPr>
              <w:t>o ofercie publicznej i warunkach wprowadzania instrumentów finansowych do zorganizowanego systemu obrotu oraz o spółkach publicznych</w:t>
            </w:r>
            <w:r>
              <w:rPr>
                <w:rFonts w:ascii="Times New Roman" w:hAnsi="Times New Roman"/>
              </w:rPr>
              <w:t>;</w:t>
            </w:r>
          </w:p>
          <w:p w14:paraId="15C3ADD7" w14:textId="77777777" w:rsidR="00882821" w:rsidRDefault="00882821" w:rsidP="000704DB">
            <w:pPr>
              <w:numPr>
                <w:ilvl w:val="0"/>
                <w:numId w:val="25"/>
              </w:numPr>
              <w:spacing w:line="240" w:lineRule="auto"/>
              <w:jc w:val="both"/>
              <w:rPr>
                <w:rFonts w:ascii="Times New Roman" w:hAnsi="Times New Roman"/>
              </w:rPr>
            </w:pPr>
            <w:r w:rsidRPr="00DF349D">
              <w:rPr>
                <w:rFonts w:ascii="Times New Roman" w:hAnsi="Times New Roman"/>
              </w:rPr>
              <w:t>rozporządzenia Parlamentu Europejskiego i Rady (UE) nr 596/2014 z dnia 16 kwietnia 2014 r</w:t>
            </w:r>
            <w:r>
              <w:rPr>
                <w:rFonts w:ascii="Times New Roman" w:hAnsi="Times New Roman"/>
              </w:rPr>
              <w:t xml:space="preserve">. </w:t>
            </w:r>
            <w:r w:rsidRPr="004F6DFE">
              <w:rPr>
                <w:rFonts w:ascii="Times New Roman" w:hAnsi="Times New Roman"/>
              </w:rPr>
              <w:t xml:space="preserve">sprawie nadużyć na rynku (rozporządzenie w sprawie nadużyć na rynku) oraz uchylające dyrektywę 2003/6/WE Parlamentu Europejskiego i Rady i dyrektywy Komisji 2003/124/WE, 2003/125/WE i 2004/72/WE </w:t>
            </w:r>
            <w:r>
              <w:rPr>
                <w:rFonts w:ascii="Times New Roman" w:hAnsi="Times New Roman"/>
              </w:rPr>
              <w:t>(</w:t>
            </w:r>
            <w:r w:rsidRPr="000704DB">
              <w:rPr>
                <w:rFonts w:ascii="Times New Roman" w:hAnsi="Times New Roman"/>
              </w:rPr>
              <w:t>Dz.</w:t>
            </w:r>
            <w:r>
              <w:rPr>
                <w:rFonts w:ascii="Times New Roman" w:hAnsi="Times New Roman"/>
              </w:rPr>
              <w:t xml:space="preserve"> </w:t>
            </w:r>
            <w:r w:rsidRPr="000704DB">
              <w:rPr>
                <w:rFonts w:ascii="Times New Roman" w:hAnsi="Times New Roman"/>
              </w:rPr>
              <w:t>Urz. UE L</w:t>
            </w:r>
            <w:r>
              <w:rPr>
                <w:rFonts w:ascii="Times New Roman" w:hAnsi="Times New Roman"/>
              </w:rPr>
              <w:t> </w:t>
            </w:r>
            <w:r w:rsidRPr="000704DB">
              <w:rPr>
                <w:rFonts w:ascii="Times New Roman" w:hAnsi="Times New Roman"/>
              </w:rPr>
              <w:t>294 z</w:t>
            </w:r>
            <w:r>
              <w:rPr>
                <w:rFonts w:ascii="Times New Roman" w:hAnsi="Times New Roman"/>
              </w:rPr>
              <w:t> 12</w:t>
            </w:r>
            <w:r w:rsidRPr="000704DB">
              <w:rPr>
                <w:rFonts w:ascii="Times New Roman" w:hAnsi="Times New Roman"/>
              </w:rPr>
              <w:t>.</w:t>
            </w:r>
            <w:r>
              <w:rPr>
                <w:rFonts w:ascii="Times New Roman" w:hAnsi="Times New Roman"/>
              </w:rPr>
              <w:t>6</w:t>
            </w:r>
            <w:r w:rsidRPr="000704DB">
              <w:rPr>
                <w:rFonts w:ascii="Times New Roman" w:hAnsi="Times New Roman"/>
              </w:rPr>
              <w:t>.201</w:t>
            </w:r>
            <w:r>
              <w:rPr>
                <w:rFonts w:ascii="Times New Roman" w:hAnsi="Times New Roman"/>
              </w:rPr>
              <w:t>4</w:t>
            </w:r>
            <w:r w:rsidRPr="000704DB">
              <w:rPr>
                <w:rFonts w:ascii="Times New Roman" w:hAnsi="Times New Roman"/>
              </w:rPr>
              <w:t xml:space="preserve">, str. </w:t>
            </w:r>
            <w:r>
              <w:rPr>
                <w:rFonts w:ascii="Times New Roman" w:hAnsi="Times New Roman"/>
              </w:rPr>
              <w:t>173) –</w:t>
            </w:r>
            <w:r w:rsidRPr="000704DB">
              <w:rPr>
                <w:rFonts w:ascii="Times New Roman" w:hAnsi="Times New Roman"/>
              </w:rPr>
              <w:t xml:space="preserve"> </w:t>
            </w:r>
            <w:r w:rsidRPr="00DF349D">
              <w:rPr>
                <w:rFonts w:ascii="Times New Roman" w:hAnsi="Times New Roman"/>
              </w:rPr>
              <w:t>„rozporządzenie MAR”</w:t>
            </w:r>
            <w:r>
              <w:rPr>
                <w:rFonts w:ascii="Times New Roman" w:hAnsi="Times New Roman"/>
              </w:rPr>
              <w:t>;</w:t>
            </w:r>
          </w:p>
          <w:p w14:paraId="0EF0D272" w14:textId="77777777" w:rsidR="00882821" w:rsidRDefault="00882821" w:rsidP="000C547E">
            <w:pPr>
              <w:numPr>
                <w:ilvl w:val="0"/>
                <w:numId w:val="25"/>
              </w:numPr>
              <w:spacing w:line="240" w:lineRule="auto"/>
              <w:jc w:val="both"/>
              <w:rPr>
                <w:rFonts w:ascii="Times New Roman" w:hAnsi="Times New Roman"/>
              </w:rPr>
            </w:pPr>
            <w:r>
              <w:rPr>
                <w:rFonts w:ascii="Times New Roman" w:hAnsi="Times New Roman"/>
              </w:rPr>
              <w:t xml:space="preserve">ustawy z dnia 29 lipca 2005 r. </w:t>
            </w:r>
            <w:r w:rsidRPr="000C547E">
              <w:rPr>
                <w:rFonts w:ascii="Times New Roman" w:hAnsi="Times New Roman"/>
              </w:rPr>
              <w:t>o obrocie instrumentami finansowymi</w:t>
            </w:r>
            <w:r>
              <w:rPr>
                <w:rFonts w:ascii="Times New Roman" w:hAnsi="Times New Roman"/>
              </w:rPr>
              <w:t xml:space="preserve">; </w:t>
            </w:r>
          </w:p>
          <w:p w14:paraId="47C621E0" w14:textId="77777777" w:rsidR="00882821" w:rsidRDefault="00882821" w:rsidP="00333EB6">
            <w:pPr>
              <w:numPr>
                <w:ilvl w:val="0"/>
                <w:numId w:val="25"/>
              </w:numPr>
              <w:spacing w:line="240" w:lineRule="auto"/>
              <w:jc w:val="both"/>
              <w:rPr>
                <w:rFonts w:ascii="Times New Roman" w:hAnsi="Times New Roman"/>
              </w:rPr>
            </w:pPr>
            <w:r>
              <w:rPr>
                <w:rFonts w:ascii="Times New Roman" w:hAnsi="Times New Roman"/>
              </w:rPr>
              <w:t xml:space="preserve">ustawy </w:t>
            </w:r>
            <w:r w:rsidRPr="00333EB6">
              <w:rPr>
                <w:rFonts w:ascii="Times New Roman" w:hAnsi="Times New Roman"/>
              </w:rPr>
              <w:t>z dnia 27 maja 2004 r.</w:t>
            </w:r>
            <w:r>
              <w:rPr>
                <w:rFonts w:ascii="Times New Roman" w:hAnsi="Times New Roman"/>
              </w:rPr>
              <w:t xml:space="preserve"> </w:t>
            </w:r>
            <w:r w:rsidRPr="00333EB6">
              <w:rPr>
                <w:rFonts w:ascii="Times New Roman" w:hAnsi="Times New Roman"/>
              </w:rPr>
              <w:t>o funduszach inwestycyjnych i zarządzaniu alternatywnymi funduszami inwestycyjnymi</w:t>
            </w:r>
            <w:r>
              <w:rPr>
                <w:rFonts w:ascii="Times New Roman" w:hAnsi="Times New Roman"/>
              </w:rPr>
              <w:t xml:space="preserve">; </w:t>
            </w:r>
          </w:p>
          <w:p w14:paraId="170E6CA3" w14:textId="77777777" w:rsidR="00882821" w:rsidRDefault="00882821" w:rsidP="003D21F2">
            <w:pPr>
              <w:numPr>
                <w:ilvl w:val="0"/>
                <w:numId w:val="25"/>
              </w:numPr>
              <w:spacing w:line="240" w:lineRule="auto"/>
              <w:jc w:val="both"/>
              <w:rPr>
                <w:rFonts w:ascii="Times New Roman" w:hAnsi="Times New Roman"/>
              </w:rPr>
            </w:pPr>
            <w:r>
              <w:rPr>
                <w:rFonts w:ascii="Times New Roman" w:hAnsi="Times New Roman"/>
              </w:rPr>
              <w:t>ustawy z dnia 22 maja 2003 r.</w:t>
            </w:r>
            <w:r w:rsidRPr="003D21F2">
              <w:rPr>
                <w:rFonts w:ascii="Times New Roman" w:hAnsi="Times New Roman"/>
              </w:rPr>
              <w:t xml:space="preserve"> o ubezpieczeniach obowiązkowych, ubezpieczeniowym funduszu gwarancyjnym i polskim biurze ubezpieczycieli komunikacyjnych</w:t>
            </w:r>
            <w:r>
              <w:rPr>
                <w:rFonts w:ascii="Times New Roman" w:hAnsi="Times New Roman"/>
              </w:rPr>
              <w:t>;</w:t>
            </w:r>
          </w:p>
          <w:p w14:paraId="1F6A7006" w14:textId="77777777" w:rsidR="00882821" w:rsidRDefault="00882821" w:rsidP="003D21F2">
            <w:pPr>
              <w:numPr>
                <w:ilvl w:val="0"/>
                <w:numId w:val="25"/>
              </w:numPr>
              <w:spacing w:line="240" w:lineRule="auto"/>
              <w:jc w:val="both"/>
              <w:rPr>
                <w:rFonts w:ascii="Times New Roman" w:hAnsi="Times New Roman"/>
              </w:rPr>
            </w:pPr>
            <w:r>
              <w:rPr>
                <w:rFonts w:ascii="Times New Roman" w:hAnsi="Times New Roman"/>
              </w:rPr>
              <w:t>ustawy z dnia 11 września 2015 r. o działalności ubezpieczeniowej i reasekuracyjnej;</w:t>
            </w:r>
          </w:p>
          <w:p w14:paraId="5158629B" w14:textId="77777777" w:rsidR="00882821" w:rsidRDefault="00882821" w:rsidP="00125DB9">
            <w:pPr>
              <w:numPr>
                <w:ilvl w:val="0"/>
                <w:numId w:val="25"/>
              </w:numPr>
              <w:spacing w:line="240" w:lineRule="auto"/>
              <w:jc w:val="both"/>
              <w:rPr>
                <w:rFonts w:ascii="Times New Roman" w:hAnsi="Times New Roman"/>
              </w:rPr>
            </w:pPr>
            <w:r>
              <w:rPr>
                <w:rFonts w:ascii="Times New Roman" w:hAnsi="Times New Roman"/>
              </w:rPr>
              <w:t xml:space="preserve">ustawy </w:t>
            </w:r>
            <w:r w:rsidRPr="00125DB9">
              <w:rPr>
                <w:rFonts w:ascii="Times New Roman" w:hAnsi="Times New Roman"/>
              </w:rPr>
              <w:t>z dnia 19 sierpnia 2011 r.</w:t>
            </w:r>
            <w:r>
              <w:rPr>
                <w:rFonts w:ascii="Times New Roman" w:hAnsi="Times New Roman"/>
              </w:rPr>
              <w:t xml:space="preserve"> o usługach płatniczych;</w:t>
            </w:r>
          </w:p>
          <w:p w14:paraId="46CBB8A3" w14:textId="77777777" w:rsidR="00882821" w:rsidRDefault="00882821" w:rsidP="00777CCF">
            <w:pPr>
              <w:numPr>
                <w:ilvl w:val="0"/>
                <w:numId w:val="25"/>
              </w:numPr>
              <w:spacing w:line="240" w:lineRule="auto"/>
              <w:jc w:val="both"/>
              <w:rPr>
                <w:rFonts w:ascii="Times New Roman" w:hAnsi="Times New Roman"/>
              </w:rPr>
            </w:pPr>
            <w:r>
              <w:rPr>
                <w:rFonts w:ascii="Times New Roman" w:hAnsi="Times New Roman"/>
              </w:rPr>
              <w:t xml:space="preserve">ustawy z dnia </w:t>
            </w:r>
            <w:r w:rsidRPr="00777CCF">
              <w:rPr>
                <w:rFonts w:ascii="Times New Roman" w:hAnsi="Times New Roman"/>
              </w:rPr>
              <w:t>28 sierpnia 1997 r.</w:t>
            </w:r>
            <w:r>
              <w:rPr>
                <w:rFonts w:ascii="Times New Roman" w:hAnsi="Times New Roman"/>
              </w:rPr>
              <w:t xml:space="preserve"> </w:t>
            </w:r>
            <w:r w:rsidRPr="00777CCF">
              <w:rPr>
                <w:rFonts w:ascii="Times New Roman" w:hAnsi="Times New Roman"/>
              </w:rPr>
              <w:t>o organizacji i funkcjonowaniu funduszy emerytalnych</w:t>
            </w:r>
            <w:r>
              <w:rPr>
                <w:rFonts w:ascii="Times New Roman" w:hAnsi="Times New Roman"/>
              </w:rPr>
              <w:t xml:space="preserve">; </w:t>
            </w:r>
          </w:p>
          <w:p w14:paraId="10772760" w14:textId="77777777" w:rsidR="00882821" w:rsidRPr="003F68CA" w:rsidRDefault="00882821" w:rsidP="00777CCF">
            <w:pPr>
              <w:numPr>
                <w:ilvl w:val="0"/>
                <w:numId w:val="25"/>
              </w:numPr>
              <w:spacing w:line="240" w:lineRule="auto"/>
              <w:jc w:val="both"/>
              <w:rPr>
                <w:rFonts w:ascii="Times New Roman" w:hAnsi="Times New Roman"/>
              </w:rPr>
            </w:pPr>
            <w:r>
              <w:rPr>
                <w:rFonts w:ascii="Times New Roman" w:hAnsi="Times New Roman"/>
              </w:rPr>
              <w:t xml:space="preserve">ustawy z dnia 20 kwietnia 2004 r. o pracowniczych programach emerytalnych. </w:t>
            </w:r>
          </w:p>
          <w:p w14:paraId="462E3F67" w14:textId="77777777" w:rsidR="00882821" w:rsidRDefault="00882821" w:rsidP="0043271C">
            <w:pPr>
              <w:spacing w:before="120" w:line="240" w:lineRule="auto"/>
              <w:jc w:val="both"/>
              <w:rPr>
                <w:rFonts w:ascii="Times New Roman" w:hAnsi="Times New Roman"/>
              </w:rPr>
            </w:pPr>
            <w:r>
              <w:rPr>
                <w:rFonts w:ascii="Times New Roman" w:hAnsi="Times New Roman"/>
              </w:rPr>
              <w:t>Wysokość kar pieniężnych została ukształtowana w ww. aktach prawnych kwotowo (maksymalnie</w:t>
            </w:r>
            <w:r>
              <w:t xml:space="preserve"> do </w:t>
            </w:r>
            <w:r w:rsidRPr="00000409">
              <w:rPr>
                <w:rFonts w:ascii="Times New Roman" w:hAnsi="Times New Roman"/>
              </w:rPr>
              <w:t>15 000 000 EUR</w:t>
            </w:r>
            <w:r>
              <w:rPr>
                <w:rFonts w:ascii="Times New Roman" w:hAnsi="Times New Roman"/>
              </w:rPr>
              <w:t xml:space="preserve">) lub w odniesieniu do skali prowadzonej działalności (np.: </w:t>
            </w:r>
            <w:r w:rsidRPr="00D00D90">
              <w:rPr>
                <w:rFonts w:ascii="Times New Roman" w:hAnsi="Times New Roman"/>
              </w:rPr>
              <w:t xml:space="preserve">3% przychodów netto ze sprzedaży towarów i </w:t>
            </w:r>
            <w:r>
              <w:rPr>
                <w:rFonts w:ascii="Times New Roman" w:hAnsi="Times New Roman"/>
              </w:rPr>
              <w:t>usług oraz operacji finansowych;</w:t>
            </w:r>
            <w:r w:rsidRPr="00D00D90">
              <w:rPr>
                <w:rFonts w:ascii="Times New Roman" w:hAnsi="Times New Roman"/>
              </w:rPr>
              <w:t xml:space="preserve"> 3% składki przypisanej brutto</w:t>
            </w:r>
            <w:r>
              <w:rPr>
                <w:rFonts w:ascii="Times New Roman" w:hAnsi="Times New Roman"/>
              </w:rPr>
              <w:t xml:space="preserve"> w przypadku zakładu ubezpieczeń; </w:t>
            </w:r>
            <w:r w:rsidRPr="00515DB9">
              <w:rPr>
                <w:rFonts w:ascii="Times New Roman" w:hAnsi="Times New Roman"/>
              </w:rPr>
              <w:t>trzykrotnoś</w:t>
            </w:r>
            <w:r>
              <w:rPr>
                <w:rFonts w:ascii="Times New Roman" w:hAnsi="Times New Roman"/>
              </w:rPr>
              <w:t>ć</w:t>
            </w:r>
            <w:r w:rsidRPr="00515DB9">
              <w:rPr>
                <w:rFonts w:ascii="Times New Roman" w:hAnsi="Times New Roman"/>
              </w:rPr>
              <w:t xml:space="preserve"> kwoty korzyści uzyskanych lub strat unikniętych w wyniku naruszenia</w:t>
            </w:r>
            <w:r>
              <w:rPr>
                <w:rFonts w:ascii="Times New Roman" w:hAnsi="Times New Roman"/>
              </w:rPr>
              <w:t xml:space="preserve">; </w:t>
            </w:r>
            <w:r w:rsidRPr="00E35F73">
              <w:rPr>
                <w:rFonts w:ascii="Times New Roman" w:hAnsi="Times New Roman"/>
              </w:rPr>
              <w:t xml:space="preserve">do wysokości odpowiadającej wartości </w:t>
            </w:r>
            <w:r>
              <w:rPr>
                <w:rFonts w:ascii="Times New Roman" w:hAnsi="Times New Roman"/>
              </w:rPr>
              <w:t xml:space="preserve">akcji lub praw z akcji; do </w:t>
            </w:r>
            <w:r w:rsidRPr="00B3671D">
              <w:rPr>
                <w:rFonts w:ascii="Times New Roman" w:hAnsi="Times New Roman"/>
              </w:rPr>
              <w:t>10% całkowitego rocznego przychodu wykazanego w ostatnim zbadanym sprawozdaniu finansowym za rok obrotowy</w:t>
            </w:r>
            <w:r>
              <w:rPr>
                <w:rFonts w:ascii="Times New Roman" w:hAnsi="Times New Roman"/>
              </w:rPr>
              <w:t xml:space="preserve">; </w:t>
            </w:r>
            <w:r w:rsidRPr="00000409">
              <w:rPr>
                <w:rFonts w:ascii="Times New Roman" w:hAnsi="Times New Roman"/>
              </w:rPr>
              <w:t>15% całkowitych rocznych obrotów osoby prawnej na podstawie ostatniego dostępnego sprawozdania zatwierdzonego przez organ zarządzający</w:t>
            </w:r>
            <w:r>
              <w:rPr>
                <w:rFonts w:ascii="Times New Roman" w:hAnsi="Times New Roman"/>
              </w:rPr>
              <w:t xml:space="preserve">; </w:t>
            </w:r>
            <w:r w:rsidRPr="00AD17D7">
              <w:rPr>
                <w:rFonts w:ascii="Times New Roman" w:hAnsi="Times New Roman"/>
              </w:rPr>
              <w:t>do 10% prognozowanego całkowitego rocznego przychodu określonego w</w:t>
            </w:r>
            <w:r>
              <w:rPr>
                <w:rFonts w:ascii="Times New Roman" w:hAnsi="Times New Roman"/>
              </w:rPr>
              <w:t> </w:t>
            </w:r>
            <w:r w:rsidRPr="00AD17D7">
              <w:rPr>
                <w:rFonts w:ascii="Times New Roman" w:hAnsi="Times New Roman"/>
              </w:rPr>
              <w:t>przedłożonej Komisji analizie ekonomiczno-finansowej</w:t>
            </w:r>
            <w:r>
              <w:rPr>
                <w:rFonts w:ascii="Times New Roman" w:hAnsi="Times New Roman"/>
              </w:rPr>
              <w:t xml:space="preserve">; </w:t>
            </w:r>
            <w:r w:rsidRPr="00554F67">
              <w:rPr>
                <w:rFonts w:ascii="Times New Roman" w:hAnsi="Times New Roman"/>
              </w:rPr>
              <w:t>do wysokości 0,5% składki przypisanej brutto wykazanej przez zakład ubezpieczeń lub zakład reasekuracji w ostatnim przedstawionym organowi nadzoru sprawozdaniu finansowym</w:t>
            </w:r>
            <w:r>
              <w:rPr>
                <w:rFonts w:ascii="Times New Roman" w:hAnsi="Times New Roman"/>
              </w:rPr>
              <w:t xml:space="preserve">; </w:t>
            </w:r>
            <w:r w:rsidRPr="00DD00C3">
              <w:rPr>
                <w:rFonts w:ascii="Times New Roman" w:hAnsi="Times New Roman"/>
              </w:rPr>
              <w:t xml:space="preserve">do wysokości trzykrotności miesięcznego wynagrodzenia brutto </w:t>
            </w:r>
            <w:r>
              <w:rPr>
                <w:rFonts w:ascii="Times New Roman" w:hAnsi="Times New Roman"/>
              </w:rPr>
              <w:t>ukaranej</w:t>
            </w:r>
            <w:r w:rsidRPr="00DD00C3">
              <w:rPr>
                <w:rFonts w:ascii="Times New Roman" w:hAnsi="Times New Roman"/>
              </w:rPr>
              <w:t xml:space="preserve"> osoby, wyliczonego na podstawie wynagrodzenia za ostatnie 3 miesiące przed nałożeniem kary</w:t>
            </w:r>
            <w:r>
              <w:rPr>
                <w:rFonts w:ascii="Times New Roman" w:hAnsi="Times New Roman"/>
              </w:rPr>
              <w:t xml:space="preserve">) </w:t>
            </w:r>
          </w:p>
          <w:p w14:paraId="77432EBA" w14:textId="77777777" w:rsidR="00882821" w:rsidRDefault="00882821" w:rsidP="00E74CAD">
            <w:pPr>
              <w:spacing w:before="120" w:line="240" w:lineRule="auto"/>
              <w:jc w:val="both"/>
              <w:rPr>
                <w:rFonts w:ascii="Times New Roman" w:hAnsi="Times New Roman"/>
              </w:rPr>
            </w:pPr>
            <w:r>
              <w:rPr>
                <w:rFonts w:ascii="Times New Roman" w:hAnsi="Times New Roman"/>
              </w:rPr>
              <w:t xml:space="preserve">Poszczególne akty prawne w różny sposób ukształtowały przesłanki wpływające na wysokość nakładanej kary. Powtarzającymi się przesłankami są </w:t>
            </w:r>
            <w:r w:rsidRPr="00777CCF">
              <w:rPr>
                <w:rFonts w:ascii="Times New Roman" w:hAnsi="Times New Roman"/>
              </w:rPr>
              <w:t>rodzaj i wag</w:t>
            </w:r>
            <w:r>
              <w:rPr>
                <w:rFonts w:ascii="Times New Roman" w:hAnsi="Times New Roman"/>
              </w:rPr>
              <w:t>a</w:t>
            </w:r>
            <w:r w:rsidRPr="00777CCF">
              <w:rPr>
                <w:rFonts w:ascii="Times New Roman" w:hAnsi="Times New Roman"/>
              </w:rPr>
              <w:t xml:space="preserve"> naruszenia, rozmiar prowadzonej działalności</w:t>
            </w:r>
            <w:r>
              <w:rPr>
                <w:rFonts w:ascii="Times New Roman" w:hAnsi="Times New Roman"/>
              </w:rPr>
              <w:t>,</w:t>
            </w:r>
            <w:r w:rsidRPr="00777CCF">
              <w:rPr>
                <w:rFonts w:ascii="Times New Roman" w:hAnsi="Times New Roman"/>
              </w:rPr>
              <w:t xml:space="preserve"> sytuacj</w:t>
            </w:r>
            <w:r>
              <w:rPr>
                <w:rFonts w:ascii="Times New Roman" w:hAnsi="Times New Roman"/>
              </w:rPr>
              <w:t>a</w:t>
            </w:r>
            <w:r w:rsidRPr="00777CCF">
              <w:rPr>
                <w:rFonts w:ascii="Times New Roman" w:hAnsi="Times New Roman"/>
              </w:rPr>
              <w:t xml:space="preserve"> finansow</w:t>
            </w:r>
            <w:r>
              <w:rPr>
                <w:rFonts w:ascii="Times New Roman" w:hAnsi="Times New Roman"/>
              </w:rPr>
              <w:t>a</w:t>
            </w:r>
            <w:r w:rsidRPr="00777CCF">
              <w:rPr>
                <w:rFonts w:ascii="Times New Roman" w:hAnsi="Times New Roman"/>
              </w:rPr>
              <w:t xml:space="preserve"> instytucji</w:t>
            </w:r>
            <w:r>
              <w:rPr>
                <w:rFonts w:ascii="Times New Roman" w:hAnsi="Times New Roman"/>
              </w:rPr>
              <w:t>, a także</w:t>
            </w:r>
            <w:r>
              <w:t xml:space="preserve"> </w:t>
            </w:r>
            <w:r w:rsidRPr="00A9524B">
              <w:rPr>
                <w:rFonts w:ascii="Times New Roman" w:hAnsi="Times New Roman"/>
              </w:rPr>
              <w:t>uprzednie naruszenia przepisów prawa regulujących prowadzenie działalności</w:t>
            </w:r>
            <w:r>
              <w:rPr>
                <w:rFonts w:ascii="Times New Roman" w:hAnsi="Times New Roman"/>
              </w:rPr>
              <w:t xml:space="preserve">. </w:t>
            </w:r>
          </w:p>
          <w:p w14:paraId="67648D61" w14:textId="77777777" w:rsidR="00882821" w:rsidRDefault="00882821" w:rsidP="00E74CAD">
            <w:pPr>
              <w:spacing w:before="120" w:line="240" w:lineRule="auto"/>
              <w:jc w:val="both"/>
              <w:rPr>
                <w:rFonts w:ascii="Times New Roman" w:hAnsi="Times New Roman"/>
              </w:rPr>
            </w:pPr>
            <w:r>
              <w:rPr>
                <w:rFonts w:ascii="Times New Roman" w:hAnsi="Times New Roman"/>
              </w:rPr>
              <w:t xml:space="preserve">Wysokość kar nałożonych przez KNF w 2018 r. kształtowała się w przedziale od 500 zł do </w:t>
            </w:r>
            <w:r>
              <w:rPr>
                <w:rFonts w:ascii="Times New Roman" w:hAnsi="Times New Roman"/>
              </w:rPr>
              <w:lastRenderedPageBreak/>
              <w:t>9 900 000 zł. Najniższe kary były nakładane na biura usług płatniczych, a najwyższe na firmy inwestycyjne</w:t>
            </w:r>
            <w:r>
              <w:rPr>
                <w:rStyle w:val="Odwoanieprzypisudolnego"/>
                <w:rFonts w:ascii="Times New Roman" w:hAnsi="Times New Roman"/>
              </w:rPr>
              <w:footnoteReference w:id="10"/>
            </w:r>
            <w:r>
              <w:rPr>
                <w:rFonts w:ascii="Times New Roman" w:hAnsi="Times New Roman"/>
              </w:rPr>
              <w:t xml:space="preserve">. Należy przy tym, zauważyć, że kary nakładane w 2018 r. kształtowały się znacznie poniżej maksymalnych możliwych wartości. </w:t>
            </w:r>
          </w:p>
          <w:p w14:paraId="1790AD2A" w14:textId="77777777" w:rsidR="00882821" w:rsidRPr="003F68CA" w:rsidRDefault="00882821" w:rsidP="00E74CAD">
            <w:pPr>
              <w:spacing w:before="120" w:line="240" w:lineRule="auto"/>
              <w:jc w:val="both"/>
              <w:rPr>
                <w:rFonts w:ascii="Times New Roman" w:hAnsi="Times New Roman"/>
              </w:rPr>
            </w:pPr>
            <w:r w:rsidRPr="003F68CA">
              <w:rPr>
                <w:rFonts w:ascii="Times New Roman" w:hAnsi="Times New Roman"/>
              </w:rPr>
              <w:t>Analizując wartości nałożonych przez KNF kar finansowych oraz mając na uwadze rozmiar działalności prowadzonej przez podmioty</w:t>
            </w:r>
            <w:r>
              <w:rPr>
                <w:rFonts w:ascii="Times New Roman" w:hAnsi="Times New Roman"/>
              </w:rPr>
              <w:t>, które będą objęte projektowaną regulacją,</w:t>
            </w:r>
            <w:r w:rsidRPr="003F68CA">
              <w:rPr>
                <w:rFonts w:ascii="Times New Roman" w:hAnsi="Times New Roman"/>
              </w:rPr>
              <w:t xml:space="preserve"> zakłada się, że średni wymiar kary</w:t>
            </w:r>
            <w:r>
              <w:rPr>
                <w:rFonts w:ascii="Times New Roman" w:hAnsi="Times New Roman"/>
              </w:rPr>
              <w:t xml:space="preserve"> nakładanej na podstawie projektowanej ustawy </w:t>
            </w:r>
            <w:r w:rsidRPr="003F68CA">
              <w:rPr>
                <w:rFonts w:ascii="Times New Roman" w:hAnsi="Times New Roman"/>
              </w:rPr>
              <w:t>będzie kształtował się na poziomie 100 tys. zł.</w:t>
            </w:r>
            <w:r>
              <w:rPr>
                <w:rFonts w:ascii="Times New Roman" w:hAnsi="Times New Roman"/>
              </w:rPr>
              <w:t xml:space="preserve"> </w:t>
            </w:r>
          </w:p>
          <w:p w14:paraId="244FDF74" w14:textId="77777777" w:rsidR="00882821" w:rsidRPr="003F68CA" w:rsidRDefault="00882821" w:rsidP="00583A50">
            <w:pPr>
              <w:spacing w:line="240" w:lineRule="auto"/>
              <w:jc w:val="both"/>
              <w:rPr>
                <w:rFonts w:ascii="Times New Roman" w:hAnsi="Times New Roman"/>
                <w:color w:val="000000"/>
                <w:spacing w:val="-2"/>
              </w:rPr>
            </w:pPr>
          </w:p>
          <w:p w14:paraId="273C2BA6" w14:textId="77777777" w:rsidR="00882821" w:rsidRDefault="00882821" w:rsidP="005838A6">
            <w:pPr>
              <w:spacing w:line="240" w:lineRule="auto"/>
              <w:ind w:left="2611" w:hanging="2611"/>
              <w:jc w:val="both"/>
              <w:rPr>
                <w:rFonts w:ascii="Times New Roman" w:hAnsi="Times New Roman"/>
                <w:color w:val="000000"/>
                <w:spacing w:val="-2"/>
              </w:rPr>
            </w:pPr>
            <w:r w:rsidRPr="004D763E">
              <w:rPr>
                <w:rFonts w:ascii="Times New Roman" w:hAnsi="Times New Roman"/>
                <w:b/>
                <w:color w:val="000000"/>
                <w:spacing w:val="-2"/>
              </w:rPr>
              <w:t>2 x 100 tys. zł = 200 tys</w:t>
            </w:r>
            <w:r w:rsidRPr="00274565">
              <w:rPr>
                <w:rFonts w:ascii="Times New Roman" w:hAnsi="Times New Roman"/>
                <w:b/>
                <w:color w:val="000000"/>
                <w:spacing w:val="-2"/>
              </w:rPr>
              <w:t>. zł</w:t>
            </w:r>
            <w:r w:rsidRPr="003F68CA">
              <w:rPr>
                <w:rFonts w:ascii="Times New Roman" w:hAnsi="Times New Roman"/>
                <w:color w:val="000000"/>
                <w:spacing w:val="-2"/>
              </w:rPr>
              <w:t xml:space="preserve"> – szacowany, roczny wzrost wpływów z tytułu kar nakładanych przez KNF</w:t>
            </w:r>
          </w:p>
          <w:p w14:paraId="4A635639" w14:textId="77777777" w:rsidR="00882821" w:rsidRPr="003F68CA" w:rsidRDefault="00882821" w:rsidP="005838A6">
            <w:pPr>
              <w:spacing w:line="240" w:lineRule="auto"/>
              <w:ind w:left="2611" w:hanging="2611"/>
              <w:jc w:val="both"/>
              <w:rPr>
                <w:rFonts w:ascii="Times New Roman" w:hAnsi="Times New Roman"/>
                <w:color w:val="000000"/>
                <w:spacing w:val="-2"/>
              </w:rPr>
            </w:pPr>
          </w:p>
        </w:tc>
      </w:tr>
      <w:tr w:rsidR="00882821" w:rsidRPr="008B4FE6" w14:paraId="1CA1A96B" w14:textId="77777777" w:rsidTr="00862088">
        <w:trPr>
          <w:gridAfter w:val="2"/>
          <w:wAfter w:w="31" w:type="dxa"/>
          <w:trHeight w:val="345"/>
        </w:trPr>
        <w:tc>
          <w:tcPr>
            <w:tcW w:w="10916" w:type="dxa"/>
            <w:gridSpan w:val="29"/>
            <w:shd w:val="clear" w:color="auto" w:fill="99CCFF"/>
          </w:tcPr>
          <w:p w14:paraId="0586BA31" w14:textId="77777777" w:rsidR="00882821" w:rsidRPr="008B4FE6" w:rsidRDefault="00882821" w:rsidP="0072636A">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882821" w:rsidRPr="008B4FE6" w14:paraId="255E76E9" w14:textId="77777777" w:rsidTr="00862088">
        <w:trPr>
          <w:gridAfter w:val="2"/>
          <w:wAfter w:w="31" w:type="dxa"/>
          <w:trHeight w:val="142"/>
        </w:trPr>
        <w:tc>
          <w:tcPr>
            <w:tcW w:w="10916" w:type="dxa"/>
            <w:gridSpan w:val="29"/>
            <w:shd w:val="clear" w:color="auto" w:fill="FFFFFF"/>
          </w:tcPr>
          <w:p w14:paraId="00ED2985" w14:textId="77777777" w:rsidR="00882821" w:rsidRPr="00301959" w:rsidRDefault="00882821" w:rsidP="00811D46">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882821" w:rsidRPr="008B4FE6" w14:paraId="59475B16" w14:textId="77777777" w:rsidTr="00862088">
        <w:trPr>
          <w:gridAfter w:val="2"/>
          <w:wAfter w:w="31" w:type="dxa"/>
          <w:trHeight w:val="142"/>
        </w:trPr>
        <w:tc>
          <w:tcPr>
            <w:tcW w:w="3889" w:type="dxa"/>
            <w:gridSpan w:val="7"/>
            <w:shd w:val="clear" w:color="auto" w:fill="FFFFFF"/>
          </w:tcPr>
          <w:p w14:paraId="340486D6" w14:textId="77777777" w:rsidR="00882821" w:rsidRPr="00301959" w:rsidRDefault="0088282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2CB59BF1" w14:textId="77777777" w:rsidR="00882821" w:rsidRPr="00301959" w:rsidRDefault="00882821"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4E2C46BA" w14:textId="77777777" w:rsidR="00882821" w:rsidRPr="00301959" w:rsidRDefault="00882821"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13A22B6C" w14:textId="77777777" w:rsidR="00882821" w:rsidRPr="00301959" w:rsidRDefault="00882821"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4F6881EF" w14:textId="77777777" w:rsidR="00882821" w:rsidRPr="00301959" w:rsidRDefault="00882821"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774D9466" w14:textId="77777777" w:rsidR="00882821" w:rsidRPr="00301959" w:rsidRDefault="00882821"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76430071" w14:textId="77777777" w:rsidR="00882821" w:rsidRPr="00301959" w:rsidRDefault="00882821"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01" w:type="dxa"/>
            <w:shd w:val="clear" w:color="auto" w:fill="FFFFFF"/>
          </w:tcPr>
          <w:p w14:paraId="0374E4C4" w14:textId="77777777" w:rsidR="00882821" w:rsidRDefault="00882821"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p>
          <w:p w14:paraId="3678F477" w14:textId="77777777" w:rsidR="00882821" w:rsidRPr="001B3460" w:rsidRDefault="00882821"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(0-10)</w:t>
            </w:r>
          </w:p>
        </w:tc>
      </w:tr>
      <w:tr w:rsidR="008A0ED3" w:rsidRPr="008B4FE6" w14:paraId="03410163" w14:textId="77777777" w:rsidTr="008A0ED3">
        <w:trPr>
          <w:gridAfter w:val="2"/>
          <w:wAfter w:w="31" w:type="dxa"/>
          <w:trHeight w:val="142"/>
        </w:trPr>
        <w:tc>
          <w:tcPr>
            <w:tcW w:w="1596" w:type="dxa"/>
            <w:vMerge w:val="restart"/>
            <w:shd w:val="clear" w:color="auto" w:fill="FFFFFF"/>
          </w:tcPr>
          <w:p w14:paraId="217E3D60" w14:textId="77777777" w:rsidR="008A0ED3" w:rsidRDefault="008A0ED3" w:rsidP="006F78C4">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03055250" w14:textId="77777777" w:rsidR="008A0ED3" w:rsidRDefault="008A0ED3" w:rsidP="006F78C4">
            <w:pPr>
              <w:rPr>
                <w:rFonts w:ascii="Times New Roman" w:hAnsi="Times New Roman"/>
                <w:spacing w:val="-2"/>
                <w:sz w:val="21"/>
                <w:szCs w:val="21"/>
              </w:rPr>
            </w:pPr>
            <w:r>
              <w:rPr>
                <w:rFonts w:ascii="Times New Roman" w:hAnsi="Times New Roman"/>
                <w:spacing w:val="-2"/>
                <w:sz w:val="21"/>
                <w:szCs w:val="21"/>
              </w:rPr>
              <w:t xml:space="preserve">(w mln zł, </w:t>
            </w:r>
          </w:p>
          <w:p w14:paraId="7E3370A5" w14:textId="77777777" w:rsidR="008A0ED3" w:rsidRPr="00301959" w:rsidRDefault="008A0ED3" w:rsidP="00E85E87">
            <w:pPr>
              <w:spacing w:line="240" w:lineRule="auto"/>
              <w:rPr>
                <w:rFonts w:ascii="Times New Roman" w:hAnsi="Times New Roman"/>
                <w:color w:val="000000"/>
                <w:sz w:val="21"/>
                <w:szCs w:val="21"/>
              </w:rPr>
            </w:pPr>
            <w:r>
              <w:rPr>
                <w:rFonts w:ascii="Times New Roman" w:hAnsi="Times New Roman"/>
                <w:spacing w:val="-2"/>
                <w:sz w:val="21"/>
                <w:szCs w:val="21"/>
              </w:rPr>
              <w:t>ceny stałe z 2019 r.)</w:t>
            </w:r>
          </w:p>
        </w:tc>
        <w:tc>
          <w:tcPr>
            <w:tcW w:w="2293" w:type="dxa"/>
            <w:gridSpan w:val="6"/>
            <w:shd w:val="clear" w:color="auto" w:fill="FFFFFF"/>
          </w:tcPr>
          <w:p w14:paraId="167562E2" w14:textId="77777777" w:rsidR="008A0ED3" w:rsidRPr="00301959" w:rsidRDefault="008A0ED3"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vMerge w:val="restart"/>
            <w:shd w:val="clear" w:color="auto" w:fill="FFFFFF"/>
            <w:vAlign w:val="center"/>
          </w:tcPr>
          <w:p w14:paraId="305F22BD" w14:textId="77777777" w:rsidR="008A0ED3" w:rsidRPr="008A0ED3" w:rsidRDefault="008A0ED3" w:rsidP="00010350">
            <w:pPr>
              <w:jc w:val="center"/>
              <w:rPr>
                <w:rFonts w:ascii="Times New Roman" w:hAnsi="Times New Roman"/>
                <w:color w:val="000000"/>
                <w:sz w:val="20"/>
                <w:szCs w:val="20"/>
              </w:rPr>
            </w:pPr>
            <w:r w:rsidRPr="008A0ED3">
              <w:rPr>
                <w:rFonts w:ascii="Times New Roman" w:hAnsi="Times New Roman"/>
                <w:color w:val="000000"/>
                <w:sz w:val="20"/>
                <w:szCs w:val="20"/>
              </w:rPr>
              <w:t>-8,68</w:t>
            </w:r>
          </w:p>
        </w:tc>
        <w:tc>
          <w:tcPr>
            <w:tcW w:w="938" w:type="dxa"/>
            <w:gridSpan w:val="5"/>
            <w:vMerge w:val="restart"/>
            <w:shd w:val="clear" w:color="auto" w:fill="FFFFFF"/>
            <w:vAlign w:val="center"/>
          </w:tcPr>
          <w:p w14:paraId="4CC46DB3" w14:textId="77777777" w:rsidR="008A0ED3" w:rsidRPr="008A0ED3" w:rsidRDefault="008A0ED3" w:rsidP="008A0ED3">
            <w:pPr>
              <w:jc w:val="center"/>
              <w:rPr>
                <w:rFonts w:ascii="Times New Roman" w:hAnsi="Times New Roman"/>
                <w:sz w:val="20"/>
                <w:szCs w:val="20"/>
              </w:rPr>
            </w:pPr>
            <w:r w:rsidRPr="008A0ED3">
              <w:rPr>
                <w:rFonts w:ascii="Times New Roman" w:hAnsi="Times New Roman"/>
                <w:sz w:val="20"/>
                <w:szCs w:val="20"/>
              </w:rPr>
              <w:t>-8,68</w:t>
            </w:r>
          </w:p>
        </w:tc>
        <w:tc>
          <w:tcPr>
            <w:tcW w:w="938" w:type="dxa"/>
            <w:gridSpan w:val="4"/>
            <w:vMerge w:val="restart"/>
            <w:shd w:val="clear" w:color="auto" w:fill="FFFFFF"/>
            <w:vAlign w:val="center"/>
          </w:tcPr>
          <w:p w14:paraId="26B138FB" w14:textId="77777777" w:rsidR="008A0ED3" w:rsidRPr="008A0ED3" w:rsidRDefault="008A0ED3" w:rsidP="008A0ED3">
            <w:pPr>
              <w:jc w:val="center"/>
              <w:rPr>
                <w:rFonts w:ascii="Times New Roman" w:hAnsi="Times New Roman"/>
                <w:sz w:val="20"/>
                <w:szCs w:val="20"/>
              </w:rPr>
            </w:pPr>
            <w:r w:rsidRPr="008A0ED3">
              <w:rPr>
                <w:rFonts w:ascii="Times New Roman" w:hAnsi="Times New Roman"/>
                <w:sz w:val="20"/>
                <w:szCs w:val="20"/>
              </w:rPr>
              <w:t>-8,68</w:t>
            </w:r>
          </w:p>
        </w:tc>
        <w:tc>
          <w:tcPr>
            <w:tcW w:w="937" w:type="dxa"/>
            <w:gridSpan w:val="3"/>
            <w:vMerge w:val="restart"/>
            <w:shd w:val="clear" w:color="auto" w:fill="FFFFFF"/>
            <w:vAlign w:val="center"/>
          </w:tcPr>
          <w:p w14:paraId="77E3BD90" w14:textId="77777777" w:rsidR="008A0ED3" w:rsidRPr="008A0ED3" w:rsidRDefault="008A0ED3" w:rsidP="008A0ED3">
            <w:pPr>
              <w:jc w:val="center"/>
              <w:rPr>
                <w:rFonts w:ascii="Times New Roman" w:hAnsi="Times New Roman"/>
                <w:sz w:val="20"/>
                <w:szCs w:val="20"/>
              </w:rPr>
            </w:pPr>
            <w:r w:rsidRPr="008A0ED3">
              <w:rPr>
                <w:rFonts w:ascii="Times New Roman" w:hAnsi="Times New Roman"/>
                <w:sz w:val="20"/>
                <w:szCs w:val="20"/>
              </w:rPr>
              <w:t>-8,68</w:t>
            </w:r>
          </w:p>
        </w:tc>
        <w:tc>
          <w:tcPr>
            <w:tcW w:w="938" w:type="dxa"/>
            <w:gridSpan w:val="4"/>
            <w:vMerge w:val="restart"/>
            <w:shd w:val="clear" w:color="auto" w:fill="FFFFFF"/>
            <w:vAlign w:val="center"/>
          </w:tcPr>
          <w:p w14:paraId="76EC28FB" w14:textId="77777777" w:rsidR="008A0ED3" w:rsidRPr="008A0ED3" w:rsidRDefault="008A0ED3" w:rsidP="008A0ED3">
            <w:pPr>
              <w:jc w:val="center"/>
              <w:rPr>
                <w:rFonts w:ascii="Times New Roman" w:hAnsi="Times New Roman"/>
                <w:sz w:val="20"/>
                <w:szCs w:val="20"/>
              </w:rPr>
            </w:pPr>
            <w:r w:rsidRPr="008A0ED3">
              <w:rPr>
                <w:rFonts w:ascii="Times New Roman" w:hAnsi="Times New Roman"/>
                <w:sz w:val="20"/>
                <w:szCs w:val="20"/>
              </w:rPr>
              <w:t>-8,68</w:t>
            </w:r>
          </w:p>
        </w:tc>
        <w:tc>
          <w:tcPr>
            <w:tcW w:w="938" w:type="dxa"/>
            <w:gridSpan w:val="3"/>
            <w:vMerge w:val="restart"/>
            <w:shd w:val="clear" w:color="auto" w:fill="FFFFFF"/>
            <w:vAlign w:val="center"/>
          </w:tcPr>
          <w:p w14:paraId="5CED2622" w14:textId="77777777" w:rsidR="008A0ED3" w:rsidRPr="008A0ED3" w:rsidRDefault="008A0ED3" w:rsidP="008A0ED3">
            <w:pPr>
              <w:jc w:val="center"/>
              <w:rPr>
                <w:rFonts w:ascii="Times New Roman" w:hAnsi="Times New Roman"/>
                <w:sz w:val="20"/>
                <w:szCs w:val="20"/>
              </w:rPr>
            </w:pPr>
            <w:r w:rsidRPr="008A0ED3">
              <w:rPr>
                <w:rFonts w:ascii="Times New Roman" w:hAnsi="Times New Roman"/>
                <w:sz w:val="20"/>
                <w:szCs w:val="20"/>
              </w:rPr>
              <w:t>-8,68</w:t>
            </w:r>
          </w:p>
        </w:tc>
        <w:tc>
          <w:tcPr>
            <w:tcW w:w="1401" w:type="dxa"/>
            <w:vMerge w:val="restart"/>
            <w:shd w:val="clear" w:color="auto" w:fill="FFFFFF"/>
            <w:vAlign w:val="center"/>
          </w:tcPr>
          <w:p w14:paraId="10DCD76C" w14:textId="77777777" w:rsidR="008A0ED3" w:rsidRPr="008A0ED3" w:rsidRDefault="008A0ED3" w:rsidP="004D763E">
            <w:pPr>
              <w:spacing w:line="240" w:lineRule="auto"/>
              <w:jc w:val="center"/>
              <w:rPr>
                <w:rFonts w:ascii="Times New Roman" w:hAnsi="Times New Roman"/>
                <w:color w:val="000000"/>
                <w:spacing w:val="-2"/>
                <w:sz w:val="20"/>
                <w:szCs w:val="20"/>
              </w:rPr>
            </w:pPr>
            <w:r w:rsidRPr="008A0ED3">
              <w:rPr>
                <w:rFonts w:ascii="Times New Roman" w:hAnsi="Times New Roman"/>
                <w:color w:val="000000"/>
                <w:sz w:val="20"/>
                <w:szCs w:val="20"/>
              </w:rPr>
              <w:t>-95,48</w:t>
            </w:r>
          </w:p>
        </w:tc>
      </w:tr>
      <w:tr w:rsidR="00882821" w:rsidRPr="008B4FE6" w14:paraId="70DF3219" w14:textId="77777777" w:rsidTr="00862088">
        <w:trPr>
          <w:gridAfter w:val="2"/>
          <w:wAfter w:w="31" w:type="dxa"/>
          <w:trHeight w:val="142"/>
        </w:trPr>
        <w:tc>
          <w:tcPr>
            <w:tcW w:w="1596" w:type="dxa"/>
            <w:vMerge/>
            <w:shd w:val="clear" w:color="auto" w:fill="FFFFFF"/>
          </w:tcPr>
          <w:p w14:paraId="6FDEDA73" w14:textId="77777777" w:rsidR="00882821" w:rsidRPr="00301959" w:rsidRDefault="00882821" w:rsidP="00811D46">
            <w:pPr>
              <w:spacing w:line="240" w:lineRule="auto"/>
              <w:rPr>
                <w:rFonts w:ascii="Times New Roman" w:hAnsi="Times New Roman"/>
                <w:color w:val="000000"/>
                <w:sz w:val="21"/>
                <w:szCs w:val="21"/>
              </w:rPr>
            </w:pPr>
          </w:p>
        </w:tc>
        <w:tc>
          <w:tcPr>
            <w:tcW w:w="2293" w:type="dxa"/>
            <w:gridSpan w:val="6"/>
            <w:shd w:val="clear" w:color="auto" w:fill="FFFFFF"/>
          </w:tcPr>
          <w:p w14:paraId="536F636B" w14:textId="77777777" w:rsidR="00882821" w:rsidRPr="00301959" w:rsidRDefault="0088282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vMerge/>
            <w:shd w:val="clear" w:color="auto" w:fill="FFFFFF"/>
          </w:tcPr>
          <w:p w14:paraId="7345D12A"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5"/>
            <w:vMerge/>
            <w:shd w:val="clear" w:color="auto" w:fill="FFFFFF"/>
          </w:tcPr>
          <w:p w14:paraId="58763B88"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4"/>
            <w:vMerge/>
            <w:shd w:val="clear" w:color="auto" w:fill="FFFFFF"/>
          </w:tcPr>
          <w:p w14:paraId="4AD6B33D" w14:textId="77777777" w:rsidR="00882821" w:rsidRPr="00B37C80" w:rsidRDefault="00882821" w:rsidP="00811D46">
            <w:pPr>
              <w:spacing w:line="240" w:lineRule="auto"/>
              <w:rPr>
                <w:rFonts w:ascii="Times New Roman" w:hAnsi="Times New Roman"/>
                <w:color w:val="000000"/>
                <w:sz w:val="21"/>
                <w:szCs w:val="21"/>
              </w:rPr>
            </w:pPr>
          </w:p>
        </w:tc>
        <w:tc>
          <w:tcPr>
            <w:tcW w:w="937" w:type="dxa"/>
            <w:gridSpan w:val="3"/>
            <w:vMerge/>
            <w:shd w:val="clear" w:color="auto" w:fill="FFFFFF"/>
          </w:tcPr>
          <w:p w14:paraId="29A6F50B"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4"/>
            <w:vMerge/>
            <w:shd w:val="clear" w:color="auto" w:fill="FFFFFF"/>
          </w:tcPr>
          <w:p w14:paraId="05135E39"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3"/>
            <w:vMerge/>
            <w:shd w:val="clear" w:color="auto" w:fill="FFFFFF"/>
          </w:tcPr>
          <w:p w14:paraId="53125F29" w14:textId="77777777" w:rsidR="00882821" w:rsidRPr="00B37C80" w:rsidRDefault="00882821" w:rsidP="00811D46">
            <w:pPr>
              <w:spacing w:line="240" w:lineRule="auto"/>
              <w:rPr>
                <w:rFonts w:ascii="Times New Roman" w:hAnsi="Times New Roman"/>
                <w:color w:val="000000"/>
                <w:sz w:val="21"/>
                <w:szCs w:val="21"/>
              </w:rPr>
            </w:pPr>
          </w:p>
        </w:tc>
        <w:tc>
          <w:tcPr>
            <w:tcW w:w="1401" w:type="dxa"/>
            <w:vMerge/>
            <w:shd w:val="clear" w:color="auto" w:fill="FFFFFF"/>
          </w:tcPr>
          <w:p w14:paraId="02D9996A" w14:textId="77777777" w:rsidR="00882821" w:rsidRPr="00B37C80" w:rsidRDefault="00882821" w:rsidP="00811D46">
            <w:pPr>
              <w:spacing w:line="240" w:lineRule="auto"/>
              <w:rPr>
                <w:rFonts w:ascii="Times New Roman" w:hAnsi="Times New Roman"/>
                <w:color w:val="000000"/>
                <w:spacing w:val="-2"/>
                <w:sz w:val="21"/>
                <w:szCs w:val="21"/>
              </w:rPr>
            </w:pPr>
          </w:p>
        </w:tc>
      </w:tr>
      <w:tr w:rsidR="00882821" w:rsidRPr="008B4FE6" w14:paraId="6B0ED2B7" w14:textId="77777777" w:rsidTr="00862088">
        <w:trPr>
          <w:gridAfter w:val="2"/>
          <w:wAfter w:w="31" w:type="dxa"/>
          <w:trHeight w:val="142"/>
        </w:trPr>
        <w:tc>
          <w:tcPr>
            <w:tcW w:w="1596" w:type="dxa"/>
            <w:vMerge/>
            <w:shd w:val="clear" w:color="auto" w:fill="FFFFFF"/>
          </w:tcPr>
          <w:p w14:paraId="3D91EAF0" w14:textId="77777777" w:rsidR="00882821" w:rsidRPr="00301959" w:rsidRDefault="00882821" w:rsidP="00811D46">
            <w:pPr>
              <w:spacing w:line="240" w:lineRule="auto"/>
              <w:rPr>
                <w:rFonts w:ascii="Times New Roman" w:hAnsi="Times New Roman"/>
                <w:color w:val="000000"/>
                <w:sz w:val="21"/>
                <w:szCs w:val="21"/>
              </w:rPr>
            </w:pPr>
          </w:p>
        </w:tc>
        <w:tc>
          <w:tcPr>
            <w:tcW w:w="2293" w:type="dxa"/>
            <w:gridSpan w:val="6"/>
            <w:shd w:val="clear" w:color="auto" w:fill="FFFFFF"/>
          </w:tcPr>
          <w:p w14:paraId="21EEBB5A" w14:textId="77777777" w:rsidR="00882821" w:rsidRPr="00301959" w:rsidRDefault="00882821" w:rsidP="00811D46">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5E962E15"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5"/>
            <w:shd w:val="clear" w:color="auto" w:fill="FFFFFF"/>
          </w:tcPr>
          <w:p w14:paraId="4272B2EC"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4"/>
            <w:shd w:val="clear" w:color="auto" w:fill="FFFFFF"/>
          </w:tcPr>
          <w:p w14:paraId="4546D2AA" w14:textId="77777777" w:rsidR="00882821" w:rsidRPr="00B37C80" w:rsidRDefault="00882821" w:rsidP="00811D46">
            <w:pPr>
              <w:spacing w:line="240" w:lineRule="auto"/>
              <w:rPr>
                <w:rFonts w:ascii="Times New Roman" w:hAnsi="Times New Roman"/>
                <w:color w:val="000000"/>
                <w:sz w:val="21"/>
                <w:szCs w:val="21"/>
              </w:rPr>
            </w:pPr>
          </w:p>
        </w:tc>
        <w:tc>
          <w:tcPr>
            <w:tcW w:w="937" w:type="dxa"/>
            <w:gridSpan w:val="3"/>
            <w:shd w:val="clear" w:color="auto" w:fill="FFFFFF"/>
          </w:tcPr>
          <w:p w14:paraId="490C8FCF"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4"/>
            <w:shd w:val="clear" w:color="auto" w:fill="FFFFFF"/>
          </w:tcPr>
          <w:p w14:paraId="01F5E00E"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3"/>
            <w:shd w:val="clear" w:color="auto" w:fill="FFFFFF"/>
          </w:tcPr>
          <w:p w14:paraId="50A1231F" w14:textId="77777777" w:rsidR="00882821" w:rsidRPr="00B37C80" w:rsidRDefault="00882821" w:rsidP="00811D46">
            <w:pPr>
              <w:spacing w:line="240" w:lineRule="auto"/>
              <w:rPr>
                <w:rFonts w:ascii="Times New Roman" w:hAnsi="Times New Roman"/>
                <w:color w:val="000000"/>
                <w:sz w:val="21"/>
                <w:szCs w:val="21"/>
              </w:rPr>
            </w:pPr>
          </w:p>
        </w:tc>
        <w:tc>
          <w:tcPr>
            <w:tcW w:w="1401" w:type="dxa"/>
            <w:shd w:val="clear" w:color="auto" w:fill="FFFFFF"/>
          </w:tcPr>
          <w:p w14:paraId="50CD3248" w14:textId="77777777" w:rsidR="00882821" w:rsidRPr="00B37C80" w:rsidRDefault="00882821" w:rsidP="00811D46">
            <w:pPr>
              <w:spacing w:line="240" w:lineRule="auto"/>
              <w:rPr>
                <w:rFonts w:ascii="Times New Roman" w:hAnsi="Times New Roman"/>
                <w:color w:val="000000"/>
                <w:spacing w:val="-2"/>
                <w:sz w:val="21"/>
                <w:szCs w:val="21"/>
              </w:rPr>
            </w:pPr>
          </w:p>
        </w:tc>
      </w:tr>
      <w:tr w:rsidR="00882821" w:rsidRPr="008B4FE6" w14:paraId="2CF2F2D1" w14:textId="77777777" w:rsidTr="00862088">
        <w:trPr>
          <w:gridAfter w:val="2"/>
          <w:wAfter w:w="31" w:type="dxa"/>
          <w:trHeight w:val="142"/>
        </w:trPr>
        <w:tc>
          <w:tcPr>
            <w:tcW w:w="1596" w:type="dxa"/>
            <w:vMerge/>
            <w:shd w:val="clear" w:color="auto" w:fill="FFFFFF"/>
          </w:tcPr>
          <w:p w14:paraId="32B6992A" w14:textId="77777777" w:rsidR="00882821" w:rsidRPr="00301959" w:rsidRDefault="00882821" w:rsidP="00811D46">
            <w:pPr>
              <w:spacing w:line="240" w:lineRule="auto"/>
              <w:rPr>
                <w:rFonts w:ascii="Times New Roman" w:hAnsi="Times New Roman"/>
                <w:color w:val="000000"/>
                <w:sz w:val="21"/>
                <w:szCs w:val="21"/>
              </w:rPr>
            </w:pPr>
          </w:p>
        </w:tc>
        <w:tc>
          <w:tcPr>
            <w:tcW w:w="2293" w:type="dxa"/>
            <w:gridSpan w:val="6"/>
            <w:shd w:val="clear" w:color="auto" w:fill="FFFFFF"/>
          </w:tcPr>
          <w:p w14:paraId="221E9C47" w14:textId="77777777" w:rsidR="00882821" w:rsidRPr="00301959" w:rsidRDefault="0088282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937" w:type="dxa"/>
            <w:gridSpan w:val="2"/>
            <w:shd w:val="clear" w:color="auto" w:fill="FFFFFF"/>
          </w:tcPr>
          <w:p w14:paraId="0B5E163B"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5"/>
            <w:shd w:val="clear" w:color="auto" w:fill="FFFFFF"/>
          </w:tcPr>
          <w:p w14:paraId="33877F05"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4"/>
            <w:shd w:val="clear" w:color="auto" w:fill="FFFFFF"/>
          </w:tcPr>
          <w:p w14:paraId="7020B563" w14:textId="77777777" w:rsidR="00882821" w:rsidRPr="00B37C80" w:rsidRDefault="00882821" w:rsidP="00811D46">
            <w:pPr>
              <w:spacing w:line="240" w:lineRule="auto"/>
              <w:rPr>
                <w:rFonts w:ascii="Times New Roman" w:hAnsi="Times New Roman"/>
                <w:color w:val="000000"/>
                <w:sz w:val="21"/>
                <w:szCs w:val="21"/>
              </w:rPr>
            </w:pPr>
          </w:p>
        </w:tc>
        <w:tc>
          <w:tcPr>
            <w:tcW w:w="937" w:type="dxa"/>
            <w:gridSpan w:val="3"/>
            <w:shd w:val="clear" w:color="auto" w:fill="FFFFFF"/>
          </w:tcPr>
          <w:p w14:paraId="31DB7740"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4"/>
            <w:shd w:val="clear" w:color="auto" w:fill="FFFFFF"/>
          </w:tcPr>
          <w:p w14:paraId="4B7A9576" w14:textId="77777777" w:rsidR="00882821" w:rsidRPr="00B37C80" w:rsidRDefault="00882821" w:rsidP="00811D46">
            <w:pPr>
              <w:spacing w:line="240" w:lineRule="auto"/>
              <w:rPr>
                <w:rFonts w:ascii="Times New Roman" w:hAnsi="Times New Roman"/>
                <w:color w:val="000000"/>
                <w:sz w:val="21"/>
                <w:szCs w:val="21"/>
              </w:rPr>
            </w:pPr>
          </w:p>
        </w:tc>
        <w:tc>
          <w:tcPr>
            <w:tcW w:w="938" w:type="dxa"/>
            <w:gridSpan w:val="3"/>
            <w:shd w:val="clear" w:color="auto" w:fill="FFFFFF"/>
          </w:tcPr>
          <w:p w14:paraId="38C4A716" w14:textId="77777777" w:rsidR="00882821" w:rsidRPr="00B37C80" w:rsidRDefault="00882821" w:rsidP="00811D46">
            <w:pPr>
              <w:spacing w:line="240" w:lineRule="auto"/>
              <w:rPr>
                <w:rFonts w:ascii="Times New Roman" w:hAnsi="Times New Roman"/>
                <w:color w:val="000000"/>
                <w:sz w:val="21"/>
                <w:szCs w:val="21"/>
              </w:rPr>
            </w:pPr>
          </w:p>
        </w:tc>
        <w:tc>
          <w:tcPr>
            <w:tcW w:w="1401" w:type="dxa"/>
            <w:shd w:val="clear" w:color="auto" w:fill="FFFFFF"/>
          </w:tcPr>
          <w:p w14:paraId="6B4ABAF3" w14:textId="77777777" w:rsidR="00882821" w:rsidRPr="00B37C80" w:rsidRDefault="00882821" w:rsidP="00811D46">
            <w:pPr>
              <w:spacing w:line="240" w:lineRule="auto"/>
              <w:rPr>
                <w:rFonts w:ascii="Times New Roman" w:hAnsi="Times New Roman"/>
                <w:color w:val="000000"/>
                <w:spacing w:val="-2"/>
                <w:sz w:val="21"/>
                <w:szCs w:val="21"/>
              </w:rPr>
            </w:pPr>
          </w:p>
        </w:tc>
      </w:tr>
      <w:tr w:rsidR="00882821" w:rsidRPr="008B4FE6" w14:paraId="3CAD9E0C" w14:textId="77777777" w:rsidTr="00862088">
        <w:tblPrEx>
          <w:tblCellMar>
            <w:left w:w="70" w:type="dxa"/>
            <w:right w:w="70" w:type="dxa"/>
          </w:tblCellMar>
        </w:tblPrEx>
        <w:trPr>
          <w:gridAfter w:val="2"/>
          <w:wAfter w:w="31" w:type="dxa"/>
          <w:trHeight w:val="142"/>
        </w:trPr>
        <w:tc>
          <w:tcPr>
            <w:tcW w:w="1596" w:type="dxa"/>
            <w:vMerge w:val="restart"/>
            <w:shd w:val="clear" w:color="auto" w:fill="FFFFFF"/>
          </w:tcPr>
          <w:p w14:paraId="7F59FD2F" w14:textId="77777777" w:rsidR="00882821" w:rsidRPr="00301959" w:rsidRDefault="0088282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14:paraId="3A52FC4B" w14:textId="77777777" w:rsidR="00882821" w:rsidRPr="00301959" w:rsidRDefault="0088282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27" w:type="dxa"/>
            <w:gridSpan w:val="22"/>
            <w:vMerge w:val="restart"/>
            <w:shd w:val="clear" w:color="auto" w:fill="FFFFFF"/>
          </w:tcPr>
          <w:p w14:paraId="1CA5ABC7" w14:textId="77777777" w:rsidR="00882821" w:rsidRPr="00686B84" w:rsidRDefault="00882821" w:rsidP="00CA61BF">
            <w:pPr>
              <w:spacing w:line="240" w:lineRule="auto"/>
              <w:jc w:val="both"/>
              <w:rPr>
                <w:rFonts w:ascii="Times New Roman" w:hAnsi="Times New Roman"/>
                <w:color w:val="000000"/>
                <w:spacing w:val="-2"/>
              </w:rPr>
            </w:pPr>
            <w:r w:rsidRPr="00686B84">
              <w:rPr>
                <w:rFonts w:ascii="Times New Roman" w:hAnsi="Times New Roman"/>
                <w:color w:val="000000"/>
                <w:spacing w:val="-2"/>
              </w:rPr>
              <w:t>Znamiona czynu z art. 304 k.k. zostały określone w sposób dostosowujący ten przepis przede wszystkim do warunków panujących na rynku konkurencyjnym przy założeniu autonomii woli stron. Ustawodawca nie dokonał zróżnicowania poziomu ochrony w zależności, od tego czy pokrzywdzony jest przedsiębiorcą, czy konsumentem. Tymczasem, poziom świadomości potencjalnych zagrożeń wśród tych grup uczestników obrotu prawnego jest różny. Oferenci tego rodzaju pożyczek wobec konsumentów wykorzystują swoją pozycję i zjawisko asymetrii informacji. Przedsiębiorcy prowadzący działalność gospodarczą dokonują natomiast bardziej świadomej oceny ryzyka. Nawet bardzo wysokie koszty takiej pożyczki przy sprzyjających warunkach mogą zostać w całości pokryte z osiągniętych przychodów i w ogólnym rachunku ekonomicznym przedsiębiorstwo może wykazać zysk ekonomiczny. W stosunku do konsumenta taka możliwość jest raczej wykluczona.</w:t>
            </w:r>
          </w:p>
          <w:p w14:paraId="1ABBC5AA" w14:textId="77777777" w:rsidR="00882821" w:rsidRPr="00686B84" w:rsidRDefault="00882821" w:rsidP="00CA61BF">
            <w:pPr>
              <w:spacing w:line="240" w:lineRule="auto"/>
              <w:jc w:val="both"/>
              <w:rPr>
                <w:rFonts w:ascii="Times New Roman" w:hAnsi="Times New Roman"/>
                <w:color w:val="000000"/>
                <w:spacing w:val="-2"/>
              </w:rPr>
            </w:pPr>
            <w:r w:rsidRPr="00686B84">
              <w:rPr>
                <w:rFonts w:ascii="Times New Roman" w:hAnsi="Times New Roman"/>
                <w:color w:val="000000"/>
                <w:spacing w:val="-2"/>
              </w:rPr>
              <w:t xml:space="preserve">Z tego względu, o ile w stosunku do przedsiębiorcy uzasadnione jest uzależnienie kryminalizacji od elementów subiektywnych związanych z oceną jego aktualnego położenia, to w przypadku konsumentów znamiona czynu powinny być określone z zastosowaniem czynnika obiektywnego. </w:t>
            </w:r>
          </w:p>
          <w:p w14:paraId="309AD277" w14:textId="77777777" w:rsidR="00882821" w:rsidRPr="00686B84" w:rsidRDefault="00882821" w:rsidP="00CA61BF">
            <w:pPr>
              <w:spacing w:line="240" w:lineRule="auto"/>
              <w:jc w:val="both"/>
              <w:rPr>
                <w:rFonts w:ascii="Times New Roman" w:hAnsi="Times New Roman"/>
                <w:color w:val="000000"/>
                <w:spacing w:val="-2"/>
              </w:rPr>
            </w:pPr>
            <w:r w:rsidRPr="00686B84">
              <w:rPr>
                <w:rFonts w:ascii="Times New Roman" w:hAnsi="Times New Roman"/>
                <w:color w:val="000000"/>
                <w:spacing w:val="-2"/>
              </w:rPr>
              <w:t>W szczególności wątpliwości budzi oferowanie pożyczek lichwiarskich osobom starszym lub niedołężnym, których sytuacja materialna jest trudna. Projektowany przepis pozwoli na wyeliminowanie problemów dowodowych związanych z elementem subiektywnym obecnym w art. 304 k.k. polegających na wykazaniu dlaczego takie osoby znajdują się w przymusowej sytuacji.</w:t>
            </w:r>
          </w:p>
          <w:p w14:paraId="3E88F28D" w14:textId="77777777" w:rsidR="00882821" w:rsidRPr="00686B84" w:rsidRDefault="00882821" w:rsidP="00CA61BF">
            <w:pPr>
              <w:spacing w:line="240" w:lineRule="auto"/>
              <w:jc w:val="both"/>
              <w:rPr>
                <w:rFonts w:ascii="Times New Roman" w:hAnsi="Times New Roman"/>
                <w:color w:val="000000"/>
                <w:spacing w:val="-2"/>
              </w:rPr>
            </w:pPr>
          </w:p>
          <w:p w14:paraId="26CDE477" w14:textId="77777777" w:rsidR="00882821" w:rsidRPr="00686B84" w:rsidRDefault="00882821" w:rsidP="00CA61BF">
            <w:pPr>
              <w:spacing w:line="240" w:lineRule="auto"/>
              <w:jc w:val="both"/>
              <w:rPr>
                <w:rFonts w:ascii="Times New Roman" w:hAnsi="Times New Roman"/>
                <w:color w:val="000000"/>
                <w:spacing w:val="-2"/>
              </w:rPr>
            </w:pPr>
            <w:r w:rsidRPr="00686B84">
              <w:rPr>
                <w:rFonts w:ascii="Times New Roman" w:hAnsi="Times New Roman"/>
                <w:color w:val="000000"/>
                <w:spacing w:val="-2"/>
              </w:rPr>
              <w:t>Wykres poniżej przedstawia wysokość zadłużenia osób w wieku emerytalnym w latach 2013</w:t>
            </w:r>
            <w:r w:rsidR="008F4B57">
              <w:rPr>
                <w:rFonts w:ascii="Times New Roman" w:hAnsi="Times New Roman"/>
                <w:color w:val="000000"/>
                <w:spacing w:val="-2"/>
              </w:rPr>
              <w:t>–</w:t>
            </w:r>
            <w:r w:rsidRPr="00686B84">
              <w:rPr>
                <w:rFonts w:ascii="Times New Roman" w:hAnsi="Times New Roman"/>
                <w:color w:val="000000"/>
                <w:spacing w:val="-2"/>
              </w:rPr>
              <w:t>2017.</w:t>
            </w:r>
            <w:r w:rsidRPr="00686B84">
              <w:rPr>
                <w:rStyle w:val="Odwoanieprzypisudolnego"/>
                <w:rFonts w:ascii="Times New Roman" w:hAnsi="Times New Roman"/>
                <w:color w:val="000000"/>
                <w:spacing w:val="-2"/>
              </w:rPr>
              <w:footnoteReference w:id="11"/>
            </w:r>
          </w:p>
          <w:p w14:paraId="43C26985" w14:textId="77777777" w:rsidR="00882821" w:rsidRPr="00686B84" w:rsidRDefault="00882821" w:rsidP="00CA61BF">
            <w:pPr>
              <w:spacing w:line="240" w:lineRule="auto"/>
              <w:jc w:val="both"/>
              <w:rPr>
                <w:rFonts w:ascii="Times New Roman" w:hAnsi="Times New Roman"/>
                <w:color w:val="000000"/>
                <w:spacing w:val="-2"/>
              </w:rPr>
            </w:pPr>
          </w:p>
          <w:p w14:paraId="1456E750" w14:textId="77777777" w:rsidR="00882821" w:rsidRPr="00686B84" w:rsidRDefault="006F3738" w:rsidP="00C43204">
            <w:pPr>
              <w:spacing w:line="240" w:lineRule="auto"/>
              <w:jc w:val="center"/>
              <w:rPr>
                <w:rFonts w:ascii="Times New Roman" w:hAnsi="Times New Roman"/>
                <w:color w:val="000000"/>
                <w:spacing w:val="-2"/>
              </w:rPr>
            </w:pPr>
            <w:r w:rsidRPr="005C0306">
              <w:rPr>
                <w:rFonts w:ascii="Times New Roman" w:hAnsi="Times New Roman"/>
                <w:noProof/>
                <w:lang w:eastAsia="pl-PL"/>
              </w:rPr>
              <w:lastRenderedPageBreak/>
              <w:drawing>
                <wp:inline distT="0" distB="0" distL="0" distR="0" wp14:anchorId="4D6A3599" wp14:editId="7E9707BE">
                  <wp:extent cx="4565650" cy="3028950"/>
                  <wp:effectExtent l="0" t="0" r="0" b="0"/>
                  <wp:docPr id="2" name="Obiek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F4B34A" w14:textId="77777777" w:rsidR="00882821" w:rsidRDefault="00882821" w:rsidP="00CA61BF">
            <w:pPr>
              <w:spacing w:line="240" w:lineRule="auto"/>
              <w:jc w:val="both"/>
              <w:rPr>
                <w:rFonts w:ascii="Times New Roman" w:hAnsi="Times New Roman"/>
                <w:color w:val="000000"/>
                <w:spacing w:val="-2"/>
              </w:rPr>
            </w:pPr>
            <w:r w:rsidRPr="00686B84">
              <w:rPr>
                <w:rFonts w:ascii="Times New Roman" w:hAnsi="Times New Roman"/>
                <w:color w:val="000000"/>
                <w:spacing w:val="-2"/>
              </w:rPr>
              <w:t xml:space="preserve">Szacuje się, że niezapłacone zobowiązania wobec banków i firm pożyczkowych stanowią 21% całkowitego zadłużenie emerytów. Pozostałą kwotę w zasadniczym stopniu tworzą zobowiązania wobec funduszy </w:t>
            </w:r>
            <w:proofErr w:type="spellStart"/>
            <w:r w:rsidRPr="00686B84">
              <w:rPr>
                <w:rFonts w:ascii="Times New Roman" w:hAnsi="Times New Roman"/>
                <w:color w:val="000000"/>
                <w:spacing w:val="-2"/>
              </w:rPr>
              <w:t>sekurytyzacyjnych</w:t>
            </w:r>
            <w:proofErr w:type="spellEnd"/>
            <w:r w:rsidRPr="00686B84">
              <w:rPr>
                <w:rFonts w:ascii="Times New Roman" w:hAnsi="Times New Roman"/>
                <w:color w:val="000000"/>
                <w:spacing w:val="-2"/>
              </w:rPr>
              <w:t xml:space="preserve"> i firm windykacyjnych – 40%.</w:t>
            </w:r>
            <w:r w:rsidRPr="00686B84">
              <w:rPr>
                <w:rStyle w:val="Odwoanieprzypisudolnego"/>
                <w:rFonts w:ascii="Times New Roman" w:hAnsi="Times New Roman"/>
                <w:color w:val="000000"/>
                <w:spacing w:val="-2"/>
              </w:rPr>
              <w:footnoteReference w:id="12"/>
            </w:r>
            <w:r w:rsidRPr="00686B84">
              <w:rPr>
                <w:rFonts w:ascii="Times New Roman" w:hAnsi="Times New Roman"/>
                <w:color w:val="000000"/>
                <w:spacing w:val="-2"/>
              </w:rPr>
              <w:t xml:space="preserve"> </w:t>
            </w:r>
          </w:p>
          <w:p w14:paraId="1A8F05D0" w14:textId="77777777" w:rsidR="00882821" w:rsidRPr="002602A7" w:rsidRDefault="00882821" w:rsidP="00CA61BF">
            <w:pPr>
              <w:spacing w:line="240" w:lineRule="auto"/>
              <w:jc w:val="both"/>
              <w:rPr>
                <w:rFonts w:ascii="Times New Roman" w:hAnsi="Times New Roman"/>
                <w:color w:val="000000"/>
                <w:spacing w:val="-2"/>
              </w:rPr>
            </w:pPr>
          </w:p>
          <w:p w14:paraId="7BDEAD90" w14:textId="77777777" w:rsidR="00882821" w:rsidRPr="002602A7" w:rsidRDefault="00882821" w:rsidP="00CA61BF">
            <w:pPr>
              <w:spacing w:line="240" w:lineRule="auto"/>
              <w:jc w:val="both"/>
              <w:rPr>
                <w:rFonts w:ascii="Times New Roman" w:hAnsi="Times New Roman"/>
                <w:color w:val="000000"/>
                <w:spacing w:val="-2"/>
              </w:rPr>
            </w:pPr>
          </w:p>
          <w:p w14:paraId="28B56593" w14:textId="77777777" w:rsidR="00882821" w:rsidRPr="002602A7" w:rsidRDefault="00882821" w:rsidP="00902D0C">
            <w:pPr>
              <w:spacing w:line="240" w:lineRule="auto"/>
              <w:jc w:val="both"/>
              <w:rPr>
                <w:rFonts w:ascii="Times New Roman" w:hAnsi="Times New Roman"/>
              </w:rPr>
            </w:pPr>
            <w:r w:rsidRPr="002602A7">
              <w:rPr>
                <w:rFonts w:ascii="Times New Roman" w:hAnsi="Times New Roman"/>
              </w:rPr>
              <w:t xml:space="preserve">Zgodnie z informacjami prezentowanymi przez Krajowy Rejestr Długów w 2013 r. w rejestrze wpisanych było 221 tys. seniorów. Obecne odnotowano już prawie 328 tys. takich osób. Według badania „Dlaczego Polacy się zadłużają”, przeprowadzonego na zlecenie Krajowego Rejestru Długów Biura Informacji Gospodarczej przez IMAS International osoby pobierające emeryturę znacznie częściej sięgają po kredyt niż osoby aktywne zawodowo. 41% emerytów przyznaje, że brało pożyczkę wiele razy, a tylko 10 proc. nigdy nie zaciągnęło długu, podczas gdy wśród osób pracujących odsetek ten wynosi odpowiednio 35% i 21%. </w:t>
            </w:r>
          </w:p>
          <w:p w14:paraId="52068068" w14:textId="77777777" w:rsidR="00882821" w:rsidRPr="002602A7" w:rsidRDefault="00882821" w:rsidP="00110479">
            <w:pPr>
              <w:spacing w:line="240" w:lineRule="auto"/>
              <w:jc w:val="both"/>
              <w:rPr>
                <w:rFonts w:ascii="Times New Roman" w:hAnsi="Times New Roman"/>
              </w:rPr>
            </w:pPr>
            <w:r w:rsidRPr="002602A7">
              <w:rPr>
                <w:rFonts w:ascii="Times New Roman" w:hAnsi="Times New Roman"/>
              </w:rPr>
              <w:t xml:space="preserve">Zauważa się, że seniorzy mają głównie kredyty w bankach (86% badanych osób), 12% zadłuża się na zakupy ratalne w sklepach. Jednocześnie niewielka grupa – 5% osób korzysta z pożyczek-chwilówek. Z kolei 6% szuka wsparcia u rodziny. </w:t>
            </w:r>
          </w:p>
          <w:p w14:paraId="5E7904F9" w14:textId="77777777" w:rsidR="00882821" w:rsidRPr="002602A7" w:rsidRDefault="00882821" w:rsidP="003E4334">
            <w:pPr>
              <w:spacing w:line="240" w:lineRule="auto"/>
              <w:jc w:val="both"/>
              <w:rPr>
                <w:rFonts w:ascii="Times New Roman" w:hAnsi="Times New Roman"/>
              </w:rPr>
            </w:pPr>
            <w:r w:rsidRPr="002602A7">
              <w:rPr>
                <w:rFonts w:ascii="Times New Roman" w:hAnsi="Times New Roman"/>
              </w:rPr>
              <w:t>Osoby młode też korzystają z kredytów w bankach, ale jest to nieco mniejsza grupa – 75%., a co piąta osoba kupiła sprzęt RTV lub AGD na raty, kredytowane w rzeczywistości przez bank. Wnuczkowie częściej niż dziadkowie sięgają po pożyczki-chwilówki (13%) i zadłużają się u rodziny (11%)</w:t>
            </w:r>
            <w:r w:rsidRPr="002602A7">
              <w:rPr>
                <w:rStyle w:val="Odwoanieprzypisudolnego"/>
                <w:rFonts w:ascii="Times New Roman" w:hAnsi="Times New Roman"/>
              </w:rPr>
              <w:footnoteReference w:id="13"/>
            </w:r>
            <w:r w:rsidRPr="002602A7">
              <w:rPr>
                <w:rFonts w:ascii="Times New Roman" w:hAnsi="Times New Roman"/>
              </w:rPr>
              <w:t>.</w:t>
            </w:r>
          </w:p>
          <w:p w14:paraId="63C0B393" w14:textId="77777777" w:rsidR="00882821" w:rsidRPr="002602A7" w:rsidRDefault="00882821" w:rsidP="003E4334">
            <w:pPr>
              <w:spacing w:line="240" w:lineRule="auto"/>
              <w:jc w:val="both"/>
              <w:rPr>
                <w:rFonts w:ascii="Times New Roman" w:hAnsi="Times New Roman"/>
                <w:sz w:val="20"/>
                <w:szCs w:val="20"/>
              </w:rPr>
            </w:pPr>
          </w:p>
          <w:p w14:paraId="72B5F68D" w14:textId="77777777" w:rsidR="00882821" w:rsidRPr="002602A7" w:rsidRDefault="00882821" w:rsidP="003E4334">
            <w:pPr>
              <w:spacing w:line="240" w:lineRule="auto"/>
              <w:jc w:val="both"/>
              <w:rPr>
                <w:rFonts w:ascii="Times New Roman" w:hAnsi="Times New Roman"/>
              </w:rPr>
            </w:pPr>
          </w:p>
          <w:p w14:paraId="49C06B7E" w14:textId="77777777" w:rsidR="00882821" w:rsidRDefault="00882821" w:rsidP="003E4334">
            <w:pPr>
              <w:spacing w:line="240" w:lineRule="auto"/>
              <w:jc w:val="both"/>
            </w:pPr>
          </w:p>
          <w:p w14:paraId="75E8ACBE" w14:textId="77777777" w:rsidR="00882821" w:rsidRPr="002602A7" w:rsidRDefault="00882821" w:rsidP="003E4334">
            <w:pPr>
              <w:spacing w:line="240" w:lineRule="auto"/>
              <w:jc w:val="both"/>
              <w:rPr>
                <w:rFonts w:ascii="Times New Roman" w:hAnsi="Times New Roman"/>
              </w:rPr>
            </w:pPr>
            <w:r w:rsidRPr="002602A7">
              <w:rPr>
                <w:rFonts w:ascii="Times New Roman" w:hAnsi="Times New Roman"/>
              </w:rPr>
              <w:t>Wykres poniżej przedstawia strukturę wiekową klientów obsługujących kredyty/pożyczki konsumpcyjne w końcu 2017 r.</w:t>
            </w:r>
            <w:r w:rsidRPr="002602A7">
              <w:rPr>
                <w:rStyle w:val="Odwoanieprzypisudolnego"/>
                <w:rFonts w:ascii="Times New Roman" w:hAnsi="Times New Roman"/>
              </w:rPr>
              <w:footnoteReference w:id="14"/>
            </w:r>
          </w:p>
          <w:p w14:paraId="7A37EB68" w14:textId="77777777" w:rsidR="00882821" w:rsidRDefault="00882821" w:rsidP="003E4334">
            <w:pPr>
              <w:spacing w:line="240" w:lineRule="auto"/>
              <w:jc w:val="both"/>
            </w:pPr>
          </w:p>
          <w:p w14:paraId="4E4EF4AF" w14:textId="77777777" w:rsidR="00882821" w:rsidRDefault="00882821" w:rsidP="003E4334">
            <w:pPr>
              <w:spacing w:line="240" w:lineRule="auto"/>
              <w:jc w:val="both"/>
            </w:pPr>
            <w:r>
              <w:object w:dxaOrig="8775" w:dyaOrig="6210" w14:anchorId="03110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44.5pt" o:ole="">
                  <v:imagedata r:id="rId12" o:title=""/>
                </v:shape>
                <o:OLEObject Type="Embed" ProgID="PBrush" ShapeID="_x0000_i1025" DrawAspect="Content" ObjectID="_1623231195" r:id="rId13"/>
              </w:object>
            </w:r>
          </w:p>
          <w:p w14:paraId="460DB9D0" w14:textId="77777777" w:rsidR="00882821" w:rsidRPr="002602A7" w:rsidRDefault="00882821" w:rsidP="00AE3850">
            <w:pPr>
              <w:spacing w:line="240" w:lineRule="auto"/>
              <w:jc w:val="both"/>
              <w:rPr>
                <w:rFonts w:ascii="Times New Roman" w:hAnsi="Times New Roman"/>
              </w:rPr>
            </w:pPr>
            <w:r w:rsidRPr="002602A7">
              <w:rPr>
                <w:rFonts w:ascii="Times New Roman" w:hAnsi="Times New Roman"/>
              </w:rPr>
              <w:t>Na podstawie obowiązujących przepisów KNF nie sprawuje nadzoru wobec tej grupy pośredników, a prowadzi ich rejestr. Wpis pośrednika kredytu konsumenckiego do działu II rejestru pośredników kredytowych następuje na jego wniosek. Pośrednicy kredytu konsumenckiego są wpisywani do działu II rejestru pośredników kredytowych pod właściwym numerem RPK.</w:t>
            </w:r>
          </w:p>
          <w:p w14:paraId="179E2B0B" w14:textId="77777777" w:rsidR="00882821" w:rsidRPr="002602A7" w:rsidRDefault="00882821" w:rsidP="00AE3850">
            <w:pPr>
              <w:spacing w:line="240" w:lineRule="auto"/>
              <w:jc w:val="both"/>
              <w:rPr>
                <w:rFonts w:ascii="Times New Roman" w:hAnsi="Times New Roman"/>
              </w:rPr>
            </w:pPr>
            <w:r w:rsidRPr="002602A7">
              <w:rPr>
                <w:rFonts w:ascii="Times New Roman" w:hAnsi="Times New Roman"/>
              </w:rPr>
              <w:t>Należy zauważyć bardzo szybki wzrost liczby pośredników kredytu konsumenckiego, który nastąpił w roku 2018. Przy 2083 pośrednikach kredytu konsumenckiego, którzy byli wpisani do rejestru na dzień 31 grudnia 201</w:t>
            </w:r>
            <w:r w:rsidR="00C06C22">
              <w:rPr>
                <w:rFonts w:ascii="Times New Roman" w:hAnsi="Times New Roman"/>
              </w:rPr>
              <w:t>7</w:t>
            </w:r>
            <w:r w:rsidRPr="002602A7">
              <w:rPr>
                <w:rFonts w:ascii="Times New Roman" w:hAnsi="Times New Roman"/>
              </w:rPr>
              <w:t xml:space="preserve"> r., KNF w 2018 r. dokonała wpisu </w:t>
            </w:r>
            <w:r w:rsidRPr="002602A7">
              <w:rPr>
                <w:rFonts w:ascii="Times New Roman" w:hAnsi="Times New Roman"/>
                <w:b/>
              </w:rPr>
              <w:t>25 866</w:t>
            </w:r>
            <w:r w:rsidRPr="002602A7">
              <w:rPr>
                <w:rFonts w:ascii="Times New Roman" w:hAnsi="Times New Roman"/>
              </w:rPr>
              <w:t xml:space="preserve"> nowych pośredników kredytu konsumenckiego</w:t>
            </w:r>
            <w:r w:rsidRPr="002602A7">
              <w:rPr>
                <w:rStyle w:val="Odwoanieprzypisudolnego"/>
                <w:rFonts w:ascii="Times New Roman" w:hAnsi="Times New Roman"/>
              </w:rPr>
              <w:footnoteReference w:id="15"/>
            </w:r>
            <w:r w:rsidRPr="002602A7">
              <w:rPr>
                <w:rFonts w:ascii="Times New Roman" w:hAnsi="Times New Roman"/>
              </w:rPr>
              <w:t xml:space="preserve">, co oznacza ponad 12-krotny wzrost liczby tych podmiotów. </w:t>
            </w:r>
          </w:p>
          <w:p w14:paraId="29E60D9A" w14:textId="77777777" w:rsidR="00882821" w:rsidRPr="002602A7" w:rsidRDefault="00882821" w:rsidP="00AE3850">
            <w:pPr>
              <w:spacing w:line="240" w:lineRule="auto"/>
              <w:jc w:val="both"/>
              <w:rPr>
                <w:rFonts w:ascii="Times New Roman" w:hAnsi="Times New Roman"/>
              </w:rPr>
            </w:pPr>
            <w:r w:rsidRPr="002602A7">
              <w:rPr>
                <w:rFonts w:ascii="Times New Roman" w:hAnsi="Times New Roman"/>
              </w:rPr>
              <w:t>Wg stanu na 31 grudnia 2018 r. do rejestru było wpisanych 27 917 pośredników kredytu konsumenckiego</w:t>
            </w:r>
            <w:r w:rsidRPr="002602A7">
              <w:rPr>
                <w:rStyle w:val="Odwoanieprzypisudolnego"/>
                <w:rFonts w:ascii="Times New Roman" w:hAnsi="Times New Roman"/>
              </w:rPr>
              <w:footnoteReference w:id="16"/>
            </w:r>
            <w:r w:rsidRPr="002602A7">
              <w:rPr>
                <w:rFonts w:ascii="Times New Roman" w:hAnsi="Times New Roman"/>
              </w:rPr>
              <w:t>.</w:t>
            </w:r>
          </w:p>
          <w:p w14:paraId="79A4A728" w14:textId="77777777" w:rsidR="00882821" w:rsidRPr="003E4334" w:rsidRDefault="00882821" w:rsidP="004B71F7">
            <w:pPr>
              <w:spacing w:line="240" w:lineRule="auto"/>
              <w:jc w:val="both"/>
              <w:rPr>
                <w:rFonts w:ascii="Open Sans" w:hAnsi="Open Sans"/>
                <w:sz w:val="20"/>
                <w:szCs w:val="20"/>
              </w:rPr>
            </w:pPr>
          </w:p>
        </w:tc>
      </w:tr>
      <w:tr w:rsidR="00882821" w:rsidRPr="008B4FE6" w14:paraId="38355790" w14:textId="77777777" w:rsidTr="00862088">
        <w:trPr>
          <w:gridAfter w:val="2"/>
          <w:wAfter w:w="31" w:type="dxa"/>
          <w:trHeight w:val="142"/>
        </w:trPr>
        <w:tc>
          <w:tcPr>
            <w:tcW w:w="1596" w:type="dxa"/>
            <w:vMerge/>
            <w:shd w:val="clear" w:color="auto" w:fill="FFFFFF"/>
          </w:tcPr>
          <w:p w14:paraId="6B94F737" w14:textId="77777777" w:rsidR="00882821" w:rsidRPr="00301959" w:rsidRDefault="00882821" w:rsidP="00811D46">
            <w:pPr>
              <w:spacing w:line="240" w:lineRule="auto"/>
              <w:rPr>
                <w:rFonts w:ascii="Times New Roman" w:hAnsi="Times New Roman"/>
                <w:color w:val="000000"/>
                <w:sz w:val="21"/>
                <w:szCs w:val="21"/>
              </w:rPr>
            </w:pPr>
          </w:p>
        </w:tc>
        <w:tc>
          <w:tcPr>
            <w:tcW w:w="2293" w:type="dxa"/>
            <w:gridSpan w:val="6"/>
            <w:shd w:val="clear" w:color="auto" w:fill="FFFFFF"/>
          </w:tcPr>
          <w:p w14:paraId="4CDCF669" w14:textId="77777777" w:rsidR="00882821" w:rsidRPr="00301959" w:rsidRDefault="0088282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27" w:type="dxa"/>
            <w:gridSpan w:val="22"/>
            <w:vMerge/>
            <w:shd w:val="clear" w:color="auto" w:fill="FFFFFF"/>
          </w:tcPr>
          <w:p w14:paraId="53E5F6AE" w14:textId="77777777" w:rsidR="00882821" w:rsidRPr="00E85E87" w:rsidRDefault="00882821" w:rsidP="00CA61BF">
            <w:pPr>
              <w:spacing w:line="240" w:lineRule="auto"/>
              <w:jc w:val="both"/>
              <w:rPr>
                <w:rFonts w:ascii="Times New Roman" w:hAnsi="Times New Roman"/>
              </w:rPr>
            </w:pPr>
          </w:p>
        </w:tc>
      </w:tr>
      <w:tr w:rsidR="00882821" w:rsidRPr="008B4FE6" w14:paraId="68154E02" w14:textId="77777777" w:rsidTr="00862088">
        <w:trPr>
          <w:gridAfter w:val="2"/>
          <w:wAfter w:w="31" w:type="dxa"/>
          <w:trHeight w:val="596"/>
        </w:trPr>
        <w:tc>
          <w:tcPr>
            <w:tcW w:w="1596" w:type="dxa"/>
            <w:vMerge/>
            <w:shd w:val="clear" w:color="auto" w:fill="FFFFFF"/>
          </w:tcPr>
          <w:p w14:paraId="716D0DCB" w14:textId="77777777" w:rsidR="00882821" w:rsidRPr="00301959" w:rsidRDefault="00882821" w:rsidP="00811D46">
            <w:pPr>
              <w:spacing w:line="240" w:lineRule="auto"/>
              <w:rPr>
                <w:rFonts w:ascii="Times New Roman" w:hAnsi="Times New Roman"/>
                <w:color w:val="000000"/>
                <w:sz w:val="21"/>
                <w:szCs w:val="21"/>
              </w:rPr>
            </w:pPr>
          </w:p>
        </w:tc>
        <w:tc>
          <w:tcPr>
            <w:tcW w:w="2293" w:type="dxa"/>
            <w:gridSpan w:val="6"/>
            <w:shd w:val="clear" w:color="auto" w:fill="FFFFFF"/>
          </w:tcPr>
          <w:p w14:paraId="7FB726D1" w14:textId="77777777" w:rsidR="00882821" w:rsidRPr="00301959" w:rsidRDefault="0056504A" w:rsidP="0095577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w:t>
            </w:r>
            <w:r>
              <w:rPr>
                <w:rFonts w:ascii="Times New Roman" w:hAnsi="Times New Roman"/>
                <w:sz w:val="21"/>
                <w:szCs w:val="21"/>
              </w:rPr>
              <w:t xml:space="preserve">, </w:t>
            </w:r>
            <w:r w:rsidRPr="00301959">
              <w:rPr>
                <w:rFonts w:ascii="Times New Roman" w:hAnsi="Times New Roman"/>
                <w:sz w:val="21"/>
                <w:szCs w:val="21"/>
              </w:rPr>
              <w:t>gospodarstwa domowe</w:t>
            </w:r>
            <w:r w:rsidRPr="00301959">
              <w:rPr>
                <w:rFonts w:ascii="Times New Roman" w:hAnsi="Times New Roman"/>
                <w:color w:val="000000"/>
                <w:sz w:val="21"/>
                <w:szCs w:val="21"/>
              </w:rPr>
              <w:t xml:space="preserve"> </w:t>
            </w:r>
            <w:r>
              <w:rPr>
                <w:rFonts w:ascii="Times New Roman" w:hAnsi="Times New Roman"/>
                <w:color w:val="000000"/>
                <w:sz w:val="21"/>
                <w:szCs w:val="21"/>
              </w:rPr>
              <w:t>oraz osoby niepełnosprawne</w:t>
            </w:r>
          </w:p>
        </w:tc>
        <w:tc>
          <w:tcPr>
            <w:tcW w:w="7027" w:type="dxa"/>
            <w:gridSpan w:val="22"/>
            <w:vMerge/>
            <w:shd w:val="clear" w:color="auto" w:fill="FFFFFF"/>
          </w:tcPr>
          <w:p w14:paraId="30592CB8" w14:textId="77777777" w:rsidR="00882821" w:rsidRPr="0010638E" w:rsidRDefault="00882821" w:rsidP="00CA61BF">
            <w:pPr>
              <w:spacing w:line="240" w:lineRule="auto"/>
              <w:jc w:val="both"/>
              <w:rPr>
                <w:rFonts w:ascii="Times New Roman" w:hAnsi="Times New Roman"/>
                <w:color w:val="000000"/>
                <w:spacing w:val="-2"/>
              </w:rPr>
            </w:pPr>
          </w:p>
        </w:tc>
      </w:tr>
      <w:tr w:rsidR="00882821" w:rsidRPr="008B4FE6" w14:paraId="54A1AF35" w14:textId="77777777" w:rsidTr="00862088">
        <w:trPr>
          <w:gridAfter w:val="2"/>
          <w:wAfter w:w="31" w:type="dxa"/>
          <w:trHeight w:val="142"/>
        </w:trPr>
        <w:tc>
          <w:tcPr>
            <w:tcW w:w="1596" w:type="dxa"/>
            <w:shd w:val="clear" w:color="auto" w:fill="FFFFFF"/>
          </w:tcPr>
          <w:p w14:paraId="145E814A" w14:textId="77777777" w:rsidR="00882821" w:rsidRPr="00301959" w:rsidRDefault="0088282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Niemierzalne</w:t>
            </w:r>
          </w:p>
        </w:tc>
        <w:tc>
          <w:tcPr>
            <w:tcW w:w="2293" w:type="dxa"/>
            <w:gridSpan w:val="6"/>
            <w:shd w:val="clear" w:color="auto" w:fill="FFFFFF"/>
          </w:tcPr>
          <w:p w14:paraId="0892B034" w14:textId="77777777" w:rsidR="00882821" w:rsidRPr="00301959" w:rsidRDefault="0088282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27" w:type="dxa"/>
            <w:gridSpan w:val="22"/>
            <w:shd w:val="clear" w:color="auto" w:fill="FFFFFF"/>
          </w:tcPr>
          <w:p w14:paraId="7E7E76D4" w14:textId="77777777" w:rsidR="00882821" w:rsidRPr="00B37C80" w:rsidRDefault="00882821" w:rsidP="00811D46">
            <w:pPr>
              <w:spacing w:line="240" w:lineRule="auto"/>
              <w:rPr>
                <w:rFonts w:ascii="Times New Roman" w:hAnsi="Times New Roman"/>
                <w:color w:val="000000"/>
                <w:spacing w:val="-2"/>
                <w:sz w:val="21"/>
                <w:szCs w:val="21"/>
              </w:rPr>
            </w:pPr>
          </w:p>
        </w:tc>
      </w:tr>
      <w:tr w:rsidR="00882821" w:rsidRPr="008B4FE6" w14:paraId="79C309C3" w14:textId="77777777" w:rsidTr="00862088">
        <w:trPr>
          <w:gridAfter w:val="2"/>
          <w:wAfter w:w="31" w:type="dxa"/>
          <w:trHeight w:val="1643"/>
        </w:trPr>
        <w:tc>
          <w:tcPr>
            <w:tcW w:w="2243" w:type="dxa"/>
            <w:gridSpan w:val="2"/>
            <w:shd w:val="clear" w:color="auto" w:fill="FFFFFF"/>
          </w:tcPr>
          <w:p w14:paraId="59CB5866" w14:textId="77777777" w:rsidR="00882821" w:rsidRPr="00301959" w:rsidRDefault="00882821"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73" w:type="dxa"/>
            <w:gridSpan w:val="27"/>
            <w:shd w:val="clear" w:color="auto" w:fill="FFFFFF"/>
            <w:vAlign w:val="center"/>
          </w:tcPr>
          <w:p w14:paraId="690B1A38" w14:textId="77777777" w:rsidR="00882821" w:rsidRPr="00E63524" w:rsidRDefault="00882821" w:rsidP="00257E50">
            <w:pPr>
              <w:spacing w:line="240" w:lineRule="auto"/>
              <w:jc w:val="both"/>
              <w:rPr>
                <w:rFonts w:ascii="Times New Roman" w:hAnsi="Times New Roman"/>
                <w:b/>
                <w:color w:val="000000"/>
                <w:sz w:val="21"/>
                <w:szCs w:val="21"/>
              </w:rPr>
            </w:pPr>
            <w:r w:rsidRPr="00E63524">
              <w:rPr>
                <w:rFonts w:ascii="Times New Roman" w:hAnsi="Times New Roman"/>
                <w:b/>
                <w:color w:val="000000"/>
                <w:sz w:val="21"/>
                <w:szCs w:val="21"/>
              </w:rPr>
              <w:t>Wpływ na przedsiębiorców</w:t>
            </w:r>
          </w:p>
          <w:p w14:paraId="69F9B606" w14:textId="77777777" w:rsidR="00882821" w:rsidRPr="00E63524" w:rsidRDefault="00882821" w:rsidP="00257E50">
            <w:pPr>
              <w:spacing w:line="240" w:lineRule="auto"/>
              <w:jc w:val="both"/>
              <w:rPr>
                <w:rFonts w:ascii="Times New Roman" w:hAnsi="Times New Roman"/>
                <w:b/>
                <w:color w:val="000000"/>
                <w:sz w:val="21"/>
                <w:szCs w:val="21"/>
              </w:rPr>
            </w:pPr>
          </w:p>
          <w:p w14:paraId="2BC902A9" w14:textId="77777777" w:rsidR="00882821" w:rsidRPr="00E63524" w:rsidRDefault="00882821" w:rsidP="00257E50">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 xml:space="preserve">Dokonując oceny wpływu projektowanych zmian należy zwrócić uwagę, iż precyzyjne oszacowanie skutków przedmiotowych regulacji jest utrudnione, a w przypadku niektórych aspektów na obecnym etapie prowadzonych prac nieosiągalne. </w:t>
            </w:r>
          </w:p>
          <w:p w14:paraId="5977D83F" w14:textId="77777777" w:rsidR="00882821" w:rsidRPr="00E63524" w:rsidRDefault="00882821" w:rsidP="00257E50">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 xml:space="preserve">Dynamika i permanentne zmiany w obszarze gospodarki związanym z działalnością </w:t>
            </w:r>
            <w:r>
              <w:rPr>
                <w:rFonts w:ascii="Times New Roman" w:hAnsi="Times New Roman"/>
                <w:color w:val="000000"/>
                <w:sz w:val="21"/>
                <w:szCs w:val="21"/>
              </w:rPr>
              <w:t xml:space="preserve">polegającą na </w:t>
            </w:r>
            <w:r w:rsidRPr="00E63524">
              <w:rPr>
                <w:rFonts w:ascii="Times New Roman" w:hAnsi="Times New Roman"/>
                <w:color w:val="000000"/>
                <w:sz w:val="21"/>
                <w:szCs w:val="21"/>
              </w:rPr>
              <w:t>udzielani</w:t>
            </w:r>
            <w:r>
              <w:rPr>
                <w:rFonts w:ascii="Times New Roman" w:hAnsi="Times New Roman"/>
                <w:color w:val="000000"/>
                <w:sz w:val="21"/>
                <w:szCs w:val="21"/>
              </w:rPr>
              <w:t>u</w:t>
            </w:r>
            <w:r w:rsidRPr="00E63524">
              <w:rPr>
                <w:rFonts w:ascii="Times New Roman" w:hAnsi="Times New Roman"/>
                <w:color w:val="000000"/>
                <w:sz w:val="21"/>
                <w:szCs w:val="21"/>
              </w:rPr>
              <w:t xml:space="preserve"> i obsłu</w:t>
            </w:r>
            <w:r>
              <w:rPr>
                <w:rFonts w:ascii="Times New Roman" w:hAnsi="Times New Roman"/>
                <w:color w:val="000000"/>
                <w:sz w:val="21"/>
                <w:szCs w:val="21"/>
              </w:rPr>
              <w:t>dze</w:t>
            </w:r>
            <w:r w:rsidRPr="00E63524">
              <w:rPr>
                <w:rFonts w:ascii="Times New Roman" w:hAnsi="Times New Roman"/>
                <w:color w:val="000000"/>
                <w:sz w:val="21"/>
                <w:szCs w:val="21"/>
              </w:rPr>
              <w:t xml:space="preserve"> kredytów oraz pożyczek</w:t>
            </w:r>
            <w:r>
              <w:rPr>
                <w:rFonts w:ascii="Times New Roman" w:hAnsi="Times New Roman"/>
                <w:color w:val="000000"/>
                <w:sz w:val="21"/>
                <w:szCs w:val="21"/>
              </w:rPr>
              <w:t>,</w:t>
            </w:r>
            <w:r w:rsidRPr="00E63524">
              <w:rPr>
                <w:rFonts w:ascii="Times New Roman" w:hAnsi="Times New Roman"/>
                <w:color w:val="000000"/>
                <w:sz w:val="21"/>
                <w:szCs w:val="21"/>
              </w:rPr>
              <w:t xml:space="preserve"> znacząco utrudniają wykrycie i określenie prawidłowości stanowiących podstawę do przyjęcia stałych bazowych będących punktem odniesienia w prowadzonych analizach. Zgodnie z raportem dot. potencjalnego wpływ zaostrzenia limitu kosztów </w:t>
            </w:r>
            <w:proofErr w:type="spellStart"/>
            <w:r w:rsidRPr="00E63524">
              <w:rPr>
                <w:rFonts w:ascii="Times New Roman" w:hAnsi="Times New Roman"/>
                <w:color w:val="000000"/>
                <w:sz w:val="21"/>
                <w:szCs w:val="21"/>
              </w:rPr>
              <w:t>pozaodsetkowych</w:t>
            </w:r>
            <w:proofErr w:type="spellEnd"/>
            <w:r w:rsidRPr="00E63524">
              <w:rPr>
                <w:rFonts w:ascii="Times New Roman" w:hAnsi="Times New Roman"/>
                <w:color w:val="000000"/>
                <w:sz w:val="21"/>
                <w:szCs w:val="21"/>
              </w:rPr>
              <w:t xml:space="preserve"> na rynek </w:t>
            </w:r>
            <w:proofErr w:type="spellStart"/>
            <w:r w:rsidRPr="00E63524">
              <w:rPr>
                <w:rFonts w:ascii="Times New Roman" w:hAnsi="Times New Roman"/>
                <w:color w:val="000000"/>
                <w:sz w:val="21"/>
                <w:szCs w:val="21"/>
              </w:rPr>
              <w:t>pozabankowych</w:t>
            </w:r>
            <w:proofErr w:type="spellEnd"/>
            <w:r w:rsidRPr="00E63524">
              <w:rPr>
                <w:rFonts w:ascii="Times New Roman" w:hAnsi="Times New Roman"/>
                <w:color w:val="000000"/>
                <w:sz w:val="21"/>
                <w:szCs w:val="21"/>
              </w:rPr>
              <w:t xml:space="preserve"> pożyczek konsumenckich w Polsce</w:t>
            </w:r>
            <w:r w:rsidRPr="00E63524">
              <w:rPr>
                <w:rFonts w:ascii="Times New Roman" w:hAnsi="Times New Roman"/>
                <w:vertAlign w:val="superscript"/>
              </w:rPr>
              <w:footnoteReference w:id="17"/>
            </w:r>
            <w:r w:rsidRPr="00E63524">
              <w:rPr>
                <w:rFonts w:ascii="Times New Roman" w:hAnsi="Times New Roman"/>
                <w:color w:val="000000"/>
                <w:sz w:val="21"/>
                <w:szCs w:val="21"/>
              </w:rPr>
              <w:t xml:space="preserve"> wskazuje się, że nadal trwa proces dostosowania się portfela </w:t>
            </w:r>
            <w:proofErr w:type="spellStart"/>
            <w:r w:rsidRPr="00E63524">
              <w:rPr>
                <w:rFonts w:ascii="Times New Roman" w:hAnsi="Times New Roman"/>
                <w:color w:val="000000"/>
                <w:sz w:val="21"/>
                <w:szCs w:val="21"/>
              </w:rPr>
              <w:t>pozabankowych</w:t>
            </w:r>
            <w:proofErr w:type="spellEnd"/>
            <w:r w:rsidRPr="00E63524">
              <w:rPr>
                <w:rFonts w:ascii="Times New Roman" w:hAnsi="Times New Roman"/>
                <w:color w:val="000000"/>
                <w:sz w:val="21"/>
                <w:szCs w:val="21"/>
              </w:rPr>
              <w:t xml:space="preserve"> instytucji finansowych do obowiązującego od 11 marca 2016 r. otoczenia regulacyjnego (ustawą z dnia 5 sierpnia 2015 r. o</w:t>
            </w:r>
            <w:r>
              <w:rPr>
                <w:rFonts w:ascii="Times New Roman" w:hAnsi="Times New Roman"/>
                <w:color w:val="000000"/>
                <w:sz w:val="21"/>
                <w:szCs w:val="21"/>
              </w:rPr>
              <w:t> </w:t>
            </w:r>
            <w:r w:rsidRPr="00E63524">
              <w:rPr>
                <w:rFonts w:ascii="Times New Roman" w:hAnsi="Times New Roman"/>
                <w:color w:val="000000"/>
                <w:sz w:val="21"/>
                <w:szCs w:val="21"/>
              </w:rPr>
              <w:t>zmianie ustawy o nadzorze nad rynkiem finansowym oraz niektórych innych ustaw (Dz.</w:t>
            </w:r>
            <w:r>
              <w:rPr>
                <w:rFonts w:ascii="Times New Roman" w:hAnsi="Times New Roman"/>
                <w:color w:val="000000"/>
                <w:sz w:val="21"/>
                <w:szCs w:val="21"/>
              </w:rPr>
              <w:t> </w:t>
            </w:r>
            <w:r w:rsidRPr="00E63524">
              <w:rPr>
                <w:rFonts w:ascii="Times New Roman" w:hAnsi="Times New Roman"/>
                <w:color w:val="000000"/>
                <w:sz w:val="21"/>
                <w:szCs w:val="21"/>
              </w:rPr>
              <w:t>U.</w:t>
            </w:r>
            <w:r>
              <w:rPr>
                <w:rFonts w:ascii="Times New Roman" w:hAnsi="Times New Roman"/>
                <w:color w:val="000000"/>
                <w:sz w:val="21"/>
                <w:szCs w:val="21"/>
              </w:rPr>
              <w:t> </w:t>
            </w:r>
            <w:r w:rsidRPr="00E63524">
              <w:rPr>
                <w:rFonts w:ascii="Times New Roman" w:hAnsi="Times New Roman"/>
                <w:color w:val="000000"/>
                <w:sz w:val="21"/>
                <w:szCs w:val="21"/>
              </w:rPr>
              <w:t>poz.</w:t>
            </w:r>
            <w:r>
              <w:rPr>
                <w:rFonts w:ascii="Times New Roman" w:hAnsi="Times New Roman"/>
                <w:color w:val="000000"/>
                <w:sz w:val="21"/>
                <w:szCs w:val="21"/>
              </w:rPr>
              <w:t> </w:t>
            </w:r>
            <w:r w:rsidRPr="00E63524">
              <w:rPr>
                <w:rFonts w:ascii="Times New Roman" w:hAnsi="Times New Roman"/>
                <w:color w:val="000000"/>
                <w:sz w:val="21"/>
                <w:szCs w:val="21"/>
              </w:rPr>
              <w:t>1357) zmieniono art. 45 ust. 1; dodano: art. 33a, art. 36a-36d).</w:t>
            </w:r>
          </w:p>
          <w:p w14:paraId="65AFD455" w14:textId="77777777" w:rsidR="00882821" w:rsidRPr="00E63524" w:rsidRDefault="00882821" w:rsidP="00375056">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Kolejnym czynnikiem, który uniemożliwia pełniejszą ocenę skutków regulacji jest stosunkowo krótki okres, jaki upłynął od wejścia w życie ww. przepisów. Jest to o tyle istotne, że w horyzoncie rocznym zakończeniu podlega zazwyczaj zaledwie ok. 30% pożyczek długoterminowych (oraz ok.</w:t>
            </w:r>
            <w:r>
              <w:rPr>
                <w:rFonts w:ascii="Times New Roman" w:hAnsi="Times New Roman"/>
                <w:color w:val="000000"/>
                <w:sz w:val="21"/>
                <w:szCs w:val="21"/>
              </w:rPr>
              <w:t> </w:t>
            </w:r>
            <w:r w:rsidRPr="00E63524">
              <w:rPr>
                <w:rFonts w:ascii="Times New Roman" w:hAnsi="Times New Roman"/>
                <w:color w:val="000000"/>
                <w:sz w:val="21"/>
                <w:szCs w:val="21"/>
              </w:rPr>
              <w:t xml:space="preserve">90% krótkoterminowych). Pełen cykl „starzenia się” portfela pożyczek długoterminowych zajmuje do 18 kwartałów od momentu ich udzielenia. Równocześnie kluczowe jest spostrzeżenie, że przeciętna rentowność zakończonych pożyczek bardzo istotnie się różni w zależności od czasu </w:t>
            </w:r>
            <w:r w:rsidRPr="00E63524">
              <w:rPr>
                <w:rFonts w:ascii="Times New Roman" w:hAnsi="Times New Roman"/>
                <w:color w:val="000000"/>
                <w:sz w:val="21"/>
                <w:szCs w:val="21"/>
              </w:rPr>
              <w:lastRenderedPageBreak/>
              <w:t>zakończenia względem terminu udzielenia pożyczki. W związku z tym pełna ocena rentowności pożyczek udzielonych po zmianach obowiązujących od 11 marca 2016 r. będzie możliwa dopiero w</w:t>
            </w:r>
            <w:r>
              <w:rPr>
                <w:rFonts w:ascii="Times New Roman" w:hAnsi="Times New Roman"/>
                <w:color w:val="000000"/>
                <w:sz w:val="21"/>
                <w:szCs w:val="21"/>
              </w:rPr>
              <w:t> </w:t>
            </w:r>
            <w:r w:rsidRPr="00E63524">
              <w:rPr>
                <w:rFonts w:ascii="Times New Roman" w:hAnsi="Times New Roman"/>
                <w:color w:val="000000"/>
                <w:sz w:val="21"/>
                <w:szCs w:val="21"/>
              </w:rPr>
              <w:t>okresie późniejszym.</w:t>
            </w:r>
          </w:p>
          <w:p w14:paraId="2571ACDA" w14:textId="77777777" w:rsidR="00882821" w:rsidRPr="00E63524" w:rsidRDefault="00882821" w:rsidP="0063155E">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 xml:space="preserve">Z powodów wcześniej wymienionych, ocena </w:t>
            </w:r>
            <w:r>
              <w:rPr>
                <w:rFonts w:ascii="Times New Roman" w:hAnsi="Times New Roman"/>
                <w:color w:val="000000"/>
                <w:sz w:val="21"/>
                <w:szCs w:val="21"/>
              </w:rPr>
              <w:t xml:space="preserve">sytuacji i </w:t>
            </w:r>
            <w:r w:rsidRPr="00E63524">
              <w:rPr>
                <w:rFonts w:ascii="Times New Roman" w:hAnsi="Times New Roman"/>
                <w:color w:val="000000"/>
                <w:sz w:val="21"/>
                <w:szCs w:val="21"/>
              </w:rPr>
              <w:t xml:space="preserve">zmian, które zaszły na rynku </w:t>
            </w:r>
            <w:proofErr w:type="spellStart"/>
            <w:r w:rsidRPr="00E63524">
              <w:rPr>
                <w:rFonts w:ascii="Times New Roman" w:hAnsi="Times New Roman"/>
                <w:color w:val="000000"/>
                <w:sz w:val="21"/>
                <w:szCs w:val="21"/>
              </w:rPr>
              <w:t>pozabankowych</w:t>
            </w:r>
            <w:proofErr w:type="spellEnd"/>
            <w:r w:rsidRPr="00E63524">
              <w:rPr>
                <w:rFonts w:ascii="Times New Roman" w:hAnsi="Times New Roman"/>
                <w:color w:val="000000"/>
                <w:sz w:val="21"/>
                <w:szCs w:val="21"/>
              </w:rPr>
              <w:t xml:space="preserve"> pożyczek konsumenckich po marcu 2016 r., może zostać dokonana poprzez porównanie rentowności pożyczek udzielonych w nowych uwarunkowaniach regulacyjnych z</w:t>
            </w:r>
            <w:r>
              <w:rPr>
                <w:rFonts w:ascii="Times New Roman" w:hAnsi="Times New Roman"/>
                <w:color w:val="000000"/>
                <w:sz w:val="21"/>
                <w:szCs w:val="21"/>
              </w:rPr>
              <w:t> </w:t>
            </w:r>
            <w:r w:rsidRPr="00E63524">
              <w:rPr>
                <w:rFonts w:ascii="Times New Roman" w:hAnsi="Times New Roman"/>
                <w:color w:val="000000"/>
                <w:sz w:val="21"/>
                <w:szCs w:val="21"/>
              </w:rPr>
              <w:t>rentownością pożyczek udzielonych przed wejściem ww. przepisów i zakończonych w ciągu pierwszych czterech kwartałów od ich udzielenia. Średnia ważona rentowność zrealizowana w</w:t>
            </w:r>
            <w:r>
              <w:rPr>
                <w:rFonts w:ascii="Times New Roman" w:hAnsi="Times New Roman"/>
                <w:color w:val="000000"/>
                <w:sz w:val="21"/>
                <w:szCs w:val="21"/>
              </w:rPr>
              <w:t> </w:t>
            </w:r>
            <w:r w:rsidRPr="00E63524">
              <w:rPr>
                <w:rFonts w:ascii="Times New Roman" w:hAnsi="Times New Roman"/>
                <w:color w:val="000000"/>
                <w:sz w:val="21"/>
                <w:szCs w:val="21"/>
              </w:rPr>
              <w:t>ciągu pierwszych czterech kwartałów od udzielenia pożyczek długoterminowych obniżyła się z</w:t>
            </w:r>
            <w:r>
              <w:rPr>
                <w:rFonts w:ascii="Times New Roman" w:hAnsi="Times New Roman"/>
                <w:color w:val="000000"/>
                <w:sz w:val="21"/>
                <w:szCs w:val="21"/>
              </w:rPr>
              <w:t> </w:t>
            </w:r>
            <w:r w:rsidRPr="00E63524">
              <w:rPr>
                <w:rFonts w:ascii="Times New Roman" w:hAnsi="Times New Roman"/>
                <w:color w:val="000000"/>
                <w:sz w:val="21"/>
                <w:szCs w:val="21"/>
              </w:rPr>
              <w:t xml:space="preserve">15% do 3% po wejściu w życie limitu kosztów </w:t>
            </w:r>
            <w:proofErr w:type="spellStart"/>
            <w:r w:rsidRPr="00E63524">
              <w:rPr>
                <w:rFonts w:ascii="Times New Roman" w:hAnsi="Times New Roman"/>
                <w:color w:val="000000"/>
                <w:sz w:val="21"/>
                <w:szCs w:val="21"/>
              </w:rPr>
              <w:t>pozaodsetkowych</w:t>
            </w:r>
            <w:proofErr w:type="spellEnd"/>
            <w:r w:rsidRPr="00E63524">
              <w:rPr>
                <w:rFonts w:ascii="Times New Roman" w:hAnsi="Times New Roman"/>
                <w:color w:val="000000"/>
                <w:sz w:val="21"/>
                <w:szCs w:val="21"/>
              </w:rPr>
              <w:t>. W przypadku pożyczek krótkoterminowych zmiana rentowności była mniejsza. Równocześnie należy zaznaczyć, że rentowność tego typu pożyczek w pierwszym okresie po ich udzieleniu jest relatywnie niska.</w:t>
            </w:r>
          </w:p>
          <w:p w14:paraId="1500F739" w14:textId="77777777" w:rsidR="00882821" w:rsidRPr="00E63524" w:rsidRDefault="00882821" w:rsidP="0063155E">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Mając na uwadze powyższe wskazuje się, że projektowane obniżenie określonego w ustawie o</w:t>
            </w:r>
            <w:r>
              <w:rPr>
                <w:rFonts w:ascii="Times New Roman" w:hAnsi="Times New Roman"/>
                <w:color w:val="000000"/>
                <w:sz w:val="21"/>
                <w:szCs w:val="21"/>
              </w:rPr>
              <w:t> </w:t>
            </w:r>
            <w:r w:rsidRPr="00E63524">
              <w:rPr>
                <w:rFonts w:ascii="Times New Roman" w:hAnsi="Times New Roman"/>
                <w:color w:val="000000"/>
                <w:sz w:val="21"/>
                <w:szCs w:val="21"/>
              </w:rPr>
              <w:t xml:space="preserve">kredycie konsumenckim limitu </w:t>
            </w:r>
            <w:proofErr w:type="spellStart"/>
            <w:r w:rsidRPr="00E63524">
              <w:rPr>
                <w:rFonts w:ascii="Times New Roman" w:hAnsi="Times New Roman"/>
                <w:color w:val="000000"/>
                <w:sz w:val="21"/>
                <w:szCs w:val="21"/>
              </w:rPr>
              <w:t>pozaodsetkowych</w:t>
            </w:r>
            <w:proofErr w:type="spellEnd"/>
            <w:r w:rsidRPr="00E63524">
              <w:rPr>
                <w:rFonts w:ascii="Times New Roman" w:hAnsi="Times New Roman"/>
                <w:color w:val="000000"/>
                <w:sz w:val="21"/>
                <w:szCs w:val="21"/>
              </w:rPr>
              <w:t xml:space="preserve"> kosztów kredytu konsumenckiego może przedłożyć się na dalsze obniżenie średniej ważonej rentowności pożyczek. Jednocześnie dostrzega się potencjalne ryzyko w postaci spadku udziału produktów rentownych w produktach ogółem.</w:t>
            </w:r>
          </w:p>
          <w:p w14:paraId="6118F8E2" w14:textId="77777777" w:rsidR="00882821" w:rsidRPr="00E63524" w:rsidRDefault="00882821" w:rsidP="0063155E">
            <w:pPr>
              <w:spacing w:line="240" w:lineRule="auto"/>
              <w:jc w:val="both"/>
              <w:rPr>
                <w:rFonts w:ascii="Times New Roman" w:hAnsi="Times New Roman"/>
                <w:color w:val="000000"/>
                <w:sz w:val="21"/>
                <w:szCs w:val="21"/>
              </w:rPr>
            </w:pPr>
          </w:p>
          <w:p w14:paraId="1610D244" w14:textId="77777777" w:rsidR="00882821" w:rsidRPr="00E63524" w:rsidRDefault="00882821" w:rsidP="0063155E">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Tabela poniżej przedstawia szacowaną strukturę zmian w obszarze rentowności umów (na podstawie badań przeprowadzonych na próbie 1,46 mln zakończonych indywidualnych pożyczek).</w:t>
            </w:r>
            <w:r w:rsidRPr="00E63524">
              <w:rPr>
                <w:rStyle w:val="Odwoanieprzypisudolnego"/>
                <w:rFonts w:ascii="Times New Roman" w:hAnsi="Times New Roman"/>
                <w:color w:val="000000"/>
                <w:sz w:val="21"/>
                <w:szCs w:val="21"/>
              </w:rPr>
              <w:footnoteReference w:id="18"/>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110"/>
              <w:gridCol w:w="1825"/>
            </w:tblGrid>
            <w:tr w:rsidR="00882821" w:rsidRPr="00E63524" w14:paraId="6ED18D5D" w14:textId="77777777" w:rsidTr="00392E1E">
              <w:trPr>
                <w:trHeight w:val="128"/>
              </w:trPr>
              <w:tc>
                <w:tcPr>
                  <w:tcW w:w="6221" w:type="dxa"/>
                  <w:gridSpan w:val="2"/>
                  <w:tcBorders>
                    <w:right w:val="nil"/>
                  </w:tcBorders>
                </w:tcPr>
                <w:tbl>
                  <w:tblPr>
                    <w:tblW w:w="0" w:type="auto"/>
                    <w:tblBorders>
                      <w:top w:val="nil"/>
                      <w:left w:val="nil"/>
                      <w:bottom w:val="nil"/>
                      <w:right w:val="nil"/>
                    </w:tblBorders>
                    <w:tblLayout w:type="fixed"/>
                    <w:tblLook w:val="0000" w:firstRow="0" w:lastRow="0" w:firstColumn="0" w:lastColumn="0" w:noHBand="0" w:noVBand="0"/>
                  </w:tblPr>
                  <w:tblGrid>
                    <w:gridCol w:w="4145"/>
                  </w:tblGrid>
                  <w:tr w:rsidR="00882821" w:rsidRPr="00E63524" w14:paraId="46E290B5" w14:textId="77777777" w:rsidTr="00392E1E">
                    <w:trPr>
                      <w:trHeight w:val="103"/>
                    </w:trPr>
                    <w:tc>
                      <w:tcPr>
                        <w:tcW w:w="4145" w:type="dxa"/>
                      </w:tcPr>
                      <w:p w14:paraId="1E5F3E37"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i/>
                            <w:iCs/>
                            <w:sz w:val="21"/>
                            <w:szCs w:val="21"/>
                          </w:rPr>
                          <w:t>łączna liczba umów zamkniętych do końca marca 2016 (szt.)</w:t>
                        </w:r>
                      </w:p>
                    </w:tc>
                  </w:tr>
                </w:tbl>
                <w:p w14:paraId="7CD64997" w14:textId="77777777" w:rsidR="00882821" w:rsidRPr="00E63524" w:rsidRDefault="00882821" w:rsidP="00C65F14">
                  <w:pPr>
                    <w:pStyle w:val="Default"/>
                    <w:rPr>
                      <w:rFonts w:ascii="Times New Roman" w:hAnsi="Times New Roman" w:cs="Times New Roman"/>
                      <w:sz w:val="21"/>
                      <w:szCs w:val="21"/>
                    </w:rPr>
                  </w:pPr>
                </w:p>
              </w:tc>
              <w:tc>
                <w:tcPr>
                  <w:tcW w:w="1825" w:type="dxa"/>
                  <w:tcBorders>
                    <w:left w:val="nil"/>
                  </w:tcBorders>
                </w:tcPr>
                <w:p w14:paraId="43D21DE4"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i/>
                      <w:iCs/>
                      <w:sz w:val="21"/>
                      <w:szCs w:val="21"/>
                    </w:rPr>
                    <w:t>948 505</w:t>
                  </w:r>
                </w:p>
              </w:tc>
            </w:tr>
            <w:tr w:rsidR="00882821" w:rsidRPr="00E63524" w14:paraId="61E5AF22" w14:textId="77777777" w:rsidTr="00392E1E">
              <w:trPr>
                <w:trHeight w:val="128"/>
              </w:trPr>
              <w:tc>
                <w:tcPr>
                  <w:tcW w:w="6221" w:type="dxa"/>
                  <w:gridSpan w:val="2"/>
                  <w:tcBorders>
                    <w:right w:val="nil"/>
                  </w:tcBorders>
                </w:tcPr>
                <w:tbl>
                  <w:tblPr>
                    <w:tblW w:w="0" w:type="auto"/>
                    <w:tblBorders>
                      <w:top w:val="nil"/>
                      <w:left w:val="nil"/>
                      <w:bottom w:val="nil"/>
                      <w:right w:val="nil"/>
                    </w:tblBorders>
                    <w:tblLayout w:type="fixed"/>
                    <w:tblLook w:val="0000" w:firstRow="0" w:lastRow="0" w:firstColumn="0" w:lastColumn="0" w:noHBand="0" w:noVBand="0"/>
                  </w:tblPr>
                  <w:tblGrid>
                    <w:gridCol w:w="4145"/>
                  </w:tblGrid>
                  <w:tr w:rsidR="00882821" w:rsidRPr="00E63524" w14:paraId="5E6F5FB9" w14:textId="77777777" w:rsidTr="00392E1E">
                    <w:trPr>
                      <w:trHeight w:val="103"/>
                    </w:trPr>
                    <w:tc>
                      <w:tcPr>
                        <w:tcW w:w="4145" w:type="dxa"/>
                      </w:tcPr>
                      <w:p w14:paraId="78292B4F"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i/>
                            <w:iCs/>
                            <w:sz w:val="21"/>
                            <w:szCs w:val="21"/>
                          </w:rPr>
                          <w:t>łączna wartość umów zamkniętych do końca marca 2016 (zł)</w:t>
                        </w:r>
                      </w:p>
                    </w:tc>
                  </w:tr>
                </w:tbl>
                <w:p w14:paraId="71B816F1" w14:textId="77777777" w:rsidR="00882821" w:rsidRPr="00E63524" w:rsidRDefault="00882821" w:rsidP="00C65F14">
                  <w:pPr>
                    <w:pStyle w:val="Default"/>
                    <w:rPr>
                      <w:rFonts w:ascii="Times New Roman" w:hAnsi="Times New Roman" w:cs="Times New Roman"/>
                      <w:sz w:val="21"/>
                      <w:szCs w:val="21"/>
                    </w:rPr>
                  </w:pPr>
                </w:p>
              </w:tc>
              <w:tc>
                <w:tcPr>
                  <w:tcW w:w="1825" w:type="dxa"/>
                  <w:tcBorders>
                    <w:left w:val="nil"/>
                  </w:tcBorders>
                </w:tcPr>
                <w:p w14:paraId="3E551A7B"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i/>
                      <w:iCs/>
                      <w:sz w:val="21"/>
                      <w:szCs w:val="21"/>
                    </w:rPr>
                    <w:t>1 411 244 595</w:t>
                  </w:r>
                </w:p>
              </w:tc>
            </w:tr>
            <w:tr w:rsidR="00882821" w:rsidRPr="00E63524" w14:paraId="6E092815" w14:textId="77777777" w:rsidTr="00392E1E">
              <w:trPr>
                <w:trHeight w:val="128"/>
              </w:trPr>
              <w:tc>
                <w:tcPr>
                  <w:tcW w:w="4111" w:type="dxa"/>
                </w:tcPr>
                <w:tbl>
                  <w:tblPr>
                    <w:tblW w:w="5718" w:type="dxa"/>
                    <w:tblBorders>
                      <w:top w:val="nil"/>
                      <w:left w:val="nil"/>
                      <w:bottom w:val="nil"/>
                      <w:right w:val="nil"/>
                    </w:tblBorders>
                    <w:tblLayout w:type="fixed"/>
                    <w:tblLook w:val="0000" w:firstRow="0" w:lastRow="0" w:firstColumn="0" w:lastColumn="0" w:noHBand="0" w:noVBand="0"/>
                  </w:tblPr>
                  <w:tblGrid>
                    <w:gridCol w:w="5482"/>
                    <w:gridCol w:w="236"/>
                  </w:tblGrid>
                  <w:tr w:rsidR="00882821" w:rsidRPr="00E63524" w14:paraId="4884F166" w14:textId="77777777" w:rsidTr="00C65F14">
                    <w:trPr>
                      <w:trHeight w:val="367"/>
                    </w:trPr>
                    <w:tc>
                      <w:tcPr>
                        <w:tcW w:w="5482" w:type="dxa"/>
                      </w:tcPr>
                      <w:p w14:paraId="437C8C02" w14:textId="77777777" w:rsidR="00882821" w:rsidRPr="00E63524" w:rsidRDefault="00882821" w:rsidP="00C65F14">
                        <w:pPr>
                          <w:pStyle w:val="Default"/>
                          <w:rPr>
                            <w:rFonts w:ascii="Times New Roman" w:hAnsi="Times New Roman" w:cs="Times New Roman"/>
                            <w:sz w:val="21"/>
                            <w:szCs w:val="21"/>
                          </w:rPr>
                        </w:pPr>
                      </w:p>
                    </w:tc>
                    <w:tc>
                      <w:tcPr>
                        <w:tcW w:w="236" w:type="dxa"/>
                      </w:tcPr>
                      <w:p w14:paraId="1C140EB5" w14:textId="77777777" w:rsidR="00882821" w:rsidRPr="00E63524" w:rsidRDefault="00882821" w:rsidP="00C65F14">
                        <w:pPr>
                          <w:pStyle w:val="Default"/>
                          <w:rPr>
                            <w:rFonts w:ascii="Times New Roman" w:hAnsi="Times New Roman" w:cs="Times New Roman"/>
                            <w:sz w:val="21"/>
                            <w:szCs w:val="21"/>
                          </w:rPr>
                        </w:pPr>
                      </w:p>
                    </w:tc>
                  </w:tr>
                </w:tbl>
                <w:p w14:paraId="2F2DA003" w14:textId="77777777" w:rsidR="00882821" w:rsidRPr="00E63524" w:rsidRDefault="00882821" w:rsidP="00C65F14">
                  <w:pPr>
                    <w:pStyle w:val="Default"/>
                    <w:rPr>
                      <w:rFonts w:ascii="Times New Roman" w:hAnsi="Times New Roman" w:cs="Times New Roman"/>
                      <w:sz w:val="21"/>
                      <w:szCs w:val="21"/>
                    </w:rPr>
                  </w:pPr>
                </w:p>
              </w:tc>
              <w:tc>
                <w:tcPr>
                  <w:tcW w:w="2110" w:type="dxa"/>
                </w:tcPr>
                <w:p w14:paraId="04605149"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bCs/>
                      <w:sz w:val="21"/>
                      <w:szCs w:val="21"/>
                    </w:rPr>
                    <w:t xml:space="preserve">bez korekty o hipotetyczny limit kosztów </w:t>
                  </w:r>
                  <w:proofErr w:type="spellStart"/>
                  <w:r w:rsidRPr="00E63524">
                    <w:rPr>
                      <w:rFonts w:ascii="Times New Roman" w:hAnsi="Times New Roman" w:cs="Times New Roman"/>
                      <w:bCs/>
                      <w:sz w:val="21"/>
                      <w:szCs w:val="21"/>
                    </w:rPr>
                    <w:t>pozaodsetkowych</w:t>
                  </w:r>
                  <w:proofErr w:type="spellEnd"/>
                </w:p>
              </w:tc>
              <w:tc>
                <w:tcPr>
                  <w:tcW w:w="1825" w:type="dxa"/>
                </w:tcPr>
                <w:p w14:paraId="7E1B07DA" w14:textId="77777777" w:rsidR="00882821" w:rsidRPr="00E63524" w:rsidRDefault="00882821" w:rsidP="003C5CBE">
                  <w:pPr>
                    <w:pStyle w:val="Default"/>
                    <w:rPr>
                      <w:rFonts w:ascii="Times New Roman" w:hAnsi="Times New Roman" w:cs="Times New Roman"/>
                      <w:sz w:val="21"/>
                      <w:szCs w:val="21"/>
                    </w:rPr>
                  </w:pPr>
                  <w:r w:rsidRPr="00E63524">
                    <w:rPr>
                      <w:rFonts w:ascii="Times New Roman" w:hAnsi="Times New Roman" w:cs="Times New Roman"/>
                      <w:bCs/>
                      <w:sz w:val="21"/>
                      <w:szCs w:val="21"/>
                    </w:rPr>
                    <w:t xml:space="preserve">po korekcie o hipotetyczny limit kosztów </w:t>
                  </w:r>
                  <w:proofErr w:type="spellStart"/>
                  <w:r w:rsidRPr="00E63524">
                    <w:rPr>
                      <w:rFonts w:ascii="Times New Roman" w:hAnsi="Times New Roman" w:cs="Times New Roman"/>
                      <w:bCs/>
                      <w:sz w:val="21"/>
                      <w:szCs w:val="21"/>
                    </w:rPr>
                    <w:t>pozaodsetkowych</w:t>
                  </w:r>
                  <w:proofErr w:type="spellEnd"/>
                  <w:r w:rsidRPr="00E63524">
                    <w:rPr>
                      <w:rFonts w:ascii="Times New Roman" w:hAnsi="Times New Roman" w:cs="Times New Roman"/>
                      <w:bCs/>
                      <w:sz w:val="21"/>
                      <w:szCs w:val="21"/>
                    </w:rPr>
                    <w:t xml:space="preserve"> „25+30”</w:t>
                  </w:r>
                </w:p>
              </w:tc>
            </w:tr>
            <w:tr w:rsidR="00882821" w:rsidRPr="00E63524" w14:paraId="36C55C41" w14:textId="77777777" w:rsidTr="00392E1E">
              <w:trPr>
                <w:trHeight w:val="128"/>
              </w:trPr>
              <w:tc>
                <w:tcPr>
                  <w:tcW w:w="4111" w:type="dxa"/>
                </w:tcPr>
                <w:p w14:paraId="7053B16D"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umów rentownych (szt.)</w:t>
                  </w:r>
                </w:p>
              </w:tc>
              <w:tc>
                <w:tcPr>
                  <w:tcW w:w="2110" w:type="dxa"/>
                </w:tcPr>
                <w:p w14:paraId="55CA8FEB"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488 467</w:t>
                  </w:r>
                </w:p>
              </w:tc>
              <w:tc>
                <w:tcPr>
                  <w:tcW w:w="1825" w:type="dxa"/>
                </w:tcPr>
                <w:p w14:paraId="570004CF"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438 298</w:t>
                  </w:r>
                </w:p>
              </w:tc>
            </w:tr>
            <w:tr w:rsidR="00882821" w:rsidRPr="00E63524" w14:paraId="415D9A40" w14:textId="77777777" w:rsidTr="00392E1E">
              <w:trPr>
                <w:trHeight w:val="128"/>
              </w:trPr>
              <w:tc>
                <w:tcPr>
                  <w:tcW w:w="4111" w:type="dxa"/>
                </w:tcPr>
                <w:p w14:paraId="4C710866"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wartość umów rentownych (zł)</w:t>
                  </w:r>
                </w:p>
              </w:tc>
              <w:tc>
                <w:tcPr>
                  <w:tcW w:w="2110" w:type="dxa"/>
                </w:tcPr>
                <w:p w14:paraId="275C0247"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967 316 548</w:t>
                  </w:r>
                </w:p>
              </w:tc>
              <w:tc>
                <w:tcPr>
                  <w:tcW w:w="1825" w:type="dxa"/>
                </w:tcPr>
                <w:p w14:paraId="0FD033BD"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920 363 964</w:t>
                  </w:r>
                </w:p>
              </w:tc>
            </w:tr>
            <w:tr w:rsidR="00882821" w:rsidRPr="00E63524" w14:paraId="2750D6D9" w14:textId="77777777" w:rsidTr="00392E1E">
              <w:trPr>
                <w:trHeight w:val="128"/>
              </w:trPr>
              <w:tc>
                <w:tcPr>
                  <w:tcW w:w="4111" w:type="dxa"/>
                </w:tcPr>
                <w:p w14:paraId="3EF352C1"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średnia rentowność umów ogółem (ważona kwotą umowy)</w:t>
                  </w:r>
                </w:p>
              </w:tc>
              <w:tc>
                <w:tcPr>
                  <w:tcW w:w="2110" w:type="dxa"/>
                </w:tcPr>
                <w:p w14:paraId="17BA9739"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16%</w:t>
                  </w:r>
                </w:p>
              </w:tc>
              <w:tc>
                <w:tcPr>
                  <w:tcW w:w="1825" w:type="dxa"/>
                </w:tcPr>
                <w:p w14:paraId="6C4828C4"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4%</w:t>
                  </w:r>
                </w:p>
              </w:tc>
            </w:tr>
            <w:tr w:rsidR="00882821" w:rsidRPr="00E63524" w14:paraId="753AC689" w14:textId="77777777" w:rsidTr="00392E1E">
              <w:trPr>
                <w:trHeight w:val="128"/>
              </w:trPr>
              <w:tc>
                <w:tcPr>
                  <w:tcW w:w="4111" w:type="dxa"/>
                </w:tcPr>
                <w:p w14:paraId="634F0F2F"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liczba produktów rentownych (szt.)</w:t>
                  </w:r>
                </w:p>
              </w:tc>
              <w:tc>
                <w:tcPr>
                  <w:tcW w:w="2110" w:type="dxa"/>
                </w:tcPr>
                <w:p w14:paraId="6B065B6F"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677</w:t>
                  </w:r>
                </w:p>
              </w:tc>
              <w:tc>
                <w:tcPr>
                  <w:tcW w:w="1825" w:type="dxa"/>
                </w:tcPr>
                <w:p w14:paraId="6DEE9799"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494</w:t>
                  </w:r>
                </w:p>
              </w:tc>
            </w:tr>
            <w:tr w:rsidR="00882821" w:rsidRPr="00E63524" w14:paraId="7C7776B0" w14:textId="77777777" w:rsidTr="00392E1E">
              <w:trPr>
                <w:trHeight w:val="128"/>
              </w:trPr>
              <w:tc>
                <w:tcPr>
                  <w:tcW w:w="4111" w:type="dxa"/>
                </w:tcPr>
                <w:p w14:paraId="6ADF5CA5"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liczba umów w produktach rentownych (szt.)</w:t>
                  </w:r>
                </w:p>
              </w:tc>
              <w:tc>
                <w:tcPr>
                  <w:tcW w:w="2110" w:type="dxa"/>
                </w:tcPr>
                <w:p w14:paraId="15F20EEB"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556 536</w:t>
                  </w:r>
                </w:p>
              </w:tc>
              <w:tc>
                <w:tcPr>
                  <w:tcW w:w="1825" w:type="dxa"/>
                </w:tcPr>
                <w:p w14:paraId="02331349"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384 107</w:t>
                  </w:r>
                </w:p>
              </w:tc>
            </w:tr>
            <w:tr w:rsidR="00882821" w:rsidRPr="00E63524" w14:paraId="58666151" w14:textId="77777777" w:rsidTr="00392E1E">
              <w:trPr>
                <w:trHeight w:val="128"/>
              </w:trPr>
              <w:tc>
                <w:tcPr>
                  <w:tcW w:w="4111" w:type="dxa"/>
                </w:tcPr>
                <w:p w14:paraId="0E112D5D"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wartość umów w produktach rentownych (zł)</w:t>
                  </w:r>
                </w:p>
              </w:tc>
              <w:tc>
                <w:tcPr>
                  <w:tcW w:w="2110" w:type="dxa"/>
                </w:tcPr>
                <w:p w14:paraId="4405F0B9"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1 117 393 191</w:t>
                  </w:r>
                </w:p>
              </w:tc>
              <w:tc>
                <w:tcPr>
                  <w:tcW w:w="1825" w:type="dxa"/>
                </w:tcPr>
                <w:p w14:paraId="32F0BBEE"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919 536 412</w:t>
                  </w:r>
                </w:p>
              </w:tc>
            </w:tr>
            <w:tr w:rsidR="00882821" w:rsidRPr="00E63524" w14:paraId="15B28301" w14:textId="77777777" w:rsidTr="00392E1E">
              <w:trPr>
                <w:trHeight w:val="128"/>
              </w:trPr>
              <w:tc>
                <w:tcPr>
                  <w:tcW w:w="4111" w:type="dxa"/>
                </w:tcPr>
                <w:p w14:paraId="6AB041AE"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udział produktów rentownych w produktach ogółem</w:t>
                  </w:r>
                </w:p>
              </w:tc>
              <w:tc>
                <w:tcPr>
                  <w:tcW w:w="2110" w:type="dxa"/>
                </w:tcPr>
                <w:p w14:paraId="06D4A793"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55,9%</w:t>
                  </w:r>
                </w:p>
              </w:tc>
              <w:tc>
                <w:tcPr>
                  <w:tcW w:w="1825" w:type="dxa"/>
                </w:tcPr>
                <w:p w14:paraId="272D7371"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40,8%</w:t>
                  </w:r>
                </w:p>
              </w:tc>
            </w:tr>
            <w:tr w:rsidR="00882821" w:rsidRPr="00E63524" w14:paraId="0972B052" w14:textId="77777777" w:rsidTr="00392E1E">
              <w:trPr>
                <w:trHeight w:val="128"/>
              </w:trPr>
              <w:tc>
                <w:tcPr>
                  <w:tcW w:w="4111" w:type="dxa"/>
                </w:tcPr>
                <w:p w14:paraId="7C5885BE"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udział umów produktów rentownych w umowach ogółem</w:t>
                  </w:r>
                </w:p>
              </w:tc>
              <w:tc>
                <w:tcPr>
                  <w:tcW w:w="2110" w:type="dxa"/>
                </w:tcPr>
                <w:p w14:paraId="6B0FB5B1"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58,7%</w:t>
                  </w:r>
                </w:p>
              </w:tc>
              <w:tc>
                <w:tcPr>
                  <w:tcW w:w="1825" w:type="dxa"/>
                </w:tcPr>
                <w:p w14:paraId="54BA4840"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40,5%</w:t>
                  </w:r>
                </w:p>
              </w:tc>
            </w:tr>
            <w:tr w:rsidR="00882821" w:rsidRPr="00E63524" w14:paraId="4FA057DD" w14:textId="77777777" w:rsidTr="00392E1E">
              <w:trPr>
                <w:trHeight w:val="128"/>
              </w:trPr>
              <w:tc>
                <w:tcPr>
                  <w:tcW w:w="4111" w:type="dxa"/>
                </w:tcPr>
                <w:p w14:paraId="0FE2F0F1"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udział umów produktów rentownych w wartości umów ogółem</w:t>
                  </w:r>
                </w:p>
              </w:tc>
              <w:tc>
                <w:tcPr>
                  <w:tcW w:w="2110" w:type="dxa"/>
                </w:tcPr>
                <w:p w14:paraId="1041F50B"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79,2%</w:t>
                  </w:r>
                </w:p>
              </w:tc>
              <w:tc>
                <w:tcPr>
                  <w:tcW w:w="1825" w:type="dxa"/>
                </w:tcPr>
                <w:p w14:paraId="4D624FE8" w14:textId="77777777" w:rsidR="00882821" w:rsidRPr="00E63524" w:rsidRDefault="00882821" w:rsidP="00C65F14">
                  <w:pPr>
                    <w:pStyle w:val="Default"/>
                    <w:rPr>
                      <w:rFonts w:ascii="Times New Roman" w:hAnsi="Times New Roman" w:cs="Times New Roman"/>
                      <w:sz w:val="21"/>
                      <w:szCs w:val="21"/>
                    </w:rPr>
                  </w:pPr>
                  <w:r w:rsidRPr="00E63524">
                    <w:rPr>
                      <w:rFonts w:ascii="Times New Roman" w:hAnsi="Times New Roman" w:cs="Times New Roman"/>
                      <w:sz w:val="21"/>
                      <w:szCs w:val="21"/>
                    </w:rPr>
                    <w:t>65,2%</w:t>
                  </w:r>
                </w:p>
              </w:tc>
            </w:tr>
          </w:tbl>
          <w:p w14:paraId="5557984B" w14:textId="77777777" w:rsidR="00882821" w:rsidRPr="00E63524" w:rsidRDefault="00882821" w:rsidP="0063155E">
            <w:pPr>
              <w:spacing w:line="240" w:lineRule="auto"/>
              <w:jc w:val="both"/>
              <w:rPr>
                <w:rFonts w:ascii="Times New Roman" w:hAnsi="Times New Roman"/>
                <w:color w:val="000000"/>
                <w:sz w:val="21"/>
                <w:szCs w:val="21"/>
              </w:rPr>
            </w:pPr>
          </w:p>
          <w:p w14:paraId="1C7A5B60" w14:textId="77777777" w:rsidR="00882821" w:rsidRPr="00E63524" w:rsidRDefault="00882821" w:rsidP="0063155E">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 xml:space="preserve">Reasumując wskazuje się, iż proponowane obniżenie limitu </w:t>
            </w:r>
            <w:proofErr w:type="spellStart"/>
            <w:r w:rsidRPr="00E63524">
              <w:rPr>
                <w:rFonts w:ascii="Times New Roman" w:hAnsi="Times New Roman"/>
                <w:color w:val="000000"/>
                <w:sz w:val="21"/>
                <w:szCs w:val="21"/>
              </w:rPr>
              <w:t>pozaodsetkowych</w:t>
            </w:r>
            <w:proofErr w:type="spellEnd"/>
            <w:r>
              <w:rPr>
                <w:rFonts w:ascii="Times New Roman" w:hAnsi="Times New Roman"/>
                <w:color w:val="000000"/>
                <w:sz w:val="21"/>
                <w:szCs w:val="21"/>
              </w:rPr>
              <w:t xml:space="preserve"> kosztów kredytu konsumenckiego</w:t>
            </w:r>
            <w:r w:rsidRPr="00E63524">
              <w:rPr>
                <w:rFonts w:ascii="Times New Roman" w:hAnsi="Times New Roman"/>
                <w:color w:val="000000"/>
                <w:sz w:val="21"/>
                <w:szCs w:val="21"/>
              </w:rPr>
              <w:t xml:space="preserve"> </w:t>
            </w:r>
            <w:r>
              <w:rPr>
                <w:rFonts w:ascii="Times New Roman" w:hAnsi="Times New Roman"/>
                <w:color w:val="000000"/>
                <w:sz w:val="21"/>
                <w:szCs w:val="21"/>
              </w:rPr>
              <w:t xml:space="preserve">w dłuższej perspektywie czasowej może wpłynąć niekorzystnie </w:t>
            </w:r>
            <w:r w:rsidRPr="00E63524">
              <w:rPr>
                <w:rFonts w:ascii="Times New Roman" w:hAnsi="Times New Roman"/>
                <w:color w:val="000000"/>
                <w:sz w:val="21"/>
                <w:szCs w:val="21"/>
              </w:rPr>
              <w:t>na wielkości szczegółowo przedstawione w tabeli powyżej.</w:t>
            </w:r>
          </w:p>
          <w:p w14:paraId="1D103B75" w14:textId="77777777" w:rsidR="00882821" w:rsidRPr="00E63524" w:rsidRDefault="00882821" w:rsidP="0063155E">
            <w:pPr>
              <w:spacing w:line="240" w:lineRule="auto"/>
              <w:jc w:val="both"/>
              <w:rPr>
                <w:rFonts w:ascii="Times New Roman" w:hAnsi="Times New Roman"/>
                <w:color w:val="000000"/>
                <w:sz w:val="21"/>
                <w:szCs w:val="21"/>
              </w:rPr>
            </w:pPr>
          </w:p>
          <w:p w14:paraId="12C5B938" w14:textId="77777777" w:rsidR="00882821" w:rsidRDefault="00882821" w:rsidP="001919D2">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Rynek pożyczek gotówkowych podlega nieustannym zmianom. Obserwowane zmiany dotyczą nie tylko banków, ale również firm pożyczkowych, które przodują w naszym kraju w innowacyjnych rozwiązaniach technologicznych.</w:t>
            </w:r>
            <w:r w:rsidRPr="00E63524">
              <w:rPr>
                <w:rStyle w:val="Odwoanieprzypisudolnego"/>
                <w:rFonts w:ascii="Times New Roman" w:hAnsi="Times New Roman"/>
                <w:color w:val="000000"/>
                <w:sz w:val="21"/>
                <w:szCs w:val="21"/>
              </w:rPr>
              <w:footnoteReference w:id="19"/>
            </w:r>
            <w:r w:rsidRPr="00E63524">
              <w:rPr>
                <w:rFonts w:ascii="Times New Roman" w:hAnsi="Times New Roman"/>
                <w:color w:val="000000"/>
                <w:sz w:val="21"/>
                <w:szCs w:val="21"/>
              </w:rPr>
              <w:t xml:space="preserve"> Przedmiotowe zmiany mogą stanowić pewnego rodzaju </w:t>
            </w:r>
            <w:r>
              <w:rPr>
                <w:rFonts w:ascii="Times New Roman" w:hAnsi="Times New Roman"/>
                <w:color w:val="000000"/>
                <w:sz w:val="21"/>
                <w:szCs w:val="21"/>
              </w:rPr>
              <w:t>impuls</w:t>
            </w:r>
            <w:r w:rsidRPr="00E63524">
              <w:rPr>
                <w:rFonts w:ascii="Times New Roman" w:hAnsi="Times New Roman"/>
                <w:color w:val="000000"/>
                <w:sz w:val="21"/>
                <w:szCs w:val="21"/>
              </w:rPr>
              <w:t xml:space="preserve"> i</w:t>
            </w:r>
            <w:r>
              <w:rPr>
                <w:rFonts w:ascii="Times New Roman" w:hAnsi="Times New Roman"/>
                <w:color w:val="000000"/>
                <w:sz w:val="21"/>
                <w:szCs w:val="21"/>
              </w:rPr>
              <w:t> </w:t>
            </w:r>
            <w:r w:rsidRPr="00E63524">
              <w:rPr>
                <w:rFonts w:ascii="Times New Roman" w:hAnsi="Times New Roman"/>
                <w:color w:val="000000"/>
                <w:sz w:val="21"/>
                <w:szCs w:val="21"/>
              </w:rPr>
              <w:t xml:space="preserve">wpłynąć motywująco na branżę pożyczkową. Funkcjonowanie w nowym otoczeniu regulacyjnym, nieustanna konkurencja na rynku przy jednoczesnym znacznym popycie na pożyczki w istotny sposób wpływają na innowacyjność przedsiębiorstw udzielających pożyczek. Proponowane zmiany </w:t>
            </w:r>
            <w:r>
              <w:rPr>
                <w:rFonts w:ascii="Times New Roman" w:hAnsi="Times New Roman"/>
                <w:color w:val="000000"/>
                <w:sz w:val="21"/>
                <w:szCs w:val="21"/>
              </w:rPr>
              <w:t xml:space="preserve">regulacyjne </w:t>
            </w:r>
            <w:r w:rsidRPr="00E63524">
              <w:rPr>
                <w:rFonts w:ascii="Times New Roman" w:hAnsi="Times New Roman"/>
                <w:color w:val="000000"/>
                <w:sz w:val="21"/>
                <w:szCs w:val="21"/>
              </w:rPr>
              <w:t>mogą skłonić przedsiębiorców do rozszerzenia prowadzonej działalności, wprowadzania nowych innowacyjnych produktów lub zwiększenia  działań marketingowych. Jednocześnie w przypadku znacznego spadku rentowności nie jest możliwe wykluczenie zmniejszenia się liczby podmiotów świadczących usługi pożyczkowe.</w:t>
            </w:r>
          </w:p>
          <w:p w14:paraId="465F5849" w14:textId="77777777" w:rsidR="00882821" w:rsidRPr="000809F9" w:rsidRDefault="00882821" w:rsidP="001919D2">
            <w:pPr>
              <w:spacing w:line="240" w:lineRule="auto"/>
              <w:jc w:val="both"/>
              <w:rPr>
                <w:rFonts w:ascii="Times New Roman" w:hAnsi="Times New Roman"/>
                <w:color w:val="000000"/>
                <w:sz w:val="20"/>
              </w:rPr>
            </w:pPr>
          </w:p>
          <w:p w14:paraId="52CAB22C" w14:textId="77777777" w:rsidR="00882821" w:rsidRPr="00862FEE" w:rsidRDefault="00882821" w:rsidP="00412049">
            <w:pPr>
              <w:spacing w:line="240" w:lineRule="auto"/>
              <w:jc w:val="both"/>
              <w:rPr>
                <w:rFonts w:ascii="Times New Roman" w:hAnsi="Times New Roman"/>
                <w:b/>
                <w:sz w:val="21"/>
                <w:szCs w:val="21"/>
              </w:rPr>
            </w:pPr>
            <w:r w:rsidRPr="00862FEE">
              <w:rPr>
                <w:rFonts w:ascii="Times New Roman" w:hAnsi="Times New Roman"/>
                <w:sz w:val="21"/>
                <w:szCs w:val="21"/>
              </w:rPr>
              <w:t xml:space="preserve">W grudniu 2018 r. w bazie Biurze Informacji Kredytowej było zarejestrowanych 15 377 tys. </w:t>
            </w:r>
            <w:r w:rsidRPr="00862FEE">
              <w:rPr>
                <w:rFonts w:ascii="Times New Roman" w:hAnsi="Times New Roman"/>
                <w:sz w:val="21"/>
                <w:szCs w:val="21"/>
              </w:rPr>
              <w:lastRenderedPageBreak/>
              <w:t>klientów obu sektorów, bankowego i pożyczkowego, posiadających czynne zobowiązania. W grudniu 2017 r. było ich o 70 tys. mniej (wzrost w 2018 r. o 0,46%). Niemal cały ten niewielki wzrost miał miejsce w I półroczu, w II półroczu liczba klientów była stabilna. W sektorze bankowym liczba kredytobiorców wzrosła w 2018 r. o 35 tys. osób (0,23%), natomiast w sektorze pożyczkowym o 92 tys. osób (o 19,1%).</w:t>
            </w:r>
            <w:r w:rsidRPr="00862FEE">
              <w:rPr>
                <w:rFonts w:ascii="Times New Roman" w:hAnsi="Times New Roman"/>
                <w:b/>
                <w:sz w:val="21"/>
                <w:szCs w:val="21"/>
              </w:rPr>
              <w:t xml:space="preserve"> </w:t>
            </w:r>
          </w:p>
          <w:p w14:paraId="45223107" w14:textId="77777777" w:rsidR="00882821" w:rsidRPr="00862FEE" w:rsidRDefault="00882821" w:rsidP="00412049">
            <w:pPr>
              <w:autoSpaceDE w:val="0"/>
              <w:autoSpaceDN w:val="0"/>
              <w:adjustRightInd w:val="0"/>
              <w:spacing w:line="240" w:lineRule="auto"/>
              <w:rPr>
                <w:rFonts w:ascii="Times New Roman" w:hAnsi="Times New Roman"/>
                <w:sz w:val="21"/>
                <w:szCs w:val="21"/>
                <w:lang w:eastAsia="pl-PL"/>
              </w:rPr>
            </w:pPr>
            <w:r w:rsidRPr="00862FEE">
              <w:rPr>
                <w:rFonts w:ascii="Times New Roman" w:hAnsi="Times New Roman"/>
                <w:sz w:val="21"/>
                <w:szCs w:val="21"/>
                <w:lang w:eastAsia="pl-PL"/>
              </w:rPr>
              <w:t>Zadłużenie gospodarstw domowych w grudniu 2018 r. wyniosło 628 mld zł, wzrosło w ciągu roku o</w:t>
            </w:r>
            <w:r>
              <w:rPr>
                <w:rFonts w:ascii="Times New Roman" w:hAnsi="Times New Roman"/>
                <w:sz w:val="21"/>
                <w:szCs w:val="21"/>
                <w:lang w:eastAsia="pl-PL"/>
              </w:rPr>
              <w:t> </w:t>
            </w:r>
            <w:r w:rsidRPr="00862FEE">
              <w:rPr>
                <w:rFonts w:ascii="Times New Roman" w:hAnsi="Times New Roman"/>
                <w:sz w:val="21"/>
                <w:szCs w:val="21"/>
                <w:lang w:eastAsia="pl-PL"/>
              </w:rPr>
              <w:t>45,5 mld zł (7,8%). W grudniu 2018 r. frank szwajcarski był droższy niż przed rokiem o 24,5 gr. Z tego powodu zadłużenie osób prywatnych wzrosło o 10 mld zł, oznacza to, że 22% przyrostu zadłużenia osób prywatnych w 2018 r. było skutkiem różnic kursowych.</w:t>
            </w:r>
            <w:r w:rsidRPr="00862FEE">
              <w:rPr>
                <w:rStyle w:val="Odwoanieprzypisudolnego"/>
                <w:rFonts w:ascii="Times New Roman" w:hAnsi="Times New Roman"/>
                <w:sz w:val="21"/>
                <w:szCs w:val="21"/>
                <w:lang w:eastAsia="pl-PL"/>
              </w:rPr>
              <w:footnoteReference w:id="20"/>
            </w:r>
          </w:p>
          <w:p w14:paraId="4BBFBAB9" w14:textId="77777777" w:rsidR="00882821" w:rsidRPr="00862FEE" w:rsidRDefault="00882821" w:rsidP="00412049">
            <w:pPr>
              <w:autoSpaceDE w:val="0"/>
              <w:autoSpaceDN w:val="0"/>
              <w:adjustRightInd w:val="0"/>
              <w:spacing w:line="240" w:lineRule="auto"/>
              <w:rPr>
                <w:rFonts w:ascii="Times New Roman" w:hAnsi="Times New Roman"/>
                <w:sz w:val="21"/>
                <w:szCs w:val="21"/>
                <w:lang w:eastAsia="pl-PL"/>
              </w:rPr>
            </w:pPr>
          </w:p>
          <w:p w14:paraId="156B3B9A" w14:textId="77777777" w:rsidR="00882821" w:rsidRPr="00862FEE" w:rsidRDefault="00882821" w:rsidP="00412049">
            <w:pPr>
              <w:spacing w:line="240" w:lineRule="auto"/>
              <w:jc w:val="both"/>
              <w:rPr>
                <w:rFonts w:ascii="Times New Roman" w:hAnsi="Times New Roman"/>
                <w:sz w:val="21"/>
                <w:szCs w:val="21"/>
                <w:lang w:eastAsia="pl-PL"/>
              </w:rPr>
            </w:pPr>
            <w:r w:rsidRPr="00862FEE">
              <w:rPr>
                <w:rFonts w:ascii="Times New Roman" w:hAnsi="Times New Roman"/>
                <w:sz w:val="21"/>
                <w:szCs w:val="21"/>
              </w:rPr>
              <w:t>Wykres przedstawia z</w:t>
            </w:r>
            <w:r w:rsidRPr="00862FEE">
              <w:rPr>
                <w:rFonts w:ascii="Times New Roman" w:hAnsi="Times New Roman"/>
                <w:sz w:val="21"/>
                <w:szCs w:val="21"/>
                <w:lang w:eastAsia="pl-PL"/>
              </w:rPr>
              <w:t>adłużenie (w mld zł) osób prywatnych w sektorach bankowym i</w:t>
            </w:r>
            <w:r>
              <w:rPr>
                <w:rFonts w:ascii="Times New Roman" w:hAnsi="Times New Roman"/>
                <w:sz w:val="21"/>
                <w:szCs w:val="21"/>
                <w:lang w:eastAsia="pl-PL"/>
              </w:rPr>
              <w:t> </w:t>
            </w:r>
            <w:r w:rsidRPr="00862FEE">
              <w:rPr>
                <w:rFonts w:ascii="Times New Roman" w:hAnsi="Times New Roman"/>
                <w:sz w:val="21"/>
                <w:szCs w:val="21"/>
                <w:lang w:eastAsia="pl-PL"/>
              </w:rPr>
              <w:t>pożyczkowym łącznie</w:t>
            </w:r>
          </w:p>
          <w:p w14:paraId="4DDA481B" w14:textId="77777777" w:rsidR="00882821" w:rsidRPr="00862FEE" w:rsidRDefault="00882821" w:rsidP="009378C2">
            <w:pPr>
              <w:spacing w:line="240" w:lineRule="auto"/>
              <w:jc w:val="center"/>
              <w:rPr>
                <w:rFonts w:ascii="Times New Roman" w:hAnsi="Times New Roman"/>
                <w:b/>
                <w:sz w:val="21"/>
                <w:szCs w:val="21"/>
              </w:rPr>
            </w:pPr>
            <w:r w:rsidRPr="00B547C6">
              <w:object w:dxaOrig="7575" w:dyaOrig="3975" w14:anchorId="3FBC2CBB">
                <v:shape id="_x0000_i1026" type="#_x0000_t75" style="width:379.5pt;height:198.75pt" o:ole="">
                  <v:imagedata r:id="rId14" o:title=""/>
                </v:shape>
                <o:OLEObject Type="Embed" ProgID="PBrush" ShapeID="_x0000_i1026" DrawAspect="Content" ObjectID="_1623231196" r:id="rId15"/>
              </w:object>
            </w:r>
          </w:p>
          <w:p w14:paraId="4A0D0063" w14:textId="77777777" w:rsidR="00882821" w:rsidRPr="00862FEE" w:rsidRDefault="00882821" w:rsidP="00412049">
            <w:pPr>
              <w:spacing w:line="240" w:lineRule="auto"/>
              <w:jc w:val="both"/>
              <w:rPr>
                <w:rFonts w:ascii="Times New Roman" w:hAnsi="Times New Roman"/>
                <w:b/>
                <w:sz w:val="21"/>
                <w:szCs w:val="21"/>
              </w:rPr>
            </w:pPr>
          </w:p>
          <w:p w14:paraId="6FD4A1DD" w14:textId="77777777" w:rsidR="00882821" w:rsidRPr="00862FEE" w:rsidRDefault="00882821" w:rsidP="009378C2">
            <w:pPr>
              <w:spacing w:line="240" w:lineRule="auto"/>
              <w:jc w:val="both"/>
              <w:rPr>
                <w:rFonts w:ascii="Times New Roman" w:hAnsi="Times New Roman"/>
                <w:sz w:val="21"/>
                <w:szCs w:val="21"/>
                <w:lang w:eastAsia="pl-PL"/>
              </w:rPr>
            </w:pPr>
            <w:r w:rsidRPr="00862FEE">
              <w:rPr>
                <w:rFonts w:ascii="Times New Roman" w:hAnsi="Times New Roman"/>
                <w:sz w:val="21"/>
                <w:szCs w:val="21"/>
              </w:rPr>
              <w:t>Powyższe dane wskazują na ciągły wzrost rynku bankowo-pożyczkowego w Polsce. Z</w:t>
            </w:r>
            <w:r w:rsidRPr="00862FEE">
              <w:rPr>
                <w:rFonts w:ascii="Times New Roman" w:hAnsi="Times New Roman"/>
                <w:sz w:val="21"/>
                <w:szCs w:val="21"/>
                <w:lang w:eastAsia="pl-PL"/>
              </w:rPr>
              <w:t>adłużenie osób prywatnych w sektorach bankowym i pożyczkowym łącznie w okresie od 2016 do grudnia 2018 r. wzrosło o 9%, co jednocześnie wpłynęło w odpowiedni sposób na aktywa przedsiębiorstw działających na rynku. Mając na uwadze powyższe nie zauważa się podstaw do gwałtownej, negatywnej reakcji rynku na zmiany otoczenia prawnego wywołane niniejszym projektem.</w:t>
            </w:r>
          </w:p>
          <w:p w14:paraId="4B529B90" w14:textId="77777777" w:rsidR="00882821" w:rsidRPr="00862FEE" w:rsidRDefault="00882821" w:rsidP="00412049">
            <w:pPr>
              <w:spacing w:line="240" w:lineRule="auto"/>
              <w:jc w:val="both"/>
              <w:rPr>
                <w:rFonts w:ascii="Times New Roman" w:hAnsi="Times New Roman"/>
                <w:sz w:val="21"/>
                <w:szCs w:val="21"/>
              </w:rPr>
            </w:pPr>
            <w:r w:rsidRPr="00862FEE">
              <w:rPr>
                <w:rFonts w:ascii="Times New Roman" w:hAnsi="Times New Roman"/>
                <w:sz w:val="21"/>
                <w:szCs w:val="21"/>
              </w:rPr>
              <w:t xml:space="preserve">Wymaga podkreślenia, że przeprowadzenie dokładnej analizy rentowności przedsiębiorstw działających na rynku bankowo-pożyczkowym w Polsce ze względu na liczebność podmiotów oraz złożoność prowadzonej przez nie działalności gospodarczej jest niemożliwa do dokonania Wskaźnik rentowności aktywów (ROA) szacowany jest na podstawie wartości aktywów przedsiębiorstwa oraz osiąganych zysków netto. Składowa obliczeń jaką są aktywa przedsiębiorstwa w sytuacji nowego otocznia prawnego może dynamicznie się zmieniać co utrudnia przyjęcie jakichkolwiek założeń do obliczeń. </w:t>
            </w:r>
          </w:p>
          <w:p w14:paraId="3B26BBF4" w14:textId="77777777" w:rsidR="00882821" w:rsidRPr="00862FEE" w:rsidRDefault="00882821" w:rsidP="00412049">
            <w:pPr>
              <w:spacing w:line="240" w:lineRule="auto"/>
              <w:jc w:val="both"/>
              <w:rPr>
                <w:rFonts w:ascii="Times New Roman" w:hAnsi="Times New Roman"/>
                <w:sz w:val="21"/>
                <w:szCs w:val="21"/>
              </w:rPr>
            </w:pPr>
          </w:p>
          <w:p w14:paraId="580554E8" w14:textId="77777777" w:rsidR="00882821" w:rsidRPr="00862FEE" w:rsidRDefault="00882821" w:rsidP="00412049">
            <w:pPr>
              <w:spacing w:line="240" w:lineRule="auto"/>
              <w:jc w:val="both"/>
              <w:rPr>
                <w:rFonts w:ascii="Times New Roman" w:hAnsi="Times New Roman"/>
                <w:sz w:val="21"/>
                <w:szCs w:val="21"/>
              </w:rPr>
            </w:pPr>
            <w:r w:rsidRPr="00862FEE">
              <w:rPr>
                <w:rFonts w:ascii="Times New Roman" w:hAnsi="Times New Roman"/>
                <w:sz w:val="21"/>
                <w:szCs w:val="21"/>
              </w:rPr>
              <w:t>Niezależnie od wpływu proponowanych regulacji na sektor pożyczek należy mieć na uwadze zmiany zachodzące w gospodarce w sposób naturalny, zgodny z zasadami ekonomii. Zgodnie z</w:t>
            </w:r>
            <w:r>
              <w:rPr>
                <w:rFonts w:ascii="Times New Roman" w:hAnsi="Times New Roman"/>
                <w:sz w:val="21"/>
                <w:szCs w:val="21"/>
              </w:rPr>
              <w:t> </w:t>
            </w:r>
            <w:r w:rsidRPr="00862FEE">
              <w:rPr>
                <w:rFonts w:ascii="Times New Roman" w:hAnsi="Times New Roman"/>
                <w:sz w:val="21"/>
                <w:szCs w:val="21"/>
              </w:rPr>
              <w:t xml:space="preserve">raportem </w:t>
            </w:r>
            <w:r w:rsidRPr="00862FEE">
              <w:rPr>
                <w:rFonts w:ascii="Times New Roman" w:hAnsi="Times New Roman"/>
                <w:i/>
                <w:sz w:val="21"/>
                <w:szCs w:val="21"/>
              </w:rPr>
              <w:t xml:space="preserve">Sektor pożyczek </w:t>
            </w:r>
            <w:proofErr w:type="spellStart"/>
            <w:r w:rsidRPr="00862FEE">
              <w:rPr>
                <w:rFonts w:ascii="Times New Roman" w:hAnsi="Times New Roman"/>
                <w:i/>
                <w:sz w:val="21"/>
                <w:szCs w:val="21"/>
              </w:rPr>
              <w:t>pozabankowych</w:t>
            </w:r>
            <w:proofErr w:type="spellEnd"/>
            <w:r w:rsidRPr="00862FEE">
              <w:rPr>
                <w:rFonts w:ascii="Times New Roman" w:hAnsi="Times New Roman"/>
                <w:i/>
                <w:sz w:val="21"/>
                <w:szCs w:val="21"/>
              </w:rPr>
              <w:t xml:space="preserve"> – dwie strony rynku </w:t>
            </w:r>
            <w:r w:rsidRPr="00862FEE">
              <w:rPr>
                <w:rFonts w:ascii="Times New Roman" w:hAnsi="Times New Roman"/>
                <w:sz w:val="21"/>
                <w:szCs w:val="21"/>
              </w:rPr>
              <w:t xml:space="preserve">opracowanym przez Polski Związek Instytucji Pożyczkowych oraz Fundację Rozwoju Rynku Finansowego od 2020 r. zakładane jest wyhamowanie zarówno dynamiki wzrostu kredytów konsumpcyjnych, jak i poziomu ROA w sektorze pożyczek </w:t>
            </w:r>
            <w:proofErr w:type="spellStart"/>
            <w:r w:rsidRPr="00862FEE">
              <w:rPr>
                <w:rFonts w:ascii="Times New Roman" w:hAnsi="Times New Roman"/>
                <w:sz w:val="21"/>
                <w:szCs w:val="21"/>
              </w:rPr>
              <w:t>pozaban</w:t>
            </w:r>
            <w:r w:rsidRPr="00862FEE">
              <w:rPr>
                <w:rFonts w:ascii="Times New Roman" w:hAnsi="Times New Roman"/>
                <w:sz w:val="21"/>
                <w:szCs w:val="21"/>
              </w:rPr>
              <w:softHyphen/>
              <w:t>kowych</w:t>
            </w:r>
            <w:proofErr w:type="spellEnd"/>
            <w:r w:rsidRPr="00862FEE">
              <w:rPr>
                <w:rFonts w:ascii="Times New Roman" w:hAnsi="Times New Roman"/>
                <w:sz w:val="21"/>
                <w:szCs w:val="21"/>
              </w:rPr>
              <w:t>. Autorzy podnoszą, że wyczerpujący się potencjał wzrostowy polskiej gospodarki będzie wpływał negatywnie na dynamikę wzrostu szeregu sektorów rynku fi</w:t>
            </w:r>
            <w:r w:rsidRPr="00862FEE">
              <w:rPr>
                <w:rFonts w:ascii="Times New Roman" w:hAnsi="Times New Roman"/>
                <w:sz w:val="21"/>
                <w:szCs w:val="21"/>
              </w:rPr>
              <w:softHyphen/>
              <w:t>nansowego. Jednocześnie przewidywana jest w obszarze regulacyjnym postępująca ochrona konsumenta usług finansowych generująca po stronie firm pożycz</w:t>
            </w:r>
            <w:r w:rsidRPr="00862FEE">
              <w:rPr>
                <w:rFonts w:ascii="Times New Roman" w:hAnsi="Times New Roman"/>
                <w:sz w:val="21"/>
                <w:szCs w:val="21"/>
              </w:rPr>
              <w:softHyphen/>
              <w:t>kowych odpowiednie obowiązki i</w:t>
            </w:r>
            <w:r>
              <w:rPr>
                <w:rFonts w:ascii="Times New Roman" w:hAnsi="Times New Roman"/>
                <w:sz w:val="21"/>
                <w:szCs w:val="21"/>
              </w:rPr>
              <w:t> </w:t>
            </w:r>
            <w:r w:rsidRPr="00862FEE">
              <w:rPr>
                <w:rFonts w:ascii="Times New Roman" w:hAnsi="Times New Roman"/>
                <w:sz w:val="21"/>
                <w:szCs w:val="21"/>
              </w:rPr>
              <w:t>koszty.</w:t>
            </w:r>
            <w:r w:rsidRPr="00862FEE">
              <w:rPr>
                <w:rStyle w:val="Odwoanieprzypisudolnego"/>
                <w:rFonts w:ascii="Times New Roman" w:hAnsi="Times New Roman"/>
                <w:sz w:val="21"/>
                <w:szCs w:val="21"/>
              </w:rPr>
              <w:footnoteReference w:id="21"/>
            </w:r>
          </w:p>
          <w:p w14:paraId="5F973D3E" w14:textId="77777777" w:rsidR="00882821" w:rsidRDefault="00882821" w:rsidP="00412049">
            <w:pPr>
              <w:spacing w:line="240" w:lineRule="auto"/>
              <w:jc w:val="both"/>
              <w:rPr>
                <w:rFonts w:ascii="Times New Roman" w:hAnsi="Times New Roman"/>
                <w:b/>
                <w:color w:val="000000"/>
                <w:sz w:val="21"/>
                <w:szCs w:val="21"/>
              </w:rPr>
            </w:pPr>
          </w:p>
          <w:p w14:paraId="4815621E" w14:textId="77777777" w:rsidR="00882821" w:rsidRPr="002563BC" w:rsidRDefault="00882821" w:rsidP="00220D6E">
            <w:pPr>
              <w:spacing w:line="240" w:lineRule="auto"/>
              <w:jc w:val="both"/>
              <w:rPr>
                <w:rFonts w:ascii="Times New Roman" w:hAnsi="Times New Roman"/>
                <w:sz w:val="21"/>
                <w:szCs w:val="21"/>
              </w:rPr>
            </w:pPr>
            <w:r>
              <w:rPr>
                <w:rFonts w:ascii="Times New Roman" w:hAnsi="Times New Roman"/>
                <w:color w:val="000000"/>
                <w:sz w:val="21"/>
                <w:szCs w:val="21"/>
              </w:rPr>
              <w:t xml:space="preserve">Analizując </w:t>
            </w:r>
            <w:r w:rsidRPr="002563BC">
              <w:rPr>
                <w:rFonts w:ascii="Times New Roman" w:hAnsi="Times New Roman"/>
                <w:sz w:val="21"/>
                <w:szCs w:val="21"/>
              </w:rPr>
              <w:t xml:space="preserve">sytuację na rynku kredytów konsumpcyjnych zauważa się, że po okresie boomu w latach 2007-2008, a następnie znaczących spadkach w latach 2011-2012, transakcje w formie kredytów konsumpcyjnych w I kw. 2017 utrzymywały się w trendzie wzrostowym. </w:t>
            </w:r>
          </w:p>
          <w:p w14:paraId="7761F6A1" w14:textId="77777777" w:rsidR="00882821" w:rsidRPr="002563BC" w:rsidRDefault="00882821" w:rsidP="00220D6E">
            <w:pPr>
              <w:spacing w:line="240" w:lineRule="auto"/>
              <w:jc w:val="both"/>
              <w:rPr>
                <w:rFonts w:ascii="Times New Roman" w:hAnsi="Times New Roman"/>
                <w:sz w:val="21"/>
                <w:szCs w:val="21"/>
              </w:rPr>
            </w:pPr>
            <w:r w:rsidRPr="002563BC">
              <w:rPr>
                <w:rFonts w:ascii="Times New Roman" w:hAnsi="Times New Roman"/>
                <w:sz w:val="21"/>
                <w:szCs w:val="21"/>
              </w:rPr>
              <w:t>Wykres przedstawia transakcje w formie kredytów konsumpcyjnych (w mld zł).</w:t>
            </w:r>
            <w:r w:rsidRPr="002563BC">
              <w:rPr>
                <w:rStyle w:val="Odwoanieprzypisudolnego"/>
                <w:rFonts w:ascii="Times New Roman" w:hAnsi="Times New Roman"/>
                <w:sz w:val="21"/>
                <w:szCs w:val="21"/>
              </w:rPr>
              <w:footnoteReference w:id="22"/>
            </w:r>
          </w:p>
          <w:p w14:paraId="043F879C" w14:textId="77777777" w:rsidR="00882821" w:rsidRDefault="00882821" w:rsidP="00C05259">
            <w:pPr>
              <w:spacing w:line="240" w:lineRule="auto"/>
              <w:jc w:val="center"/>
              <w:rPr>
                <w:rFonts w:ascii="Times New Roman" w:hAnsi="Times New Roman"/>
                <w:color w:val="000000"/>
                <w:sz w:val="21"/>
                <w:szCs w:val="21"/>
              </w:rPr>
            </w:pPr>
            <w:r>
              <w:object w:dxaOrig="7095" w:dyaOrig="5520" w14:anchorId="310CD3C2">
                <v:shape id="_x0000_i1027" type="#_x0000_t75" style="width:324pt;height:153.75pt" o:ole="">
                  <v:imagedata r:id="rId16" o:title=""/>
                </v:shape>
                <o:OLEObject Type="Embed" ProgID="PBrush" ShapeID="_x0000_i1027" DrawAspect="Content" ObjectID="_1623231197" r:id="rId17"/>
              </w:object>
            </w:r>
          </w:p>
          <w:p w14:paraId="14422EBC" w14:textId="77777777" w:rsidR="00882821" w:rsidRPr="00D83EC1" w:rsidRDefault="00882821" w:rsidP="00D83EC1">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Zgodnie ze stanowiskiem Komisji Nadzoru Finansowego </w:t>
            </w:r>
            <w:r w:rsidRPr="00D83EC1">
              <w:rPr>
                <w:rFonts w:ascii="Times New Roman" w:hAnsi="Times New Roman"/>
                <w:color w:val="000000"/>
                <w:sz w:val="21"/>
                <w:szCs w:val="21"/>
              </w:rPr>
              <w:t xml:space="preserve">sytuacja finansowa banków </w:t>
            </w:r>
            <w:r>
              <w:rPr>
                <w:rFonts w:ascii="Times New Roman" w:hAnsi="Times New Roman"/>
                <w:color w:val="000000"/>
                <w:sz w:val="21"/>
                <w:szCs w:val="21"/>
              </w:rPr>
              <w:t>w</w:t>
            </w:r>
            <w:r w:rsidRPr="00D83EC1">
              <w:rPr>
                <w:rFonts w:ascii="Times New Roman" w:hAnsi="Times New Roman"/>
                <w:color w:val="000000"/>
                <w:sz w:val="21"/>
                <w:szCs w:val="21"/>
              </w:rPr>
              <w:t xml:space="preserve"> 2018 r. była dobra, dzięki wysokiemu tempu wzrostu gospodarki. Banki nie miały problemów z płynnością, spełniały normę płynności krótkoterminowej w 100%. Wynik finansowy netto sektora bankowego w okresie I-IX 2018 r. wyniósł 11 629 mln zł i był o 10,8% wyższy niż w okresie I-IX 2017 r. W</w:t>
            </w:r>
            <w:r>
              <w:rPr>
                <w:rFonts w:ascii="Times New Roman" w:hAnsi="Times New Roman"/>
                <w:color w:val="000000"/>
                <w:sz w:val="21"/>
                <w:szCs w:val="21"/>
              </w:rPr>
              <w:t> </w:t>
            </w:r>
            <w:r w:rsidRPr="00D83EC1">
              <w:rPr>
                <w:rFonts w:ascii="Times New Roman" w:hAnsi="Times New Roman"/>
                <w:color w:val="000000"/>
                <w:sz w:val="21"/>
                <w:szCs w:val="21"/>
              </w:rPr>
              <w:t>bankach komercyjnych nastąpiła poprawa wyników o 13,3%, podczas gdy w bankach spółdzielczych uległy one obniżeniu o 12,1%, podobnie jak w oddziałach instytucji kredytowych (o</w:t>
            </w:r>
            <w:r>
              <w:t> </w:t>
            </w:r>
            <w:r w:rsidRPr="00D83EC1">
              <w:rPr>
                <w:rFonts w:ascii="Times New Roman" w:hAnsi="Times New Roman"/>
                <w:color w:val="000000"/>
                <w:sz w:val="21"/>
                <w:szCs w:val="21"/>
              </w:rPr>
              <w:t xml:space="preserve">19,1%). </w:t>
            </w:r>
          </w:p>
          <w:p w14:paraId="4A07AB94" w14:textId="77777777" w:rsidR="00882821" w:rsidRPr="00D83EC1" w:rsidRDefault="00882821" w:rsidP="00D83EC1">
            <w:pPr>
              <w:spacing w:line="240" w:lineRule="auto"/>
              <w:jc w:val="both"/>
              <w:rPr>
                <w:rFonts w:ascii="Times New Roman" w:hAnsi="Times New Roman"/>
                <w:color w:val="000000"/>
                <w:sz w:val="21"/>
                <w:szCs w:val="21"/>
              </w:rPr>
            </w:pPr>
            <w:r w:rsidRPr="00D83EC1">
              <w:rPr>
                <w:rFonts w:ascii="Times New Roman" w:hAnsi="Times New Roman"/>
                <w:color w:val="000000"/>
                <w:sz w:val="21"/>
                <w:szCs w:val="21"/>
              </w:rPr>
              <w:tab/>
              <w:t>Przychody operacyjne netto sektora bankowego w okresie I-IX 2018 r. wzrosły o</w:t>
            </w:r>
            <w:r>
              <w:rPr>
                <w:rFonts w:ascii="Times New Roman" w:hAnsi="Times New Roman"/>
                <w:color w:val="000000"/>
                <w:sz w:val="21"/>
                <w:szCs w:val="21"/>
              </w:rPr>
              <w:t> </w:t>
            </w:r>
            <w:r w:rsidRPr="00D83EC1">
              <w:rPr>
                <w:rFonts w:ascii="Times New Roman" w:hAnsi="Times New Roman"/>
                <w:color w:val="000000"/>
                <w:sz w:val="21"/>
                <w:szCs w:val="21"/>
              </w:rPr>
              <w:t>2</w:t>
            </w:r>
            <w:r>
              <w:rPr>
                <w:rFonts w:ascii="Times New Roman" w:hAnsi="Times New Roman"/>
                <w:color w:val="000000"/>
                <w:sz w:val="21"/>
                <w:szCs w:val="21"/>
              </w:rPr>
              <w:t> </w:t>
            </w:r>
            <w:r w:rsidRPr="00D83EC1">
              <w:rPr>
                <w:rFonts w:ascii="Times New Roman" w:hAnsi="Times New Roman"/>
                <w:color w:val="000000"/>
                <w:sz w:val="21"/>
                <w:szCs w:val="21"/>
              </w:rPr>
              <w:t>779</w:t>
            </w:r>
            <w:r>
              <w:rPr>
                <w:rFonts w:ascii="Times New Roman" w:hAnsi="Times New Roman"/>
                <w:color w:val="000000"/>
                <w:sz w:val="21"/>
                <w:szCs w:val="21"/>
              </w:rPr>
              <w:t> </w:t>
            </w:r>
            <w:r w:rsidRPr="00D83EC1">
              <w:rPr>
                <w:rFonts w:ascii="Times New Roman" w:hAnsi="Times New Roman"/>
                <w:color w:val="000000"/>
                <w:sz w:val="21"/>
                <w:szCs w:val="21"/>
              </w:rPr>
              <w:t>mln</w:t>
            </w:r>
            <w:r>
              <w:rPr>
                <w:rFonts w:ascii="Times New Roman" w:hAnsi="Times New Roman"/>
                <w:color w:val="000000"/>
                <w:sz w:val="21"/>
                <w:szCs w:val="21"/>
              </w:rPr>
              <w:t> </w:t>
            </w:r>
            <w:r w:rsidRPr="00D83EC1">
              <w:rPr>
                <w:rFonts w:ascii="Times New Roman" w:hAnsi="Times New Roman"/>
                <w:color w:val="000000"/>
                <w:sz w:val="21"/>
                <w:szCs w:val="21"/>
              </w:rPr>
              <w:t xml:space="preserve">zł (5.9%) w stosunku do analogicznego okresu roku poprzedniego, głównie dzięki wzrostowi dochodu odsetkowego uzyskanego na aktywach dochodowych. Wzrost przychodów odsetkowych  był znacząco wyższy niż wzrost kosztów odsetkowych. Przychody odsetkowe wzrosły dzięki ich zwiększeniu z tytułu kredytów konsumpcyjnych (o 1 035 mln zł, 9,2%), mieszkaniowych (o 613 mln zł, 8%) i od sektora przedsiębiorstw (513 mln zł, 5,6%). Jednocześnie w porównaniu do roku poprzedniego tempo przyrostu wartości kredytów dla gospodarstw domowych spadło w przypadku kredytów konsumpcyjnych albo utrzymało się na tym samym poziomie w przypadku pozostałych kredytów. Udział kredytów zagrożonych w spłacie pozostaje stabilny. </w:t>
            </w:r>
          </w:p>
          <w:p w14:paraId="234E18F8" w14:textId="77777777" w:rsidR="00882821" w:rsidRDefault="00882821" w:rsidP="00D83EC1">
            <w:pPr>
              <w:spacing w:line="240" w:lineRule="auto"/>
              <w:jc w:val="both"/>
              <w:rPr>
                <w:rFonts w:ascii="Times New Roman" w:hAnsi="Times New Roman"/>
                <w:color w:val="000000"/>
                <w:sz w:val="21"/>
                <w:szCs w:val="21"/>
              </w:rPr>
            </w:pPr>
            <w:r w:rsidRPr="00D83EC1">
              <w:rPr>
                <w:rFonts w:ascii="Times New Roman" w:hAnsi="Times New Roman"/>
                <w:color w:val="000000"/>
                <w:sz w:val="21"/>
                <w:szCs w:val="21"/>
              </w:rPr>
              <w:t>Wartość bilansowa brutto kredytów ulega zwiększeniu dzięki dobrej sytuacji gospodarczej i na rynku pracy. Konsumenci i przedsiębiorcy są optymistyczni, co zachęca ich do korzystania z</w:t>
            </w:r>
            <w:r>
              <w:rPr>
                <w:rFonts w:ascii="Times New Roman" w:hAnsi="Times New Roman"/>
                <w:color w:val="000000"/>
                <w:sz w:val="21"/>
                <w:szCs w:val="21"/>
              </w:rPr>
              <w:t> </w:t>
            </w:r>
            <w:r w:rsidRPr="00D83EC1">
              <w:rPr>
                <w:rFonts w:ascii="Times New Roman" w:hAnsi="Times New Roman"/>
                <w:color w:val="000000"/>
                <w:sz w:val="21"/>
                <w:szCs w:val="21"/>
              </w:rPr>
              <w:t>kredytów. Dużą rolę odgrywają również niskie stopy procentowe. Niektór</w:t>
            </w:r>
            <w:r>
              <w:rPr>
                <w:rFonts w:ascii="Times New Roman" w:hAnsi="Times New Roman"/>
                <w:color w:val="000000"/>
                <w:sz w:val="21"/>
                <w:szCs w:val="21"/>
              </w:rPr>
              <w:t xml:space="preserve">e gospodarstwa domowe mogą być </w:t>
            </w:r>
            <w:r w:rsidRPr="00D83EC1">
              <w:rPr>
                <w:rFonts w:ascii="Times New Roman" w:hAnsi="Times New Roman"/>
                <w:color w:val="000000"/>
                <w:sz w:val="21"/>
                <w:szCs w:val="21"/>
              </w:rPr>
              <w:t>zachęcone do akcji kredytowej przez program „Rodzina 500+”, choć jednocześnie środki z tego programu mogą też sprawiać, że swoje potrzeby konsumpcyjne rodziny zaspokajają bez korzystania z kredytów. Część banków zmieniła swoje strategie, chcąc zwiększyć udział kredytów krótkoterminowych. Analiza rynku wskazuje, że niektóre banki oferują darmowe kredyty na kilka tysięcy złotych na okres do 12 miesięcy, inne oferują kredyty z niskim oprocentowaniem na okres do 2 lub 3 lat.</w:t>
            </w:r>
          </w:p>
          <w:p w14:paraId="0620B186" w14:textId="77777777" w:rsidR="00882821" w:rsidRDefault="00882821" w:rsidP="0063155E">
            <w:pPr>
              <w:spacing w:line="240" w:lineRule="auto"/>
              <w:jc w:val="both"/>
              <w:rPr>
                <w:rFonts w:ascii="Times New Roman" w:hAnsi="Times New Roman"/>
                <w:color w:val="FF0000"/>
                <w:sz w:val="21"/>
                <w:szCs w:val="21"/>
              </w:rPr>
            </w:pPr>
          </w:p>
          <w:p w14:paraId="2F470379" w14:textId="77777777" w:rsidR="00882821" w:rsidRPr="00E63524" w:rsidRDefault="00882821" w:rsidP="0063155E">
            <w:pPr>
              <w:spacing w:line="240" w:lineRule="auto"/>
              <w:jc w:val="both"/>
              <w:rPr>
                <w:rFonts w:ascii="Times New Roman" w:hAnsi="Times New Roman"/>
                <w:b/>
                <w:color w:val="000000"/>
                <w:sz w:val="21"/>
                <w:szCs w:val="21"/>
              </w:rPr>
            </w:pPr>
            <w:r w:rsidRPr="00E63524">
              <w:rPr>
                <w:rFonts w:ascii="Times New Roman" w:hAnsi="Times New Roman"/>
                <w:b/>
                <w:color w:val="000000"/>
                <w:sz w:val="21"/>
                <w:szCs w:val="21"/>
              </w:rPr>
              <w:t>Wpływ na konsumentów</w:t>
            </w:r>
          </w:p>
          <w:p w14:paraId="525D0FB9" w14:textId="77777777" w:rsidR="00882821" w:rsidRPr="00E63524" w:rsidRDefault="00882821" w:rsidP="00964474">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Z punktu widzenia ochrony konsumentów proponowane rozwiązania są korzystne przede wszystkim w odniesieniu do ograniczania nadmiernego zadłużenia.</w:t>
            </w:r>
          </w:p>
          <w:p w14:paraId="57311315" w14:textId="77777777" w:rsidR="00882821" w:rsidRPr="00E63524" w:rsidRDefault="00882821" w:rsidP="00E63524">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Wykres poniżej przedstawia źródła finansowania klientów firm pożyczkowych.</w:t>
            </w:r>
            <w:r w:rsidRPr="00E63524">
              <w:rPr>
                <w:rStyle w:val="Odwoanieprzypisudolnego"/>
                <w:rFonts w:ascii="Times New Roman" w:hAnsi="Times New Roman"/>
                <w:color w:val="000000"/>
                <w:sz w:val="21"/>
                <w:szCs w:val="21"/>
              </w:rPr>
              <w:footnoteReference w:id="23"/>
            </w:r>
          </w:p>
          <w:p w14:paraId="10B5F588" w14:textId="77777777" w:rsidR="00882821" w:rsidRPr="00E63524" w:rsidRDefault="00882821" w:rsidP="00E63524">
            <w:pPr>
              <w:spacing w:line="240" w:lineRule="auto"/>
              <w:jc w:val="center"/>
              <w:rPr>
                <w:rFonts w:ascii="Times New Roman" w:hAnsi="Times New Roman"/>
                <w:color w:val="000000"/>
                <w:sz w:val="21"/>
                <w:szCs w:val="21"/>
              </w:rPr>
            </w:pPr>
            <w:r w:rsidRPr="00E63524">
              <w:rPr>
                <w:rFonts w:ascii="Times New Roman" w:hAnsi="Times New Roman"/>
              </w:rPr>
              <w:object w:dxaOrig="3975" w:dyaOrig="4020" w14:anchorId="54249171">
                <v:shape id="_x0000_i1028" type="#_x0000_t75" style="width:198.75pt;height:201pt" o:ole="">
                  <v:imagedata r:id="rId18" o:title=""/>
                </v:shape>
                <o:OLEObject Type="Embed" ProgID="PBrush" ShapeID="_x0000_i1028" DrawAspect="Content" ObjectID="_1623231198" r:id="rId19"/>
              </w:object>
            </w:r>
          </w:p>
          <w:p w14:paraId="2F992146" w14:textId="77777777" w:rsidR="00882821" w:rsidRDefault="00882821" w:rsidP="00E63524">
            <w:pPr>
              <w:spacing w:line="240" w:lineRule="auto"/>
              <w:jc w:val="both"/>
              <w:rPr>
                <w:rFonts w:ascii="Times New Roman" w:hAnsi="Times New Roman"/>
                <w:color w:val="000000"/>
                <w:sz w:val="21"/>
                <w:szCs w:val="21"/>
              </w:rPr>
            </w:pPr>
          </w:p>
          <w:p w14:paraId="209E3D1E" w14:textId="77777777" w:rsidR="00882821" w:rsidRDefault="00882821" w:rsidP="00D34BBE">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 xml:space="preserve">Analizując dostęp konsumentów do źródeł finansowania zwrócić należy uwagę, iż zgodnie z ww. danymi </w:t>
            </w:r>
            <w:r>
              <w:rPr>
                <w:rFonts w:ascii="Times New Roman" w:hAnsi="Times New Roman"/>
                <w:color w:val="000000"/>
                <w:sz w:val="21"/>
                <w:szCs w:val="21"/>
              </w:rPr>
              <w:t>79</w:t>
            </w:r>
            <w:r w:rsidRPr="00E63524">
              <w:rPr>
                <w:rFonts w:ascii="Times New Roman" w:hAnsi="Times New Roman"/>
                <w:color w:val="000000"/>
                <w:sz w:val="21"/>
                <w:szCs w:val="21"/>
              </w:rPr>
              <w:t>% osób korzystających z firm pożyczkowych posiada jednocześnie czynny kredyt w</w:t>
            </w:r>
            <w:r>
              <w:rPr>
                <w:rFonts w:ascii="Times New Roman" w:hAnsi="Times New Roman"/>
                <w:color w:val="000000"/>
                <w:sz w:val="21"/>
                <w:szCs w:val="21"/>
              </w:rPr>
              <w:t> </w:t>
            </w:r>
            <w:r w:rsidRPr="00E63524">
              <w:rPr>
                <w:rFonts w:ascii="Times New Roman" w:hAnsi="Times New Roman"/>
                <w:color w:val="000000"/>
                <w:sz w:val="21"/>
                <w:szCs w:val="21"/>
              </w:rPr>
              <w:t xml:space="preserve">banku. </w:t>
            </w:r>
            <w:r>
              <w:rPr>
                <w:rFonts w:ascii="Times New Roman" w:hAnsi="Times New Roman"/>
                <w:color w:val="000000"/>
                <w:sz w:val="21"/>
                <w:szCs w:val="21"/>
              </w:rPr>
              <w:t>Obserwowane zjawisko pozwala stwierdzić, iż zdecydowana większość osób korzystających z pożyczek spełnia warunki do uzyskania kredytu, w tym posiada zdolność kredytową weryfikowaną przez bank na etapie przyznawania kredytu. Ze względu na możliwość skorzystania z usług kredytowych wystąpienie ewentualnych uciążliwości na rynku pożyczkowym nie powinno stanowić istotnej bariery w dostępie do źródeł finansowania.</w:t>
            </w:r>
          </w:p>
          <w:p w14:paraId="719B74B2" w14:textId="77777777" w:rsidR="00882821" w:rsidRDefault="00882821" w:rsidP="00D34BBE">
            <w:pPr>
              <w:spacing w:line="240" w:lineRule="auto"/>
              <w:jc w:val="both"/>
              <w:rPr>
                <w:rFonts w:ascii="Times New Roman" w:hAnsi="Times New Roman"/>
                <w:color w:val="000000"/>
                <w:sz w:val="21"/>
                <w:szCs w:val="21"/>
              </w:rPr>
            </w:pPr>
          </w:p>
          <w:p w14:paraId="73D8D7D5" w14:textId="77777777" w:rsidR="00882821" w:rsidRPr="00E63524" w:rsidRDefault="00882821" w:rsidP="00D34BBE">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Osoby, które zaciągnęły kredyt w przeszłości stanowią 10% pożyczkobiorców. Pozosta</w:t>
            </w:r>
            <w:r>
              <w:rPr>
                <w:rFonts w:ascii="Times New Roman" w:hAnsi="Times New Roman"/>
                <w:color w:val="000000"/>
                <w:sz w:val="21"/>
                <w:szCs w:val="21"/>
              </w:rPr>
              <w:t>ła</w:t>
            </w:r>
            <w:r w:rsidRPr="00E63524">
              <w:rPr>
                <w:rFonts w:ascii="Times New Roman" w:hAnsi="Times New Roman"/>
                <w:color w:val="000000"/>
                <w:sz w:val="21"/>
                <w:szCs w:val="21"/>
              </w:rPr>
              <w:t xml:space="preserve"> </w:t>
            </w:r>
            <w:r>
              <w:rPr>
                <w:rFonts w:ascii="Times New Roman" w:hAnsi="Times New Roman"/>
                <w:color w:val="000000"/>
                <w:sz w:val="21"/>
                <w:szCs w:val="21"/>
              </w:rPr>
              <w:t>grupa podmiotów</w:t>
            </w:r>
            <w:r w:rsidRPr="00E63524">
              <w:rPr>
                <w:rFonts w:ascii="Times New Roman" w:hAnsi="Times New Roman"/>
                <w:color w:val="000000"/>
                <w:sz w:val="21"/>
                <w:szCs w:val="21"/>
              </w:rPr>
              <w:t xml:space="preserve"> korzysta wyłącznie z usług pożyczkowych. Analizując zbiór osób, które korzystały wyłącznie z pożyczek należy zwrócić uwagę na znaczący udział osób młodych, w szczególności na grupę wiekową 18</w:t>
            </w:r>
            <w:r w:rsidR="008F4B57">
              <w:rPr>
                <w:rFonts w:ascii="Times New Roman" w:hAnsi="Times New Roman"/>
                <w:color w:val="000000"/>
                <w:sz w:val="21"/>
                <w:szCs w:val="21"/>
              </w:rPr>
              <w:t>–</w:t>
            </w:r>
            <w:r w:rsidRPr="00E63524">
              <w:rPr>
                <w:rFonts w:ascii="Times New Roman" w:hAnsi="Times New Roman"/>
                <w:color w:val="000000"/>
                <w:sz w:val="21"/>
                <w:szCs w:val="21"/>
              </w:rPr>
              <w:t xml:space="preserve">24, która stanowiła 64% danej kategorii pożyczkobiorców. Ponadto kolejne 24% stanowiły osoby z </w:t>
            </w:r>
            <w:r>
              <w:rPr>
                <w:rFonts w:ascii="Times New Roman" w:hAnsi="Times New Roman"/>
                <w:color w:val="000000"/>
                <w:sz w:val="21"/>
                <w:szCs w:val="21"/>
              </w:rPr>
              <w:t>przedziału wiekowego 25</w:t>
            </w:r>
            <w:r w:rsidR="008F4B57">
              <w:rPr>
                <w:rFonts w:ascii="Times New Roman" w:hAnsi="Times New Roman"/>
                <w:color w:val="000000"/>
                <w:sz w:val="21"/>
                <w:szCs w:val="21"/>
              </w:rPr>
              <w:t>–</w:t>
            </w:r>
            <w:r>
              <w:rPr>
                <w:rFonts w:ascii="Times New Roman" w:hAnsi="Times New Roman"/>
                <w:color w:val="000000"/>
                <w:sz w:val="21"/>
                <w:szCs w:val="21"/>
              </w:rPr>
              <w:t>34</w:t>
            </w:r>
            <w:r w:rsidRPr="00E63524">
              <w:rPr>
                <w:rFonts w:ascii="Times New Roman" w:hAnsi="Times New Roman"/>
                <w:color w:val="000000"/>
                <w:sz w:val="21"/>
                <w:szCs w:val="21"/>
              </w:rPr>
              <w:t>. "Wykluczenie" osób w wieku 18</w:t>
            </w:r>
            <w:r w:rsidR="008F4B57">
              <w:rPr>
                <w:rFonts w:ascii="Times New Roman" w:hAnsi="Times New Roman"/>
                <w:color w:val="000000"/>
                <w:sz w:val="21"/>
                <w:szCs w:val="21"/>
              </w:rPr>
              <w:t>–</w:t>
            </w:r>
            <w:r w:rsidRPr="00E63524">
              <w:rPr>
                <w:rFonts w:ascii="Times New Roman" w:hAnsi="Times New Roman"/>
                <w:color w:val="000000"/>
                <w:sz w:val="21"/>
                <w:szCs w:val="21"/>
              </w:rPr>
              <w:t>24 przez instytucje bankowe potwierdza występowanie istotnej bariery w dostępności kredytu dla tej grupy. Po odrzuceniu wniosku o kredyt w banku, młode osoby uciekają się do usług świadczonych przez firmy pożyczkowe. W kategorii osób, które aktualnie posiadają pożyczki, a w swej historii korzystały z usług kredytowych, ponad 50% pożyczkobiorców stanowią klienci do 34 roku życia. Istnienie takiego stanu rzeczy można powiązać z występowaniem dużego popytu na źródła finansowania o niskiej wartości i krótkiej zapadalności. Jednocześnie zwraca się uwagę na łatwą dostępność usług pożyczkowych w</w:t>
            </w:r>
            <w:r>
              <w:rPr>
                <w:rFonts w:ascii="Times New Roman" w:hAnsi="Times New Roman"/>
                <w:color w:val="000000"/>
                <w:sz w:val="21"/>
                <w:szCs w:val="21"/>
              </w:rPr>
              <w:t>ynikającą m.in. z ograniczenia uciążliwych formalności oraz odejścia od szczegółowego badania zdolności kredytowej</w:t>
            </w:r>
            <w:r w:rsidRPr="00E63524">
              <w:rPr>
                <w:rFonts w:ascii="Times New Roman" w:hAnsi="Times New Roman"/>
                <w:color w:val="000000"/>
                <w:sz w:val="21"/>
                <w:szCs w:val="21"/>
              </w:rPr>
              <w:t>.</w:t>
            </w:r>
          </w:p>
          <w:p w14:paraId="60DCFA4B" w14:textId="77777777" w:rsidR="00882821" w:rsidRPr="00E63524" w:rsidRDefault="00882821" w:rsidP="00964474">
            <w:pPr>
              <w:spacing w:line="240" w:lineRule="auto"/>
              <w:jc w:val="both"/>
              <w:rPr>
                <w:rFonts w:ascii="Times New Roman" w:hAnsi="Times New Roman"/>
                <w:color w:val="000000"/>
                <w:sz w:val="21"/>
                <w:szCs w:val="21"/>
              </w:rPr>
            </w:pPr>
          </w:p>
          <w:p w14:paraId="187AE916" w14:textId="77777777" w:rsidR="00882821" w:rsidRPr="00E63524" w:rsidRDefault="00882821" w:rsidP="00964474">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Wykres poniżej przedstawia źródła finansowania klientów firm pożyczkowych według wieku.</w:t>
            </w:r>
          </w:p>
          <w:p w14:paraId="3E4CC2AA" w14:textId="77777777" w:rsidR="00882821" w:rsidRPr="00E63524" w:rsidRDefault="00882821" w:rsidP="00964474">
            <w:pPr>
              <w:spacing w:line="240" w:lineRule="auto"/>
              <w:jc w:val="both"/>
              <w:rPr>
                <w:rFonts w:ascii="Times New Roman" w:hAnsi="Times New Roman"/>
                <w:color w:val="000000"/>
                <w:sz w:val="21"/>
                <w:szCs w:val="21"/>
              </w:rPr>
            </w:pPr>
          </w:p>
          <w:p w14:paraId="21D4CD26" w14:textId="77777777" w:rsidR="00882821" w:rsidRPr="00E63524" w:rsidRDefault="00882821" w:rsidP="00964474">
            <w:pPr>
              <w:spacing w:line="240" w:lineRule="auto"/>
              <w:jc w:val="both"/>
              <w:rPr>
                <w:rFonts w:ascii="Times New Roman" w:hAnsi="Times New Roman"/>
                <w:color w:val="000000"/>
                <w:sz w:val="21"/>
                <w:szCs w:val="21"/>
              </w:rPr>
            </w:pPr>
            <w:r w:rsidRPr="00E63524">
              <w:rPr>
                <w:rFonts w:ascii="Times New Roman" w:hAnsi="Times New Roman"/>
              </w:rPr>
              <w:object w:dxaOrig="15210" w:dyaOrig="4320" w14:anchorId="19EC7F55">
                <v:shape id="_x0000_i1029" type="#_x0000_t75" style="width:423.75pt;height:120.75pt" o:ole="">
                  <v:imagedata r:id="rId20" o:title=""/>
                </v:shape>
                <o:OLEObject Type="Embed" ProgID="PBrush" ShapeID="_x0000_i1029" DrawAspect="Content" ObjectID="_1623231199" r:id="rId21"/>
              </w:object>
            </w:r>
          </w:p>
          <w:p w14:paraId="7BCEF907" w14:textId="77777777" w:rsidR="00882821" w:rsidRPr="00E63524" w:rsidRDefault="00882821" w:rsidP="006D1703">
            <w:pPr>
              <w:spacing w:line="240" w:lineRule="auto"/>
              <w:jc w:val="both"/>
              <w:rPr>
                <w:rFonts w:ascii="Times New Roman" w:hAnsi="Times New Roman"/>
                <w:color w:val="000000"/>
                <w:sz w:val="21"/>
                <w:szCs w:val="21"/>
              </w:rPr>
            </w:pPr>
            <w:r w:rsidRPr="00E63524">
              <w:rPr>
                <w:rFonts w:ascii="Times New Roman" w:hAnsi="Times New Roman"/>
                <w:color w:val="000000"/>
                <w:sz w:val="21"/>
                <w:szCs w:val="21"/>
              </w:rPr>
              <w:t xml:space="preserve">Wejście w życie proponowanych regulacji nie powinno </w:t>
            </w:r>
            <w:r>
              <w:rPr>
                <w:rFonts w:ascii="Times New Roman" w:hAnsi="Times New Roman"/>
                <w:color w:val="000000"/>
                <w:sz w:val="21"/>
                <w:szCs w:val="21"/>
              </w:rPr>
              <w:t xml:space="preserve">nadmiernie </w:t>
            </w:r>
            <w:r w:rsidRPr="00E63524">
              <w:rPr>
                <w:rFonts w:ascii="Times New Roman" w:hAnsi="Times New Roman"/>
                <w:color w:val="000000"/>
                <w:sz w:val="21"/>
                <w:szCs w:val="21"/>
              </w:rPr>
              <w:t>wpłynąć na ograniczenie dostępności źródeł finansowania</w:t>
            </w:r>
            <w:r>
              <w:rPr>
                <w:rFonts w:ascii="Times New Roman" w:hAnsi="Times New Roman"/>
                <w:color w:val="000000"/>
                <w:sz w:val="21"/>
                <w:szCs w:val="21"/>
              </w:rPr>
              <w:t>,</w:t>
            </w:r>
            <w:r w:rsidRPr="00E63524">
              <w:rPr>
                <w:rFonts w:ascii="Times New Roman" w:hAnsi="Times New Roman"/>
                <w:color w:val="000000"/>
                <w:sz w:val="21"/>
                <w:szCs w:val="21"/>
              </w:rPr>
              <w:t xml:space="preserve"> w tym pożyczek. Należy podkreślić istnienie i znaczenie podstawowego mechanizmu rynkowego</w:t>
            </w:r>
            <w:r>
              <w:rPr>
                <w:rFonts w:ascii="Times New Roman" w:hAnsi="Times New Roman"/>
                <w:color w:val="000000"/>
                <w:sz w:val="21"/>
                <w:szCs w:val="21"/>
              </w:rPr>
              <w:t>,</w:t>
            </w:r>
            <w:r w:rsidRPr="00E63524">
              <w:rPr>
                <w:rFonts w:ascii="Times New Roman" w:hAnsi="Times New Roman"/>
                <w:color w:val="000000"/>
                <w:sz w:val="21"/>
                <w:szCs w:val="21"/>
              </w:rPr>
              <w:t xml:space="preserve"> jakim jest dążenie do zrównoważenia popytu z podażą. Występowanie poważnego popytu na usługi pożyczkowe oraz kredytowe stanowi motywację dla przedsiębiorców dążących do maksymalizacji zysków i tym samym do zaspokojenia potrzeb klientów. </w:t>
            </w:r>
            <w:r>
              <w:rPr>
                <w:rFonts w:ascii="Times New Roman" w:hAnsi="Times New Roman"/>
                <w:color w:val="000000"/>
                <w:sz w:val="21"/>
                <w:szCs w:val="21"/>
              </w:rPr>
              <w:t>Ewentualne uciążliwości dla konsumentów wynikające z wejścia w życie projektowanych regulacji będą dotyczyć przede wszystkim osób młodych, które nie posiadają zdolności kredytowej. Zwraca się uwagę na pozytywny aspekt takiego działania, jakim jest ograniczenie pożyczek zaciąganych na sfinansowanie nietrwałych dóbr konsumpcyjnych, wobec braku pewności posiadania przyszłych środków finansowych  niezbędnych do spłacenia  zaciągniętych zobowiązań.</w:t>
            </w:r>
          </w:p>
          <w:p w14:paraId="4E3473A9" w14:textId="77777777" w:rsidR="00882821" w:rsidRDefault="00882821" w:rsidP="006D1703">
            <w:pPr>
              <w:spacing w:line="240" w:lineRule="auto"/>
              <w:jc w:val="both"/>
              <w:rPr>
                <w:rFonts w:ascii="Times New Roman" w:hAnsi="Times New Roman"/>
                <w:color w:val="000000"/>
                <w:sz w:val="21"/>
                <w:szCs w:val="21"/>
              </w:rPr>
            </w:pPr>
          </w:p>
          <w:p w14:paraId="4D45E672" w14:textId="77777777" w:rsidR="00882821" w:rsidRPr="00660CF5" w:rsidRDefault="00882821" w:rsidP="006D1703">
            <w:pPr>
              <w:spacing w:line="240" w:lineRule="auto"/>
              <w:jc w:val="both"/>
              <w:rPr>
                <w:rFonts w:ascii="Times New Roman" w:hAnsi="Times New Roman"/>
                <w:b/>
                <w:color w:val="000000"/>
                <w:sz w:val="21"/>
                <w:szCs w:val="21"/>
              </w:rPr>
            </w:pPr>
            <w:r w:rsidRPr="00660CF5">
              <w:rPr>
                <w:rFonts w:ascii="Times New Roman" w:hAnsi="Times New Roman"/>
                <w:b/>
                <w:color w:val="000000"/>
                <w:sz w:val="21"/>
                <w:szCs w:val="21"/>
              </w:rPr>
              <w:t xml:space="preserve">Rozwój </w:t>
            </w:r>
            <w:r>
              <w:rPr>
                <w:rFonts w:ascii="Times New Roman" w:hAnsi="Times New Roman"/>
                <w:b/>
                <w:color w:val="000000"/>
                <w:sz w:val="21"/>
                <w:szCs w:val="21"/>
              </w:rPr>
              <w:t>usług</w:t>
            </w:r>
            <w:r w:rsidRPr="00660CF5">
              <w:rPr>
                <w:rFonts w:ascii="Times New Roman" w:hAnsi="Times New Roman"/>
                <w:b/>
                <w:color w:val="000000"/>
                <w:sz w:val="21"/>
                <w:szCs w:val="21"/>
              </w:rPr>
              <w:t xml:space="preserve"> </w:t>
            </w:r>
            <w:r w:rsidRPr="00660CF5">
              <w:rPr>
                <w:rFonts w:ascii="Times New Roman" w:hAnsi="Times New Roman"/>
                <w:b/>
                <w:i/>
                <w:color w:val="000000"/>
                <w:sz w:val="21"/>
                <w:szCs w:val="21"/>
              </w:rPr>
              <w:t>person to person (p2p)</w:t>
            </w:r>
            <w:r>
              <w:rPr>
                <w:rStyle w:val="Odwoanieprzypisudolnego"/>
                <w:rFonts w:ascii="Times New Roman" w:hAnsi="Times New Roman"/>
                <w:b/>
                <w:i/>
                <w:color w:val="000000"/>
                <w:sz w:val="21"/>
                <w:szCs w:val="21"/>
              </w:rPr>
              <w:footnoteReference w:id="24"/>
            </w:r>
          </w:p>
          <w:p w14:paraId="0DA68B45" w14:textId="77777777" w:rsidR="00882821" w:rsidRPr="008B0784" w:rsidRDefault="00882821" w:rsidP="006D1703">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Wystąpienie ewentualnych barier lub ograniczeń w dostępności pożyczek udzielanych przez różnego rodzaju przedsiębiorstwa, może skutkować zwiększeniem się liczby pożyczek zawieranych pomiędzy osobami fizycznymi. Jednakże biorąc pod uwagę, iż zawierane pożyczki dotyczą niejednokrotnie niewysokich kwot, a ponadto pożyczkobiorcy mogą być spokrewnieni z pożyczkodawcami badanie zjawiska pożyczek dokonywanych pomiędzy osobami fizycznymi jest utrudnione zarówno na obecnym etapie prac, jak również w przypadku konieczności dokonania ewaluacji </w:t>
            </w:r>
            <w:r w:rsidRPr="008B0784">
              <w:rPr>
                <w:rFonts w:ascii="Times New Roman" w:hAnsi="Times New Roman"/>
                <w:i/>
                <w:color w:val="000000"/>
                <w:sz w:val="21"/>
                <w:szCs w:val="21"/>
              </w:rPr>
              <w:t>ex post</w:t>
            </w:r>
            <w:r>
              <w:rPr>
                <w:rFonts w:ascii="Times New Roman" w:hAnsi="Times New Roman"/>
                <w:color w:val="000000"/>
                <w:sz w:val="21"/>
                <w:szCs w:val="21"/>
              </w:rPr>
              <w:t xml:space="preserve"> przedmiotowych regulacji.</w:t>
            </w:r>
          </w:p>
          <w:p w14:paraId="4939801A" w14:textId="77777777" w:rsidR="00882821" w:rsidRDefault="00882821" w:rsidP="00DF764A">
            <w:pPr>
              <w:autoSpaceDE w:val="0"/>
              <w:autoSpaceDN w:val="0"/>
              <w:adjustRightInd w:val="0"/>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Jednym ze skutków wejścia w życie proponowanych zmian może być wzrost zainteresowania i popularności operacjami finansowymi typu p2p </w:t>
            </w:r>
            <w:r w:rsidRPr="00F41525">
              <w:rPr>
                <w:rFonts w:ascii="Times New Roman" w:hAnsi="Times New Roman"/>
                <w:i/>
                <w:color w:val="000000"/>
                <w:sz w:val="21"/>
                <w:szCs w:val="21"/>
              </w:rPr>
              <w:t>person to person</w:t>
            </w:r>
            <w:r>
              <w:rPr>
                <w:rFonts w:ascii="Times New Roman" w:hAnsi="Times New Roman"/>
                <w:color w:val="000000"/>
                <w:sz w:val="21"/>
                <w:szCs w:val="21"/>
              </w:rPr>
              <w:t xml:space="preserve">. Zgodnie ze wskazanym modelem transakcje finansowe są </w:t>
            </w:r>
            <w:r w:rsidRPr="00A52232">
              <w:rPr>
                <w:rFonts w:ascii="Times New Roman" w:hAnsi="Times New Roman"/>
                <w:color w:val="000000"/>
                <w:sz w:val="21"/>
                <w:szCs w:val="21"/>
              </w:rPr>
              <w:t>przeprowadzane między zainteresowanymi stronami z</w:t>
            </w:r>
            <w:r>
              <w:rPr>
                <w:rFonts w:ascii="Times New Roman" w:hAnsi="Times New Roman"/>
                <w:color w:val="000000"/>
                <w:sz w:val="21"/>
                <w:szCs w:val="21"/>
              </w:rPr>
              <w:t> </w:t>
            </w:r>
            <w:r w:rsidRPr="00A52232">
              <w:rPr>
                <w:rFonts w:ascii="Times New Roman" w:hAnsi="Times New Roman"/>
                <w:color w:val="000000"/>
                <w:sz w:val="21"/>
                <w:szCs w:val="21"/>
              </w:rPr>
              <w:t>pominięciem pośrednictwa instytucji finansow</w:t>
            </w:r>
            <w:r>
              <w:rPr>
                <w:rFonts w:ascii="Times New Roman" w:hAnsi="Times New Roman"/>
                <w:color w:val="000000"/>
                <w:sz w:val="21"/>
                <w:szCs w:val="21"/>
              </w:rPr>
              <w:t>ej. Kontakt zainteresowanych stron realizowany jest przy pomocy specjalnych portali internetowych</w:t>
            </w:r>
            <w:r w:rsidRPr="00C67C75">
              <w:rPr>
                <w:rFonts w:ascii="Times New Roman" w:hAnsi="Times New Roman"/>
                <w:color w:val="000000"/>
                <w:sz w:val="21"/>
                <w:szCs w:val="21"/>
              </w:rPr>
              <w:t xml:space="preserve">. </w:t>
            </w:r>
            <w:r>
              <w:rPr>
                <w:rFonts w:ascii="Times New Roman" w:hAnsi="Times New Roman"/>
                <w:color w:val="000000"/>
                <w:sz w:val="21"/>
                <w:szCs w:val="21"/>
              </w:rPr>
              <w:t xml:space="preserve">Dane rozwiązanie pozwala </w:t>
            </w:r>
            <w:r w:rsidRPr="00C67C75">
              <w:rPr>
                <w:rFonts w:ascii="Times New Roman" w:hAnsi="Times New Roman"/>
                <w:color w:val="000000"/>
                <w:sz w:val="21"/>
                <w:szCs w:val="21"/>
              </w:rPr>
              <w:t>pożyc</w:t>
            </w:r>
            <w:r>
              <w:rPr>
                <w:rFonts w:ascii="Times New Roman" w:hAnsi="Times New Roman"/>
                <w:color w:val="000000"/>
                <w:sz w:val="21"/>
                <w:szCs w:val="21"/>
              </w:rPr>
              <w:t xml:space="preserve">zkodawcom oraz </w:t>
            </w:r>
            <w:r>
              <w:rPr>
                <w:rFonts w:ascii="Times New Roman" w:hAnsi="Times New Roman"/>
                <w:color w:val="000000"/>
                <w:sz w:val="21"/>
                <w:szCs w:val="21"/>
              </w:rPr>
              <w:lastRenderedPageBreak/>
              <w:t>pożyczkobiorcom,</w:t>
            </w:r>
            <w:r w:rsidRPr="00C67C75">
              <w:rPr>
                <w:rFonts w:ascii="Times New Roman" w:hAnsi="Times New Roman"/>
                <w:color w:val="000000"/>
                <w:sz w:val="21"/>
                <w:szCs w:val="21"/>
              </w:rPr>
              <w:t xml:space="preserve"> na szybkie uzgodnienie warunków transakcji, </w:t>
            </w:r>
            <w:r>
              <w:rPr>
                <w:rFonts w:ascii="Times New Roman" w:hAnsi="Times New Roman"/>
                <w:color w:val="000000"/>
                <w:sz w:val="21"/>
                <w:szCs w:val="21"/>
              </w:rPr>
              <w:t>w szczególności</w:t>
            </w:r>
            <w:r w:rsidRPr="00C67C75">
              <w:rPr>
                <w:rFonts w:ascii="Times New Roman" w:hAnsi="Times New Roman"/>
                <w:color w:val="000000"/>
                <w:sz w:val="21"/>
                <w:szCs w:val="21"/>
              </w:rPr>
              <w:t xml:space="preserve"> odpowiadającej im stopy procentowej</w:t>
            </w:r>
            <w:r>
              <w:rPr>
                <w:rFonts w:ascii="Times New Roman" w:hAnsi="Times New Roman"/>
                <w:color w:val="000000"/>
                <w:sz w:val="21"/>
                <w:szCs w:val="21"/>
              </w:rPr>
              <w:t>. Podmiot administrujący wyspecjalizowanym p</w:t>
            </w:r>
            <w:r w:rsidRPr="001D21D2">
              <w:rPr>
                <w:rFonts w:ascii="Times New Roman" w:hAnsi="Times New Roman"/>
                <w:color w:val="000000"/>
                <w:sz w:val="21"/>
                <w:szCs w:val="21"/>
              </w:rPr>
              <w:t>ortale</w:t>
            </w:r>
            <w:r>
              <w:rPr>
                <w:rFonts w:ascii="Times New Roman" w:hAnsi="Times New Roman"/>
                <w:color w:val="000000"/>
                <w:sz w:val="21"/>
                <w:szCs w:val="21"/>
              </w:rPr>
              <w:t>m</w:t>
            </w:r>
            <w:r w:rsidRPr="001D21D2">
              <w:rPr>
                <w:rFonts w:ascii="Times New Roman" w:hAnsi="Times New Roman"/>
                <w:color w:val="000000"/>
                <w:sz w:val="21"/>
                <w:szCs w:val="21"/>
              </w:rPr>
              <w:t xml:space="preserve"> internetow</w:t>
            </w:r>
            <w:r>
              <w:rPr>
                <w:rFonts w:ascii="Times New Roman" w:hAnsi="Times New Roman"/>
                <w:color w:val="000000"/>
                <w:sz w:val="21"/>
                <w:szCs w:val="21"/>
              </w:rPr>
              <w:t>ym może czerpać dodatkowe dochody m.in. z tytułu: prowizji od zwieranych transakcji, usług</w:t>
            </w:r>
            <w:r w:rsidRPr="001D21D2">
              <w:rPr>
                <w:rFonts w:ascii="Times New Roman" w:hAnsi="Times New Roman"/>
                <w:color w:val="000000"/>
                <w:sz w:val="21"/>
                <w:szCs w:val="21"/>
              </w:rPr>
              <w:t xml:space="preserve"> kredytowych agencji ratingowych</w:t>
            </w:r>
            <w:r>
              <w:rPr>
                <w:rFonts w:ascii="Times New Roman" w:hAnsi="Times New Roman"/>
                <w:color w:val="000000"/>
                <w:sz w:val="21"/>
                <w:szCs w:val="21"/>
              </w:rPr>
              <w:t xml:space="preserve"> oraz innych opłat. Mając na uwadze, coraz szerszy dostęp do sieci internetowej omawiane rozwiązanie może odnotować znaczący wzrost popularności.</w:t>
            </w:r>
          </w:p>
          <w:p w14:paraId="3DF43B77" w14:textId="77777777" w:rsidR="00882821" w:rsidRDefault="00882821" w:rsidP="001A7232">
            <w:pPr>
              <w:autoSpaceDE w:val="0"/>
              <w:autoSpaceDN w:val="0"/>
              <w:adjustRightInd w:val="0"/>
              <w:spacing w:line="240" w:lineRule="auto"/>
              <w:jc w:val="both"/>
              <w:rPr>
                <w:rFonts w:ascii="Times New Roman" w:hAnsi="Times New Roman"/>
                <w:b/>
                <w:color w:val="000000"/>
                <w:sz w:val="21"/>
                <w:szCs w:val="21"/>
              </w:rPr>
            </w:pPr>
            <w:r w:rsidRPr="001A7232">
              <w:rPr>
                <w:rFonts w:ascii="Times New Roman" w:hAnsi="Times New Roman"/>
                <w:b/>
                <w:color w:val="000000"/>
                <w:sz w:val="21"/>
                <w:szCs w:val="21"/>
              </w:rPr>
              <w:t xml:space="preserve">Spłacalność zobowiązań </w:t>
            </w:r>
            <w:r>
              <w:rPr>
                <w:rFonts w:ascii="Times New Roman" w:hAnsi="Times New Roman"/>
                <w:b/>
                <w:color w:val="000000"/>
                <w:sz w:val="21"/>
                <w:szCs w:val="21"/>
              </w:rPr>
              <w:t>finansowych</w:t>
            </w:r>
          </w:p>
          <w:p w14:paraId="5D9A0BC9" w14:textId="77777777" w:rsidR="00882821" w:rsidRPr="00E63524" w:rsidRDefault="00882821" w:rsidP="00A07417">
            <w:pPr>
              <w:autoSpaceDE w:val="0"/>
              <w:autoSpaceDN w:val="0"/>
              <w:adjustRightInd w:val="0"/>
              <w:spacing w:line="240" w:lineRule="auto"/>
              <w:jc w:val="both"/>
              <w:rPr>
                <w:rFonts w:ascii="Times New Roman" w:hAnsi="Times New Roman"/>
                <w:color w:val="000000"/>
                <w:sz w:val="21"/>
                <w:szCs w:val="21"/>
              </w:rPr>
            </w:pPr>
            <w:r>
              <w:rPr>
                <w:rFonts w:ascii="Times New Roman" w:hAnsi="Times New Roman"/>
                <w:color w:val="000000"/>
                <w:sz w:val="21"/>
                <w:szCs w:val="21"/>
              </w:rPr>
              <w:t>Wprowadzane regulacje zmierzają do zwiększenia bezpieczeństwa osób fizycznych korzystających z pożyczek. Podstawowym działaniem ograniczającym występowanie</w:t>
            </w:r>
            <w:r w:rsidRPr="00BE037E">
              <w:rPr>
                <w:rFonts w:ascii="Times New Roman" w:hAnsi="Times New Roman"/>
                <w:color w:val="000000"/>
                <w:sz w:val="21"/>
                <w:szCs w:val="21"/>
              </w:rPr>
              <w:t xml:space="preserve"> pożyczek o charakterze lichwiarskim</w:t>
            </w:r>
            <w:r>
              <w:rPr>
                <w:rFonts w:ascii="Times New Roman" w:hAnsi="Times New Roman"/>
                <w:color w:val="000000"/>
                <w:sz w:val="21"/>
                <w:szCs w:val="21"/>
              </w:rPr>
              <w:t xml:space="preserve"> jest zapewnienie ram legislacyjnych uniemożliwiających zawieranie rażąco niekorzystnych umów, przedstawianych przez podmioty pożyczkowe, które często wykorzystują brak wiedzy i świadomości użytkowników sektora finansowego. Wprowadzenie </w:t>
            </w:r>
            <w:r w:rsidRPr="000A4557">
              <w:rPr>
                <w:rFonts w:ascii="Times New Roman" w:hAnsi="Times New Roman"/>
                <w:color w:val="000000"/>
                <w:sz w:val="21"/>
                <w:szCs w:val="21"/>
              </w:rPr>
              <w:t>penalizacji żądania od pożyczkobiorcy świadczenia wzajemnego przekraczającego</w:t>
            </w:r>
            <w:r>
              <w:rPr>
                <w:rFonts w:ascii="Times New Roman" w:hAnsi="Times New Roman"/>
                <w:color w:val="000000"/>
                <w:sz w:val="21"/>
                <w:szCs w:val="21"/>
              </w:rPr>
              <w:t xml:space="preserve"> </w:t>
            </w:r>
            <w:r w:rsidRPr="000A4557">
              <w:rPr>
                <w:rFonts w:ascii="Times New Roman" w:hAnsi="Times New Roman"/>
                <w:color w:val="000000"/>
                <w:sz w:val="21"/>
                <w:szCs w:val="21"/>
              </w:rPr>
              <w:t>odsetki maksymalne obliczone za czas trwania umowy, jednakże nie dłużej niż za rok</w:t>
            </w:r>
            <w:r>
              <w:rPr>
                <w:rFonts w:ascii="Times New Roman" w:hAnsi="Times New Roman"/>
                <w:color w:val="000000"/>
                <w:sz w:val="21"/>
                <w:szCs w:val="21"/>
              </w:rPr>
              <w:t xml:space="preserve">, stanowi gwarancję ochrony prawnej pożyczkobiorców. Przyjazne konsumentowi otoczenie prawne korzystnie wpłynie na strukturę oraz jakość zaciąganych zobowiązań finansowych. Istnienie pewnego rodzaju gwarancji w postaci wysokości świadczeń maksymalnych oraz zagrożenie sankcją karną ich niedotrzymania, umożliwi konsumentom sprawniejszą spłatę zaciągniętych zobowiązań, a w przypadku zaległości ,w dłuższej perspektywie czasowej ich uregulowanie. Korzystnym aspektem projektowanych zmian jest potencjalne ograniczenie zjawiska spirali pożyczkowej. </w:t>
            </w:r>
          </w:p>
        </w:tc>
      </w:tr>
      <w:tr w:rsidR="00882821" w:rsidRPr="008B4FE6" w14:paraId="0DC7708E" w14:textId="77777777" w:rsidTr="00862088">
        <w:trPr>
          <w:gridAfter w:val="2"/>
          <w:wAfter w:w="31" w:type="dxa"/>
          <w:trHeight w:val="342"/>
        </w:trPr>
        <w:tc>
          <w:tcPr>
            <w:tcW w:w="10916" w:type="dxa"/>
            <w:gridSpan w:val="29"/>
            <w:shd w:val="clear" w:color="auto" w:fill="99CCFF"/>
            <w:vAlign w:val="center"/>
          </w:tcPr>
          <w:p w14:paraId="4A5A85AF" w14:textId="77777777" w:rsidR="00882821" w:rsidRPr="008B4FE6" w:rsidRDefault="00882821" w:rsidP="004F4E17">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color w:val="000000"/>
              </w:rPr>
              <w:lastRenderedPageBreak/>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882821" w:rsidRPr="008B4FE6" w14:paraId="2229A864" w14:textId="77777777" w:rsidTr="00862088">
        <w:trPr>
          <w:gridAfter w:val="2"/>
          <w:wAfter w:w="31" w:type="dxa"/>
          <w:trHeight w:val="151"/>
        </w:trPr>
        <w:tc>
          <w:tcPr>
            <w:tcW w:w="10916" w:type="dxa"/>
            <w:gridSpan w:val="29"/>
            <w:shd w:val="clear" w:color="auto" w:fill="FFFFFF"/>
          </w:tcPr>
          <w:p w14:paraId="3735B33B" w14:textId="77777777" w:rsidR="00882821" w:rsidRPr="008B4FE6" w:rsidRDefault="00882821" w:rsidP="004F4E1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882821" w:rsidRPr="008B4FE6" w14:paraId="32338DA5" w14:textId="77777777" w:rsidTr="00862088">
        <w:trPr>
          <w:gridAfter w:val="2"/>
          <w:wAfter w:w="31" w:type="dxa"/>
          <w:trHeight w:val="946"/>
        </w:trPr>
        <w:tc>
          <w:tcPr>
            <w:tcW w:w="5111" w:type="dxa"/>
            <w:gridSpan w:val="12"/>
            <w:shd w:val="clear" w:color="auto" w:fill="FFFFFF"/>
          </w:tcPr>
          <w:p w14:paraId="332DC285" w14:textId="77777777" w:rsidR="00882821" w:rsidRDefault="00882821" w:rsidP="001B3460">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05" w:type="dxa"/>
            <w:gridSpan w:val="17"/>
            <w:shd w:val="clear" w:color="auto" w:fill="FFFFFF"/>
          </w:tcPr>
          <w:p w14:paraId="7D8C3903" w14:textId="77777777" w:rsidR="00882821" w:rsidRDefault="00882821" w:rsidP="004F4E17">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Pr>
                <w:rFonts w:ascii="Times New Roman" w:hAnsi="Times New Roman"/>
                <w:color w:val="000000"/>
              </w:rPr>
              <w:t xml:space="preserve"> tak</w:t>
            </w:r>
          </w:p>
          <w:p w14:paraId="077419FC" w14:textId="77777777" w:rsidR="00882821" w:rsidRDefault="00882821" w:rsidP="004F4E17">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Pr>
                <w:rFonts w:ascii="Times New Roman" w:hAnsi="Times New Roman"/>
                <w:color w:val="000000"/>
              </w:rPr>
              <w:t xml:space="preserve"> nie</w:t>
            </w:r>
          </w:p>
          <w:p w14:paraId="0C158F9F" w14:textId="77777777" w:rsidR="00882821" w:rsidRDefault="00882821" w:rsidP="004F4E17">
            <w:pPr>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Pr>
                <w:rFonts w:ascii="Times New Roman" w:hAnsi="Times New Roman"/>
                <w:color w:val="000000"/>
              </w:rPr>
              <w:t xml:space="preserve"> nie dotyczy</w:t>
            </w:r>
          </w:p>
        </w:tc>
      </w:tr>
      <w:tr w:rsidR="00882821" w:rsidRPr="008B4FE6" w14:paraId="76629E1C" w14:textId="77777777" w:rsidTr="00862088">
        <w:trPr>
          <w:gridAfter w:val="2"/>
          <w:wAfter w:w="31" w:type="dxa"/>
          <w:trHeight w:val="1245"/>
        </w:trPr>
        <w:tc>
          <w:tcPr>
            <w:tcW w:w="5111" w:type="dxa"/>
            <w:gridSpan w:val="12"/>
            <w:shd w:val="clear" w:color="auto" w:fill="FFFFFF"/>
          </w:tcPr>
          <w:p w14:paraId="7ECDC655" w14:textId="77777777" w:rsidR="00882821" w:rsidRPr="008B4FE6" w:rsidRDefault="00882821"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373EB173" w14:textId="77777777" w:rsidR="00882821" w:rsidRPr="008B4FE6" w:rsidRDefault="00882821"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7B2A6B4E" w14:textId="77777777" w:rsidR="00882821" w:rsidRDefault="00882821"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25638A12" w14:textId="77777777" w:rsidR="00882821" w:rsidRPr="008B4FE6" w:rsidRDefault="00882821" w:rsidP="00AE6CF8">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805" w:type="dxa"/>
            <w:gridSpan w:val="17"/>
            <w:shd w:val="clear" w:color="auto" w:fill="FFFFFF"/>
          </w:tcPr>
          <w:p w14:paraId="76B49C64" w14:textId="77777777" w:rsidR="00882821" w:rsidRPr="008B4FE6" w:rsidRDefault="00882821"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09E0AFF4" w14:textId="77777777" w:rsidR="00882821" w:rsidRPr="008B4FE6" w:rsidRDefault="00882821" w:rsidP="00AE6CF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0BCACE6E" w14:textId="77777777" w:rsidR="00882821" w:rsidRPr="008B4FE6" w:rsidRDefault="00882821"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7E5DFA92" w14:textId="77777777" w:rsidR="00882821" w:rsidRPr="008B4FE6" w:rsidRDefault="00882821" w:rsidP="008F4B57">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r>
      <w:tr w:rsidR="00882821" w:rsidRPr="008B4FE6" w14:paraId="4DC8E15C" w14:textId="77777777" w:rsidTr="00862088">
        <w:trPr>
          <w:gridAfter w:val="2"/>
          <w:wAfter w:w="31" w:type="dxa"/>
          <w:trHeight w:val="870"/>
        </w:trPr>
        <w:tc>
          <w:tcPr>
            <w:tcW w:w="5111" w:type="dxa"/>
            <w:gridSpan w:val="12"/>
            <w:shd w:val="clear" w:color="auto" w:fill="FFFFFF"/>
          </w:tcPr>
          <w:p w14:paraId="405887BE" w14:textId="77777777" w:rsidR="00882821" w:rsidRPr="008B4FE6" w:rsidRDefault="00882821" w:rsidP="004F4E17">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05" w:type="dxa"/>
            <w:gridSpan w:val="17"/>
            <w:shd w:val="clear" w:color="auto" w:fill="FFFFFF"/>
          </w:tcPr>
          <w:p w14:paraId="1F5C4956" w14:textId="77777777" w:rsidR="00882821" w:rsidRDefault="00882821" w:rsidP="00BF0DA2">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Pr>
                <w:rFonts w:ascii="Times New Roman" w:hAnsi="Times New Roman"/>
                <w:color w:val="000000"/>
              </w:rPr>
              <w:t xml:space="preserve"> tak</w:t>
            </w:r>
          </w:p>
          <w:p w14:paraId="32761C65" w14:textId="77777777" w:rsidR="00882821" w:rsidRDefault="00882821" w:rsidP="00BF0DA2">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Pr>
                <w:rFonts w:ascii="Times New Roman" w:hAnsi="Times New Roman"/>
                <w:color w:val="000000"/>
              </w:rPr>
              <w:t xml:space="preserve"> nie</w:t>
            </w:r>
          </w:p>
          <w:p w14:paraId="782C1259" w14:textId="77777777" w:rsidR="00882821" w:rsidRPr="008B4FE6" w:rsidRDefault="00882821" w:rsidP="00BF0DA2">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end"/>
            </w:r>
            <w:r>
              <w:rPr>
                <w:rFonts w:ascii="Times New Roman" w:hAnsi="Times New Roman"/>
                <w:color w:val="000000"/>
              </w:rPr>
              <w:t xml:space="preserve"> nie dotyczy</w:t>
            </w:r>
          </w:p>
        </w:tc>
      </w:tr>
      <w:tr w:rsidR="00882821" w:rsidRPr="008B4FE6" w14:paraId="4843EC4A" w14:textId="77777777" w:rsidTr="00862088">
        <w:trPr>
          <w:gridAfter w:val="2"/>
          <w:wAfter w:w="31" w:type="dxa"/>
          <w:trHeight w:val="630"/>
        </w:trPr>
        <w:tc>
          <w:tcPr>
            <w:tcW w:w="10916" w:type="dxa"/>
            <w:gridSpan w:val="29"/>
            <w:shd w:val="clear" w:color="auto" w:fill="FFFFFF"/>
          </w:tcPr>
          <w:p w14:paraId="2E7A582C" w14:textId="77777777" w:rsidR="00882821" w:rsidRDefault="00882821" w:rsidP="00EC6469">
            <w:pPr>
              <w:spacing w:line="240" w:lineRule="auto"/>
              <w:jc w:val="both"/>
            </w:pPr>
            <w:r>
              <w:rPr>
                <w:rFonts w:ascii="Times New Roman" w:hAnsi="Times New Roman"/>
                <w:color w:val="000000"/>
              </w:rPr>
              <w:t>Komentarz:</w:t>
            </w:r>
            <w:r>
              <w:t xml:space="preserve"> </w:t>
            </w:r>
          </w:p>
          <w:p w14:paraId="269549FB" w14:textId="77777777" w:rsidR="00882821" w:rsidRPr="00A15E4A" w:rsidRDefault="00882821" w:rsidP="00484351">
            <w:pPr>
              <w:spacing w:line="240" w:lineRule="auto"/>
              <w:jc w:val="both"/>
              <w:rPr>
                <w:rFonts w:ascii="Times New Roman" w:hAnsi="Times New Roman"/>
                <w:color w:val="000000"/>
              </w:rPr>
            </w:pPr>
            <w:r w:rsidRPr="00A15E4A">
              <w:rPr>
                <w:rFonts w:ascii="Times New Roman" w:hAnsi="Times New Roman"/>
              </w:rPr>
              <w:t>Projektowane zmiany nakładają na Komisję Nadzoru Finansowego dodatkowe obciążenie w postaci prowadzenia nadzoru nad instytucjami pożyczkowymi Jednocześnie</w:t>
            </w:r>
            <w:r>
              <w:rPr>
                <w:rFonts w:ascii="Times New Roman" w:hAnsi="Times New Roman"/>
              </w:rPr>
              <w:t>,</w:t>
            </w:r>
            <w:r w:rsidRPr="00A15E4A">
              <w:rPr>
                <w:rFonts w:ascii="Times New Roman" w:hAnsi="Times New Roman"/>
              </w:rPr>
              <w:t xml:space="preserve"> przewiduje się obciążenie </w:t>
            </w:r>
            <w:r>
              <w:rPr>
                <w:rFonts w:ascii="Times New Roman" w:hAnsi="Times New Roman"/>
              </w:rPr>
              <w:t xml:space="preserve">instytucji pożyczkowych </w:t>
            </w:r>
            <w:r w:rsidRPr="00A15E4A">
              <w:rPr>
                <w:rFonts w:ascii="Times New Roman" w:hAnsi="Times New Roman"/>
              </w:rPr>
              <w:t>opłatami na pokrycie wydatków stanowiących koszty działalności Komisji i Urzędu Komisji</w:t>
            </w:r>
            <w:r>
              <w:rPr>
                <w:rFonts w:ascii="Times New Roman" w:hAnsi="Times New Roman"/>
              </w:rPr>
              <w:t xml:space="preserve">. </w:t>
            </w:r>
          </w:p>
        </w:tc>
      </w:tr>
      <w:tr w:rsidR="00882821" w:rsidRPr="008B4FE6" w14:paraId="74FCFE8B" w14:textId="77777777" w:rsidTr="00862088">
        <w:trPr>
          <w:gridAfter w:val="2"/>
          <w:wAfter w:w="31" w:type="dxa"/>
          <w:trHeight w:val="142"/>
        </w:trPr>
        <w:tc>
          <w:tcPr>
            <w:tcW w:w="10916" w:type="dxa"/>
            <w:gridSpan w:val="29"/>
            <w:shd w:val="clear" w:color="auto" w:fill="99CCFF"/>
          </w:tcPr>
          <w:p w14:paraId="70CC9F02" w14:textId="77777777" w:rsidR="00882821" w:rsidRPr="008B4FE6" w:rsidRDefault="00882821"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882821" w:rsidRPr="008B4FE6" w14:paraId="1E0DAE0E" w14:textId="77777777" w:rsidTr="00862088">
        <w:trPr>
          <w:gridAfter w:val="2"/>
          <w:wAfter w:w="31" w:type="dxa"/>
          <w:trHeight w:val="142"/>
        </w:trPr>
        <w:tc>
          <w:tcPr>
            <w:tcW w:w="10916" w:type="dxa"/>
            <w:gridSpan w:val="29"/>
            <w:shd w:val="clear" w:color="auto" w:fill="auto"/>
          </w:tcPr>
          <w:p w14:paraId="28BE0D37" w14:textId="77777777" w:rsidR="00882821" w:rsidRPr="008B4FE6" w:rsidRDefault="00882821" w:rsidP="00B37C80">
            <w:pPr>
              <w:spacing w:line="240" w:lineRule="auto"/>
              <w:jc w:val="both"/>
              <w:rPr>
                <w:rFonts w:ascii="Times New Roman" w:hAnsi="Times New Roman"/>
                <w:color w:val="000000"/>
              </w:rPr>
            </w:pPr>
            <w:r>
              <w:rPr>
                <w:rFonts w:ascii="Times New Roman" w:hAnsi="Times New Roman"/>
                <w:color w:val="000000"/>
              </w:rPr>
              <w:t>Projektowane regulacje nie oddziałują na rynek pracy.</w:t>
            </w:r>
          </w:p>
        </w:tc>
      </w:tr>
      <w:tr w:rsidR="00882821" w:rsidRPr="008B4FE6" w14:paraId="28E69E7E" w14:textId="77777777" w:rsidTr="00862088">
        <w:trPr>
          <w:gridAfter w:val="2"/>
          <w:wAfter w:w="31" w:type="dxa"/>
          <w:trHeight w:val="142"/>
        </w:trPr>
        <w:tc>
          <w:tcPr>
            <w:tcW w:w="10916" w:type="dxa"/>
            <w:gridSpan w:val="29"/>
            <w:shd w:val="clear" w:color="auto" w:fill="99CCFF"/>
          </w:tcPr>
          <w:p w14:paraId="0DDB15F9" w14:textId="77777777" w:rsidR="00882821" w:rsidRPr="008B4FE6" w:rsidRDefault="00882821"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882821" w:rsidRPr="008B4FE6" w14:paraId="527EA59C" w14:textId="77777777" w:rsidTr="00862088">
        <w:trPr>
          <w:gridAfter w:val="2"/>
          <w:wAfter w:w="31" w:type="dxa"/>
          <w:trHeight w:val="1031"/>
        </w:trPr>
        <w:tc>
          <w:tcPr>
            <w:tcW w:w="3547" w:type="dxa"/>
            <w:gridSpan w:val="5"/>
            <w:shd w:val="clear" w:color="auto" w:fill="FFFFFF"/>
          </w:tcPr>
          <w:p w14:paraId="325B019F" w14:textId="77777777" w:rsidR="00882821" w:rsidRPr="008B4FE6" w:rsidRDefault="00882821" w:rsidP="00254DED">
            <w:pPr>
              <w:spacing w:line="240" w:lineRule="auto"/>
              <w:rPr>
                <w:rFonts w:ascii="Times New Roman" w:hAnsi="Times New Roman"/>
                <w:color w:val="000000"/>
              </w:rPr>
            </w:pPr>
          </w:p>
          <w:p w14:paraId="6859ECED" w14:textId="77777777" w:rsidR="00882821" w:rsidRPr="008B4FE6" w:rsidRDefault="00882821"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5CE33AD4" w14:textId="77777777" w:rsidR="00882821" w:rsidRDefault="00882821"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1454C517" w14:textId="77777777" w:rsidR="00882821" w:rsidRPr="008B4FE6" w:rsidRDefault="00882821" w:rsidP="00B15799">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Pr>
                <w:rFonts w:ascii="Times New Roman" w:hAnsi="Times New Roman"/>
                <w:color w:val="000000"/>
              </w:rPr>
              <w:t>bezpieczeństwo finansowe osób fizycznych.</w:t>
            </w:r>
          </w:p>
        </w:tc>
        <w:tc>
          <w:tcPr>
            <w:tcW w:w="3687" w:type="dxa"/>
            <w:gridSpan w:val="15"/>
            <w:shd w:val="clear" w:color="auto" w:fill="FFFFFF"/>
          </w:tcPr>
          <w:p w14:paraId="1319B051" w14:textId="77777777" w:rsidR="00882821" w:rsidRPr="008B4FE6" w:rsidRDefault="00882821" w:rsidP="00254DED">
            <w:pPr>
              <w:spacing w:line="240" w:lineRule="auto"/>
              <w:rPr>
                <w:rFonts w:ascii="Times New Roman" w:hAnsi="Times New Roman"/>
                <w:color w:val="000000"/>
              </w:rPr>
            </w:pPr>
          </w:p>
          <w:p w14:paraId="5B8DC64D" w14:textId="77777777" w:rsidR="00882821" w:rsidRPr="008B4FE6" w:rsidRDefault="00882821"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68FD5E9F" w14:textId="77777777" w:rsidR="00882821" w:rsidRPr="008B4FE6" w:rsidRDefault="00882821"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tc>
        <w:tc>
          <w:tcPr>
            <w:tcW w:w="3682" w:type="dxa"/>
            <w:gridSpan w:val="9"/>
            <w:shd w:val="clear" w:color="auto" w:fill="FFFFFF"/>
          </w:tcPr>
          <w:p w14:paraId="5B23F41E" w14:textId="77777777" w:rsidR="00882821" w:rsidRPr="008B4FE6" w:rsidRDefault="00882821" w:rsidP="006A701A">
            <w:pPr>
              <w:spacing w:line="240" w:lineRule="auto"/>
              <w:rPr>
                <w:rFonts w:ascii="Times New Roman" w:hAnsi="Times New Roman"/>
                <w:color w:val="000000"/>
              </w:rPr>
            </w:pPr>
          </w:p>
          <w:p w14:paraId="0D59147E" w14:textId="77777777" w:rsidR="00882821" w:rsidRDefault="00882821" w:rsidP="006A701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2D73E756" w14:textId="77777777" w:rsidR="00882821" w:rsidRPr="008B4FE6" w:rsidRDefault="00882821"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882821" w:rsidRPr="008B4FE6" w14:paraId="7E6F9551" w14:textId="77777777" w:rsidTr="00862088">
        <w:trPr>
          <w:gridAfter w:val="2"/>
          <w:wAfter w:w="31" w:type="dxa"/>
          <w:trHeight w:val="712"/>
        </w:trPr>
        <w:tc>
          <w:tcPr>
            <w:tcW w:w="2243" w:type="dxa"/>
            <w:gridSpan w:val="2"/>
            <w:shd w:val="clear" w:color="auto" w:fill="FFFFFF"/>
            <w:vAlign w:val="center"/>
          </w:tcPr>
          <w:p w14:paraId="5FA42391" w14:textId="77777777" w:rsidR="00882821" w:rsidRPr="008B4FE6" w:rsidRDefault="00882821" w:rsidP="00254DED">
            <w:pPr>
              <w:spacing w:line="240" w:lineRule="auto"/>
              <w:rPr>
                <w:rFonts w:ascii="Times New Roman" w:hAnsi="Times New Roman"/>
                <w:color w:val="000000"/>
              </w:rPr>
            </w:pPr>
            <w:r w:rsidRPr="008B4FE6">
              <w:rPr>
                <w:rFonts w:ascii="Times New Roman" w:hAnsi="Times New Roman"/>
                <w:color w:val="000000"/>
              </w:rPr>
              <w:t>Omówienie wpływu</w:t>
            </w:r>
          </w:p>
        </w:tc>
        <w:tc>
          <w:tcPr>
            <w:tcW w:w="8673" w:type="dxa"/>
            <w:gridSpan w:val="27"/>
            <w:shd w:val="clear" w:color="auto" w:fill="FFFFFF"/>
            <w:vAlign w:val="center"/>
          </w:tcPr>
          <w:p w14:paraId="36F55FF9" w14:textId="77777777" w:rsidR="00882821" w:rsidRPr="008B4FE6" w:rsidRDefault="00882821" w:rsidP="005644B4">
            <w:pPr>
              <w:spacing w:line="240" w:lineRule="auto"/>
              <w:jc w:val="both"/>
              <w:rPr>
                <w:rFonts w:ascii="Times New Roman" w:hAnsi="Times New Roman"/>
                <w:color w:val="000000"/>
                <w:spacing w:val="-2"/>
              </w:rPr>
            </w:pPr>
            <w:r>
              <w:rPr>
                <w:rFonts w:ascii="Times New Roman" w:hAnsi="Times New Roman"/>
                <w:color w:val="000000"/>
                <w:spacing w:val="-2"/>
              </w:rPr>
              <w:t xml:space="preserve">Projekt ma na celu zabezpieczenie osób fizycznych, w </w:t>
            </w:r>
            <w:r w:rsidRPr="004F60B8">
              <w:rPr>
                <w:rFonts w:ascii="Times New Roman" w:hAnsi="Times New Roman"/>
                <w:color w:val="000000"/>
                <w:spacing w:val="-2"/>
              </w:rPr>
              <w:t>szczególności os</w:t>
            </w:r>
            <w:r>
              <w:rPr>
                <w:rFonts w:ascii="Times New Roman" w:hAnsi="Times New Roman"/>
                <w:color w:val="000000"/>
                <w:spacing w:val="-2"/>
              </w:rPr>
              <w:t>ób starszych lub niedołężnych</w:t>
            </w:r>
            <w:r w:rsidRPr="004F60B8">
              <w:rPr>
                <w:rFonts w:ascii="Times New Roman" w:hAnsi="Times New Roman"/>
                <w:color w:val="000000"/>
                <w:spacing w:val="-2"/>
              </w:rPr>
              <w:t>,</w:t>
            </w:r>
            <w:r>
              <w:rPr>
                <w:rFonts w:ascii="Times New Roman" w:hAnsi="Times New Roman"/>
                <w:color w:val="000000"/>
                <w:spacing w:val="-2"/>
              </w:rPr>
              <w:t xml:space="preserve"> </w:t>
            </w:r>
            <w:r w:rsidRPr="004F60B8">
              <w:rPr>
                <w:rFonts w:ascii="Times New Roman" w:hAnsi="Times New Roman"/>
                <w:color w:val="000000"/>
                <w:spacing w:val="-2"/>
              </w:rPr>
              <w:t>których sytuacja materialna jest trudna</w:t>
            </w:r>
            <w:r>
              <w:rPr>
                <w:rFonts w:ascii="Times New Roman" w:hAnsi="Times New Roman"/>
                <w:color w:val="000000"/>
                <w:spacing w:val="-2"/>
              </w:rPr>
              <w:t xml:space="preserve"> a którym oferowane są pożycz</w:t>
            </w:r>
            <w:r w:rsidRPr="004F60B8">
              <w:rPr>
                <w:rFonts w:ascii="Times New Roman" w:hAnsi="Times New Roman"/>
                <w:color w:val="000000"/>
                <w:spacing w:val="-2"/>
              </w:rPr>
              <w:t>k</w:t>
            </w:r>
            <w:r>
              <w:rPr>
                <w:rFonts w:ascii="Times New Roman" w:hAnsi="Times New Roman"/>
                <w:color w:val="000000"/>
                <w:spacing w:val="-2"/>
              </w:rPr>
              <w:t>i na rażąco niekorzystnych warunkach, tzw. „lichwiarskie”</w:t>
            </w:r>
            <w:r w:rsidRPr="004F60B8">
              <w:rPr>
                <w:rFonts w:ascii="Times New Roman" w:hAnsi="Times New Roman"/>
                <w:color w:val="000000"/>
                <w:spacing w:val="-2"/>
              </w:rPr>
              <w:t>. Projektowany przepis pozwoli na wyeliminowanie problemów dowodowych związanych z elementem subiektywnym obecnym w</w:t>
            </w:r>
            <w:r>
              <w:rPr>
                <w:rFonts w:ascii="Times New Roman" w:hAnsi="Times New Roman"/>
                <w:color w:val="000000"/>
                <w:spacing w:val="-2"/>
              </w:rPr>
              <w:t> </w:t>
            </w:r>
            <w:r w:rsidRPr="004F60B8">
              <w:rPr>
                <w:rFonts w:ascii="Times New Roman" w:hAnsi="Times New Roman"/>
                <w:color w:val="000000"/>
                <w:spacing w:val="-2"/>
              </w:rPr>
              <w:t>art. 304 k.k. polegających na wykazaniu dlaczego takie osoby znajdują się w przymusowej sytuacji.</w:t>
            </w:r>
          </w:p>
        </w:tc>
      </w:tr>
      <w:tr w:rsidR="00882821" w:rsidRPr="008B4FE6" w14:paraId="7E245CAE" w14:textId="77777777" w:rsidTr="00862088">
        <w:trPr>
          <w:gridAfter w:val="2"/>
          <w:wAfter w:w="31" w:type="dxa"/>
          <w:trHeight w:val="142"/>
        </w:trPr>
        <w:tc>
          <w:tcPr>
            <w:tcW w:w="10916" w:type="dxa"/>
            <w:gridSpan w:val="29"/>
            <w:shd w:val="clear" w:color="auto" w:fill="99CCFF"/>
          </w:tcPr>
          <w:p w14:paraId="19C037AB" w14:textId="77777777" w:rsidR="00882821" w:rsidRPr="008F4B57" w:rsidRDefault="00882821" w:rsidP="00D77FB5">
            <w:pPr>
              <w:numPr>
                <w:ilvl w:val="0"/>
                <w:numId w:val="3"/>
              </w:numPr>
              <w:tabs>
                <w:tab w:val="clear" w:pos="360"/>
                <w:tab w:val="num" w:pos="486"/>
              </w:tabs>
              <w:spacing w:before="60" w:after="60" w:line="240" w:lineRule="auto"/>
              <w:ind w:left="486" w:hanging="452"/>
              <w:jc w:val="both"/>
              <w:rPr>
                <w:rFonts w:ascii="Times New Roman" w:hAnsi="Times New Roman"/>
                <w:b/>
              </w:rPr>
            </w:pPr>
            <w:r w:rsidRPr="00D77FB5">
              <w:rPr>
                <w:rFonts w:ascii="Times New Roman" w:hAnsi="Times New Roman"/>
                <w:b/>
                <w:spacing w:val="-2"/>
              </w:rPr>
              <w:t>Planowane wykonanie przepisów aktu prawnego</w:t>
            </w:r>
          </w:p>
        </w:tc>
      </w:tr>
      <w:tr w:rsidR="00882821" w:rsidRPr="008B4FE6" w14:paraId="4B39FB99" w14:textId="77777777" w:rsidTr="00862088">
        <w:trPr>
          <w:gridAfter w:val="2"/>
          <w:wAfter w:w="31" w:type="dxa"/>
          <w:trHeight w:val="142"/>
        </w:trPr>
        <w:tc>
          <w:tcPr>
            <w:tcW w:w="10916" w:type="dxa"/>
            <w:gridSpan w:val="29"/>
            <w:shd w:val="clear" w:color="auto" w:fill="FFFFFF"/>
          </w:tcPr>
          <w:p w14:paraId="54047CF1" w14:textId="77777777" w:rsidR="00882821" w:rsidRPr="00B37C80" w:rsidRDefault="00882821" w:rsidP="00A912EB">
            <w:pPr>
              <w:spacing w:line="240" w:lineRule="auto"/>
              <w:jc w:val="both"/>
              <w:rPr>
                <w:rFonts w:ascii="Times New Roman" w:hAnsi="Times New Roman"/>
                <w:spacing w:val="-2"/>
              </w:rPr>
            </w:pPr>
            <w:r>
              <w:rPr>
                <w:rFonts w:ascii="Times New Roman" w:hAnsi="Times New Roman"/>
                <w:spacing w:val="-2"/>
              </w:rPr>
              <w:t xml:space="preserve">Przewiduje się wejście w życie projektu </w:t>
            </w:r>
            <w:r w:rsidRPr="004861DA">
              <w:rPr>
                <w:rFonts w:ascii="Times New Roman" w:hAnsi="Times New Roman"/>
                <w:spacing w:val="-2"/>
              </w:rPr>
              <w:t xml:space="preserve">po upływie </w:t>
            </w:r>
            <w:r>
              <w:rPr>
                <w:rFonts w:ascii="Times New Roman" w:hAnsi="Times New Roman"/>
                <w:spacing w:val="-2"/>
              </w:rPr>
              <w:t>6 miesięcy</w:t>
            </w:r>
            <w:r w:rsidRPr="004861DA">
              <w:rPr>
                <w:rFonts w:ascii="Times New Roman" w:hAnsi="Times New Roman"/>
                <w:spacing w:val="-2"/>
              </w:rPr>
              <w:t xml:space="preserve"> od dnia ogłoszenia</w:t>
            </w:r>
            <w:r>
              <w:rPr>
                <w:rFonts w:ascii="Times New Roman" w:hAnsi="Times New Roman"/>
                <w:spacing w:val="-2"/>
              </w:rPr>
              <w:t>.</w:t>
            </w:r>
          </w:p>
        </w:tc>
      </w:tr>
      <w:tr w:rsidR="00882821" w:rsidRPr="008B4FE6" w14:paraId="69E305C2" w14:textId="77777777" w:rsidTr="00D77FB5">
        <w:trPr>
          <w:gridAfter w:val="2"/>
          <w:wAfter w:w="31" w:type="dxa"/>
          <w:trHeight w:val="376"/>
        </w:trPr>
        <w:tc>
          <w:tcPr>
            <w:tcW w:w="10916" w:type="dxa"/>
            <w:gridSpan w:val="29"/>
            <w:shd w:val="clear" w:color="auto" w:fill="99CCFF"/>
          </w:tcPr>
          <w:p w14:paraId="0A75F274" w14:textId="77777777" w:rsidR="00882821" w:rsidRPr="008F4B57" w:rsidRDefault="00882821" w:rsidP="008F4B57">
            <w:pPr>
              <w:numPr>
                <w:ilvl w:val="0"/>
                <w:numId w:val="3"/>
              </w:numPr>
              <w:tabs>
                <w:tab w:val="clear" w:pos="360"/>
                <w:tab w:val="num" w:pos="486"/>
              </w:tabs>
              <w:spacing w:before="60" w:after="60" w:line="240" w:lineRule="auto"/>
              <w:ind w:left="486" w:hanging="452"/>
              <w:jc w:val="both"/>
              <w:rPr>
                <w:rFonts w:ascii="Times New Roman" w:hAnsi="Times New Roman"/>
                <w:b/>
                <w:color w:val="000000"/>
              </w:rPr>
            </w:pPr>
            <w:r w:rsidRPr="00D77FB5">
              <w:rPr>
                <w:rFonts w:ascii="Times New Roman" w:hAnsi="Times New Roman"/>
                <w:b/>
                <w:spacing w:val="-2"/>
              </w:rPr>
              <w:t>W jaki sposób i kiedy nastąpi ewaluacja efektów projektu oraz jakie mierniki zostaną zastosowane?</w:t>
            </w:r>
          </w:p>
        </w:tc>
      </w:tr>
      <w:tr w:rsidR="00882821" w:rsidRPr="008B4FE6" w14:paraId="3E764B10" w14:textId="77777777" w:rsidTr="00862088">
        <w:trPr>
          <w:gridAfter w:val="2"/>
          <w:wAfter w:w="31" w:type="dxa"/>
          <w:trHeight w:val="142"/>
        </w:trPr>
        <w:tc>
          <w:tcPr>
            <w:tcW w:w="10916" w:type="dxa"/>
            <w:gridSpan w:val="29"/>
            <w:shd w:val="clear" w:color="auto" w:fill="FFFFFF"/>
          </w:tcPr>
          <w:p w14:paraId="4560D777" w14:textId="77777777" w:rsidR="00882821" w:rsidRDefault="00882821" w:rsidP="00012339">
            <w:pPr>
              <w:spacing w:line="240" w:lineRule="auto"/>
              <w:jc w:val="both"/>
              <w:rPr>
                <w:rFonts w:ascii="Times New Roman" w:hAnsi="Times New Roman"/>
                <w:color w:val="000000"/>
                <w:spacing w:val="-2"/>
              </w:rPr>
            </w:pPr>
            <w:r>
              <w:rPr>
                <w:rFonts w:ascii="Times New Roman" w:hAnsi="Times New Roman"/>
                <w:color w:val="000000"/>
                <w:spacing w:val="-2"/>
              </w:rPr>
              <w:t xml:space="preserve">Proponuje się dokonanie ewaluacji </w:t>
            </w:r>
            <w:r w:rsidRPr="005B3A3C">
              <w:rPr>
                <w:rFonts w:ascii="Times New Roman" w:hAnsi="Times New Roman"/>
                <w:color w:val="000000"/>
                <w:spacing w:val="-2"/>
              </w:rPr>
              <w:t>efektów projektu</w:t>
            </w:r>
            <w:r>
              <w:rPr>
                <w:rFonts w:ascii="Times New Roman" w:hAnsi="Times New Roman"/>
                <w:color w:val="000000"/>
                <w:spacing w:val="-2"/>
              </w:rPr>
              <w:t xml:space="preserve"> w terminie 4 lat od dnia wejścia w życie przedmiotowej ustawy.</w:t>
            </w:r>
          </w:p>
          <w:p w14:paraId="2F36D0F7" w14:textId="77777777" w:rsidR="00882821" w:rsidRDefault="00882821" w:rsidP="00012339">
            <w:pPr>
              <w:spacing w:line="240" w:lineRule="auto"/>
              <w:jc w:val="both"/>
              <w:rPr>
                <w:rFonts w:ascii="Times New Roman" w:hAnsi="Times New Roman"/>
                <w:color w:val="000000"/>
                <w:spacing w:val="-2"/>
              </w:rPr>
            </w:pPr>
            <w:r>
              <w:rPr>
                <w:rFonts w:ascii="Times New Roman" w:hAnsi="Times New Roman"/>
                <w:color w:val="000000"/>
                <w:spacing w:val="-2"/>
              </w:rPr>
              <w:t xml:space="preserve">Ocena </w:t>
            </w:r>
            <w:r w:rsidRPr="00EF4ECC">
              <w:rPr>
                <w:rFonts w:ascii="Times New Roman" w:hAnsi="Times New Roman"/>
                <w:i/>
                <w:color w:val="000000"/>
                <w:spacing w:val="-2"/>
              </w:rPr>
              <w:t xml:space="preserve">ex post </w:t>
            </w:r>
            <w:r>
              <w:rPr>
                <w:rFonts w:ascii="Times New Roman" w:hAnsi="Times New Roman"/>
                <w:color w:val="000000"/>
                <w:spacing w:val="-2"/>
              </w:rPr>
              <w:t>może być dokonana w oparciu o następujące mierniki:</w:t>
            </w:r>
          </w:p>
          <w:p w14:paraId="64FB5A50" w14:textId="77777777" w:rsidR="00882821" w:rsidRDefault="00882821" w:rsidP="00012339">
            <w:pPr>
              <w:spacing w:line="240" w:lineRule="auto"/>
              <w:jc w:val="both"/>
              <w:rPr>
                <w:rFonts w:ascii="Times New Roman" w:hAnsi="Times New Roman"/>
                <w:color w:val="000000"/>
                <w:spacing w:val="-2"/>
              </w:rPr>
            </w:pPr>
            <w:r>
              <w:rPr>
                <w:rFonts w:ascii="Times New Roman" w:hAnsi="Times New Roman"/>
                <w:color w:val="000000"/>
                <w:spacing w:val="-2"/>
              </w:rPr>
              <w:t>- o</w:t>
            </w:r>
            <w:r w:rsidRPr="00074ECB">
              <w:rPr>
                <w:rFonts w:ascii="Times New Roman" w:hAnsi="Times New Roman"/>
                <w:color w:val="000000"/>
                <w:spacing w:val="-2"/>
              </w:rPr>
              <w:t>soby fizyczne korzystające z usług firm pożyczkowych</w:t>
            </w:r>
            <w:r>
              <w:rPr>
                <w:rFonts w:ascii="Times New Roman" w:hAnsi="Times New Roman"/>
                <w:color w:val="000000"/>
                <w:spacing w:val="-2"/>
              </w:rPr>
              <w:t>;</w:t>
            </w:r>
          </w:p>
          <w:p w14:paraId="19C48CF3" w14:textId="77777777" w:rsidR="00882821" w:rsidRDefault="00882821" w:rsidP="00012339">
            <w:pPr>
              <w:spacing w:line="240" w:lineRule="auto"/>
              <w:jc w:val="both"/>
              <w:rPr>
                <w:rFonts w:ascii="Times New Roman" w:hAnsi="Times New Roman"/>
                <w:color w:val="000000"/>
                <w:spacing w:val="-2"/>
              </w:rPr>
            </w:pPr>
            <w:r>
              <w:rPr>
                <w:rFonts w:ascii="Times New Roman" w:hAnsi="Times New Roman"/>
                <w:color w:val="000000"/>
                <w:spacing w:val="-2"/>
              </w:rPr>
              <w:t>- liczba i</w:t>
            </w:r>
            <w:r w:rsidRPr="00012339">
              <w:rPr>
                <w:rFonts w:ascii="Times New Roman" w:hAnsi="Times New Roman"/>
                <w:color w:val="000000"/>
                <w:spacing w:val="-2"/>
              </w:rPr>
              <w:t>nstytucj</w:t>
            </w:r>
            <w:r>
              <w:rPr>
                <w:rFonts w:ascii="Times New Roman" w:hAnsi="Times New Roman"/>
                <w:color w:val="000000"/>
                <w:spacing w:val="-2"/>
              </w:rPr>
              <w:t>i pożyczkowych;</w:t>
            </w:r>
          </w:p>
          <w:p w14:paraId="2460109C" w14:textId="77777777" w:rsidR="00882821" w:rsidRDefault="00882821" w:rsidP="00012339">
            <w:pPr>
              <w:spacing w:line="240" w:lineRule="auto"/>
              <w:jc w:val="both"/>
              <w:rPr>
                <w:rFonts w:ascii="Times New Roman" w:hAnsi="Times New Roman"/>
                <w:color w:val="000000"/>
                <w:spacing w:val="-2"/>
              </w:rPr>
            </w:pPr>
            <w:r>
              <w:rPr>
                <w:rFonts w:ascii="Times New Roman" w:hAnsi="Times New Roman"/>
                <w:color w:val="000000"/>
                <w:spacing w:val="-2"/>
              </w:rPr>
              <w:lastRenderedPageBreak/>
              <w:t>- liczba p</w:t>
            </w:r>
            <w:r w:rsidRPr="00012339">
              <w:rPr>
                <w:rFonts w:ascii="Times New Roman" w:hAnsi="Times New Roman"/>
                <w:color w:val="000000"/>
                <w:spacing w:val="-2"/>
              </w:rPr>
              <w:t>ośredni</w:t>
            </w:r>
            <w:r>
              <w:rPr>
                <w:rFonts w:ascii="Times New Roman" w:hAnsi="Times New Roman"/>
                <w:color w:val="000000"/>
                <w:spacing w:val="-2"/>
              </w:rPr>
              <w:t>ków kredytowych;</w:t>
            </w:r>
          </w:p>
          <w:p w14:paraId="1469EB58" w14:textId="77777777" w:rsidR="00882821" w:rsidRPr="00B37C80" w:rsidRDefault="00882821" w:rsidP="00D66A52">
            <w:pPr>
              <w:spacing w:line="240" w:lineRule="auto"/>
              <w:jc w:val="both"/>
              <w:rPr>
                <w:rFonts w:ascii="Times New Roman" w:hAnsi="Times New Roman"/>
                <w:color w:val="000000"/>
                <w:spacing w:val="-2"/>
              </w:rPr>
            </w:pPr>
            <w:r>
              <w:rPr>
                <w:rFonts w:ascii="Times New Roman" w:hAnsi="Times New Roman"/>
                <w:color w:val="000000"/>
                <w:spacing w:val="-2"/>
              </w:rPr>
              <w:t>- wartość oraz liczba kar nałożonych przez Komisję Nadzoru Finansowego na instytucje pożyczkowe.</w:t>
            </w:r>
          </w:p>
        </w:tc>
      </w:tr>
      <w:tr w:rsidR="00882821" w:rsidRPr="008B4FE6" w14:paraId="066C73D0" w14:textId="77777777" w:rsidTr="00862088">
        <w:trPr>
          <w:gridAfter w:val="2"/>
          <w:wAfter w:w="31" w:type="dxa"/>
          <w:trHeight w:val="142"/>
        </w:trPr>
        <w:tc>
          <w:tcPr>
            <w:tcW w:w="10916" w:type="dxa"/>
            <w:gridSpan w:val="29"/>
            <w:shd w:val="clear" w:color="auto" w:fill="99CCFF"/>
          </w:tcPr>
          <w:p w14:paraId="5B2A7236" w14:textId="77777777" w:rsidR="00882821" w:rsidRPr="008F4B57" w:rsidRDefault="00882821" w:rsidP="00D77FB5">
            <w:pPr>
              <w:numPr>
                <w:ilvl w:val="0"/>
                <w:numId w:val="3"/>
              </w:numPr>
              <w:tabs>
                <w:tab w:val="clear" w:pos="360"/>
                <w:tab w:val="num" w:pos="486"/>
              </w:tabs>
              <w:spacing w:before="60" w:after="60" w:line="240" w:lineRule="auto"/>
              <w:ind w:left="486" w:hanging="452"/>
              <w:jc w:val="both"/>
              <w:rPr>
                <w:rFonts w:ascii="Times New Roman" w:hAnsi="Times New Roman"/>
                <w:b/>
                <w:color w:val="000000"/>
                <w:spacing w:val="-2"/>
              </w:rPr>
            </w:pPr>
            <w:r w:rsidRPr="008F4B57">
              <w:rPr>
                <w:rFonts w:ascii="Times New Roman" w:hAnsi="Times New Roman"/>
                <w:b/>
                <w:color w:val="000000"/>
                <w:spacing w:val="-2"/>
              </w:rPr>
              <w:lastRenderedPageBreak/>
              <w:t xml:space="preserve">Załączniki </w:t>
            </w:r>
            <w:r w:rsidRPr="00D77FB5">
              <w:rPr>
                <w:rFonts w:ascii="Times New Roman" w:hAnsi="Times New Roman"/>
                <w:b/>
                <w:spacing w:val="-2"/>
              </w:rPr>
              <w:t>(istotne dokumenty źródłowe, badania, analizy itp.</w:t>
            </w:r>
            <w:r w:rsidRPr="008F4B57">
              <w:rPr>
                <w:rFonts w:ascii="Times New Roman" w:hAnsi="Times New Roman"/>
                <w:b/>
                <w:color w:val="000000"/>
                <w:spacing w:val="-2"/>
              </w:rPr>
              <w:t xml:space="preserve">) </w:t>
            </w:r>
          </w:p>
        </w:tc>
      </w:tr>
      <w:tr w:rsidR="00882821" w:rsidRPr="008B4FE6" w14:paraId="651D2B33" w14:textId="77777777" w:rsidTr="00862088">
        <w:trPr>
          <w:gridAfter w:val="2"/>
          <w:wAfter w:w="31" w:type="dxa"/>
          <w:trHeight w:val="142"/>
        </w:trPr>
        <w:tc>
          <w:tcPr>
            <w:tcW w:w="10916" w:type="dxa"/>
            <w:gridSpan w:val="29"/>
            <w:shd w:val="clear" w:color="auto" w:fill="FFFFFF"/>
          </w:tcPr>
          <w:p w14:paraId="09A39F26" w14:textId="77777777" w:rsidR="00882821" w:rsidRPr="00B37C80" w:rsidRDefault="00882821" w:rsidP="00B37C80">
            <w:pPr>
              <w:spacing w:line="240" w:lineRule="auto"/>
              <w:jc w:val="both"/>
              <w:rPr>
                <w:rFonts w:ascii="Times New Roman" w:hAnsi="Times New Roman"/>
                <w:color w:val="000000"/>
                <w:spacing w:val="-2"/>
              </w:rPr>
            </w:pPr>
            <w:r>
              <w:rPr>
                <w:rFonts w:ascii="Times New Roman" w:hAnsi="Times New Roman"/>
                <w:color w:val="000000"/>
                <w:spacing w:val="-2"/>
              </w:rPr>
              <w:t>-</w:t>
            </w:r>
          </w:p>
        </w:tc>
      </w:tr>
    </w:tbl>
    <w:p w14:paraId="2B0F3EC9" w14:textId="77777777" w:rsidR="006176ED" w:rsidRPr="00522D94" w:rsidRDefault="009D0655" w:rsidP="00441787">
      <w:pPr>
        <w:spacing w:after="120"/>
        <w:ind w:left="360"/>
        <w:jc w:val="both"/>
        <w:rPr>
          <w:rFonts w:ascii="Times New Roman" w:hAnsi="Times New Roman"/>
          <w:sz w:val="20"/>
          <w:szCs w:val="20"/>
        </w:rPr>
      </w:pPr>
      <w:r>
        <w:rPr>
          <w:rFonts w:ascii="Times New Roman" w:hAnsi="Times New Roman"/>
          <w:sz w:val="20"/>
          <w:szCs w:val="20"/>
        </w:rPr>
        <w:t xml:space="preserve"> </w:t>
      </w:r>
    </w:p>
    <w:sectPr w:rsidR="006176ED" w:rsidRPr="00522D94" w:rsidSect="00D77FB5">
      <w:footerReference w:type="default" r:id="rId22"/>
      <w:pgSz w:w="11906" w:h="16838"/>
      <w:pgMar w:top="568" w:right="707" w:bottom="568" w:left="720" w:header="708" w:footer="2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A5678" w14:textId="77777777" w:rsidR="00B3258A" w:rsidRDefault="00B3258A" w:rsidP="00044739">
      <w:pPr>
        <w:spacing w:line="240" w:lineRule="auto"/>
      </w:pPr>
      <w:r>
        <w:separator/>
      </w:r>
    </w:p>
  </w:endnote>
  <w:endnote w:type="continuationSeparator" w:id="0">
    <w:p w14:paraId="0DFDB119" w14:textId="77777777" w:rsidR="00B3258A" w:rsidRDefault="00B3258A" w:rsidP="00044739">
      <w:pPr>
        <w:spacing w:line="240" w:lineRule="auto"/>
      </w:pPr>
      <w:r>
        <w:continuationSeparator/>
      </w:r>
    </w:p>
  </w:endnote>
  <w:endnote w:type="continuationNotice" w:id="1">
    <w:p w14:paraId="38F2D677" w14:textId="77777777" w:rsidR="00B3258A" w:rsidRDefault="00B325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Elephant">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352807543"/>
      <w:docPartObj>
        <w:docPartGallery w:val="Page Numbers (Bottom of Page)"/>
        <w:docPartUnique/>
      </w:docPartObj>
    </w:sdtPr>
    <w:sdtEndPr/>
    <w:sdtContent>
      <w:p w14:paraId="19E775F1" w14:textId="10BF38F5" w:rsidR="008F4B57" w:rsidRPr="00D77FB5" w:rsidRDefault="008F4B57">
        <w:pPr>
          <w:pStyle w:val="Stopka"/>
          <w:jc w:val="center"/>
          <w:rPr>
            <w:rFonts w:ascii="Times New Roman" w:hAnsi="Times New Roman"/>
            <w:sz w:val="24"/>
            <w:szCs w:val="24"/>
          </w:rPr>
        </w:pPr>
        <w:r w:rsidRPr="00D77FB5">
          <w:rPr>
            <w:rFonts w:ascii="Times New Roman" w:hAnsi="Times New Roman"/>
            <w:sz w:val="24"/>
            <w:szCs w:val="24"/>
          </w:rPr>
          <w:fldChar w:fldCharType="begin"/>
        </w:r>
        <w:r w:rsidRPr="00D77FB5">
          <w:rPr>
            <w:rFonts w:ascii="Times New Roman" w:hAnsi="Times New Roman"/>
            <w:sz w:val="24"/>
            <w:szCs w:val="24"/>
          </w:rPr>
          <w:instrText>PAGE   \* MERGEFORMAT</w:instrText>
        </w:r>
        <w:r w:rsidRPr="00D77FB5">
          <w:rPr>
            <w:rFonts w:ascii="Times New Roman" w:hAnsi="Times New Roman"/>
            <w:sz w:val="24"/>
            <w:szCs w:val="24"/>
          </w:rPr>
          <w:fldChar w:fldCharType="separate"/>
        </w:r>
        <w:r w:rsidR="000E5E28">
          <w:rPr>
            <w:rFonts w:ascii="Times New Roman" w:hAnsi="Times New Roman"/>
            <w:noProof/>
            <w:sz w:val="24"/>
            <w:szCs w:val="24"/>
          </w:rPr>
          <w:t>18</w:t>
        </w:r>
        <w:r w:rsidRPr="00D77FB5">
          <w:rPr>
            <w:rFonts w:ascii="Times New Roman" w:hAnsi="Times New Roman"/>
            <w:sz w:val="24"/>
            <w:szCs w:val="24"/>
          </w:rPr>
          <w:fldChar w:fldCharType="end"/>
        </w:r>
      </w:p>
    </w:sdtContent>
  </w:sdt>
  <w:p w14:paraId="5FA4534C" w14:textId="77777777" w:rsidR="008F4B57" w:rsidRPr="00D77FB5" w:rsidRDefault="008F4B57">
    <w:pPr>
      <w:pStyle w:val="Stopka"/>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1AF2" w14:textId="77777777" w:rsidR="00B3258A" w:rsidRDefault="00B3258A" w:rsidP="00044739">
      <w:pPr>
        <w:spacing w:line="240" w:lineRule="auto"/>
      </w:pPr>
      <w:r>
        <w:separator/>
      </w:r>
    </w:p>
  </w:footnote>
  <w:footnote w:type="continuationSeparator" w:id="0">
    <w:p w14:paraId="275BACC3" w14:textId="77777777" w:rsidR="00B3258A" w:rsidRDefault="00B3258A" w:rsidP="00044739">
      <w:pPr>
        <w:spacing w:line="240" w:lineRule="auto"/>
      </w:pPr>
      <w:r>
        <w:continuationSeparator/>
      </w:r>
    </w:p>
  </w:footnote>
  <w:footnote w:type="continuationNotice" w:id="1">
    <w:p w14:paraId="1E1A9D07" w14:textId="77777777" w:rsidR="00B3258A" w:rsidRDefault="00B3258A">
      <w:pPr>
        <w:spacing w:line="240" w:lineRule="auto"/>
      </w:pPr>
    </w:p>
  </w:footnote>
  <w:footnote w:id="2">
    <w:p w14:paraId="3C4EA12F"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Ustawa z dnia 7 lipca 2005 r. o zmianie ustawy - Kodeks cywilny oraz o zmianie niektórych innych ustaw (Dz. U.  poz. 1316);</w:t>
      </w:r>
    </w:p>
  </w:footnote>
  <w:footnote w:id="3">
    <w:p w14:paraId="2F8A64B0"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Obwieszczenie Ministra Sprawiedliwości z dnia 7 stycznia 2016 r. w sprawie wysokości odsetek ustawowych (M.P. poz. 46).</w:t>
      </w:r>
    </w:p>
  </w:footnote>
  <w:footnote w:id="4">
    <w:p w14:paraId="6B457AE4"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Oprac. na podstawie danych KRD. </w:t>
      </w:r>
      <w:r w:rsidR="008F4B57" w:rsidRPr="00D77FB5">
        <w:rPr>
          <w:rFonts w:ascii="Times New Roman" w:hAnsi="Times New Roman"/>
          <w:sz w:val="18"/>
          <w:szCs w:val="18"/>
        </w:rPr>
        <w:t>https://krd.pl/Centrum-prasowe/Informacje-prasowe/2017/Zadluzone-jest-zycie-staruszka---emeryci-tona-w-dlugach</w:t>
      </w:r>
      <w:r w:rsidRPr="00D77FB5">
        <w:rPr>
          <w:rFonts w:ascii="Times New Roman" w:hAnsi="Times New Roman"/>
          <w:sz w:val="18"/>
          <w:szCs w:val="18"/>
        </w:rPr>
        <w:t xml:space="preserve">. </w:t>
      </w:r>
    </w:p>
  </w:footnote>
  <w:footnote w:id="5">
    <w:p w14:paraId="63887D8E"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Tamże.</w:t>
      </w:r>
    </w:p>
  </w:footnote>
  <w:footnote w:id="6">
    <w:p w14:paraId="06458CD4"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w:t>
      </w:r>
      <w:r w:rsidRPr="00D77FB5">
        <w:rPr>
          <w:rFonts w:ascii="Times New Roman" w:hAnsi="Times New Roman"/>
          <w:i/>
          <w:sz w:val="18"/>
          <w:szCs w:val="18"/>
        </w:rPr>
        <w:t xml:space="preserve">Długi emerytów - dziadek za wnuczka, wnuczek na babcię, </w:t>
      </w:r>
      <w:r w:rsidRPr="00D77FB5">
        <w:rPr>
          <w:rFonts w:ascii="Times New Roman" w:hAnsi="Times New Roman"/>
          <w:sz w:val="18"/>
          <w:szCs w:val="18"/>
        </w:rPr>
        <w:t xml:space="preserve">KRD </w:t>
      </w:r>
      <w:r w:rsidR="008F4B57" w:rsidRPr="00D77FB5">
        <w:rPr>
          <w:rFonts w:ascii="Times New Roman" w:hAnsi="Times New Roman"/>
          <w:sz w:val="18"/>
          <w:szCs w:val="18"/>
        </w:rPr>
        <w:t>https://krd.pl/Centrum-prasowe/Informacje-prasowe/2019/Dlugi-emerytow---dziadek-za-wnuczka--wnuczek-na-babcie</w:t>
      </w:r>
      <w:r w:rsidRPr="00D77FB5">
        <w:rPr>
          <w:rFonts w:ascii="Times New Roman" w:hAnsi="Times New Roman"/>
          <w:sz w:val="18"/>
          <w:szCs w:val="18"/>
        </w:rPr>
        <w:t xml:space="preserve">. </w:t>
      </w:r>
    </w:p>
  </w:footnote>
  <w:footnote w:id="7">
    <w:p w14:paraId="35384522"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Źródło: statystyka Policji - </w:t>
      </w:r>
      <w:r w:rsidR="008F4B57" w:rsidRPr="00D77FB5">
        <w:rPr>
          <w:rFonts w:ascii="Times New Roman" w:hAnsi="Times New Roman"/>
          <w:sz w:val="18"/>
          <w:szCs w:val="18"/>
        </w:rPr>
        <w:t>http://statystyka.policja.pl/st/kodeks-karny/przestepstwa-przeciwko-17/63940,Lichwa-art-304.html</w:t>
      </w:r>
      <w:r w:rsidRPr="00D77FB5">
        <w:rPr>
          <w:rFonts w:ascii="Times New Roman" w:hAnsi="Times New Roman"/>
          <w:sz w:val="18"/>
          <w:szCs w:val="18"/>
        </w:rPr>
        <w:t>.</w:t>
      </w:r>
    </w:p>
  </w:footnote>
  <w:footnote w:id="8">
    <w:p w14:paraId="4AC0F1F5"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Źródło: dane własne MS.</w:t>
      </w:r>
    </w:p>
  </w:footnote>
  <w:footnote w:id="9">
    <w:p w14:paraId="670F1E37"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Wykaz kar nałożonych przez Komisję Nadzoru Finansowego, </w:t>
      </w:r>
      <w:r w:rsidR="008F4B57" w:rsidRPr="00D77FB5">
        <w:rPr>
          <w:rFonts w:ascii="Times New Roman" w:hAnsi="Times New Roman"/>
          <w:sz w:val="18"/>
          <w:szCs w:val="18"/>
        </w:rPr>
        <w:t>https://bip.knf.gov.pl/?l=/Komisja/050_Kary/kary.html</w:t>
      </w:r>
      <w:r w:rsidRPr="00D77FB5">
        <w:rPr>
          <w:rFonts w:ascii="Times New Roman" w:hAnsi="Times New Roman"/>
          <w:sz w:val="18"/>
          <w:szCs w:val="18"/>
        </w:rPr>
        <w:t xml:space="preserve"> (dostęp: 8 maja 2019 r.).</w:t>
      </w:r>
    </w:p>
  </w:footnote>
  <w:footnote w:id="10">
    <w:p w14:paraId="4A07187E"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Sprawozdanie z działalności urzędu komisji nadzoru finansowego oraz komisji nadzoru finansowego w 2018 roku, s. 153. </w:t>
      </w:r>
    </w:p>
  </w:footnote>
  <w:footnote w:id="11">
    <w:p w14:paraId="0D4384ED"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Oprac. na podstawie danych KRD. </w:t>
      </w:r>
      <w:r w:rsidR="008F4B57" w:rsidRPr="00D77FB5">
        <w:rPr>
          <w:rFonts w:ascii="Times New Roman" w:hAnsi="Times New Roman"/>
          <w:sz w:val="18"/>
          <w:szCs w:val="18"/>
        </w:rPr>
        <w:t>https://krd.pl/Centrum-prasowe/Informacje-prasowe/2017/Zadluzone-jest-zycie-staruszka---emeryci-tona-w-dlugach</w:t>
      </w:r>
      <w:r w:rsidRPr="00D77FB5">
        <w:rPr>
          <w:rFonts w:ascii="Times New Roman" w:hAnsi="Times New Roman"/>
          <w:sz w:val="18"/>
          <w:szCs w:val="18"/>
        </w:rPr>
        <w:t xml:space="preserve">. </w:t>
      </w:r>
    </w:p>
  </w:footnote>
  <w:footnote w:id="12">
    <w:p w14:paraId="724F21D4"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Tamże.</w:t>
      </w:r>
    </w:p>
  </w:footnote>
  <w:footnote w:id="13">
    <w:p w14:paraId="60D1C8E3"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w:t>
      </w:r>
      <w:r w:rsidRPr="00D77FB5">
        <w:rPr>
          <w:rFonts w:ascii="Times New Roman" w:hAnsi="Times New Roman"/>
          <w:i/>
          <w:sz w:val="18"/>
          <w:szCs w:val="18"/>
        </w:rPr>
        <w:t xml:space="preserve">Długi emerytów - dziadek za wnuczka, wnuczek na babcię, </w:t>
      </w:r>
      <w:r w:rsidRPr="00D77FB5">
        <w:rPr>
          <w:rFonts w:ascii="Times New Roman" w:hAnsi="Times New Roman"/>
          <w:sz w:val="18"/>
          <w:szCs w:val="18"/>
        </w:rPr>
        <w:t xml:space="preserve">KRD </w:t>
      </w:r>
      <w:hyperlink r:id="rId1" w:history="1">
        <w:r w:rsidRPr="00D77FB5">
          <w:rPr>
            <w:rStyle w:val="Hipercze"/>
            <w:rFonts w:ascii="Times New Roman" w:hAnsi="Times New Roman"/>
            <w:sz w:val="18"/>
            <w:szCs w:val="18"/>
          </w:rPr>
          <w:t>https://krd.pl/Centrum-prasowe/Informacje-prasowe/2019/Dlugi-emerytow---dziadek-za-wnuczka--wnuczek-na-babcie</w:t>
        </w:r>
      </w:hyperlink>
      <w:r w:rsidRPr="00D77FB5">
        <w:rPr>
          <w:rFonts w:ascii="Times New Roman" w:hAnsi="Times New Roman"/>
          <w:sz w:val="18"/>
          <w:szCs w:val="18"/>
        </w:rPr>
        <w:t xml:space="preserve">. </w:t>
      </w:r>
    </w:p>
  </w:footnote>
  <w:footnote w:id="14">
    <w:p w14:paraId="6B148481"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Źródło: </w:t>
      </w:r>
      <w:proofErr w:type="spellStart"/>
      <w:r w:rsidRPr="00D77FB5">
        <w:rPr>
          <w:rFonts w:ascii="Times New Roman" w:hAnsi="Times New Roman"/>
          <w:i/>
          <w:sz w:val="18"/>
          <w:szCs w:val="18"/>
        </w:rPr>
        <w:t>InfoKREDYT</w:t>
      </w:r>
      <w:proofErr w:type="spellEnd"/>
      <w:r w:rsidRPr="00D77FB5">
        <w:rPr>
          <w:rFonts w:ascii="Times New Roman" w:hAnsi="Times New Roman"/>
          <w:i/>
          <w:sz w:val="18"/>
          <w:szCs w:val="18"/>
        </w:rPr>
        <w:t xml:space="preserve"> oszczędzanie i kredytowanie Polaków</w:t>
      </w:r>
      <w:r w:rsidRPr="00D77FB5">
        <w:rPr>
          <w:rFonts w:ascii="Times New Roman" w:hAnsi="Times New Roman"/>
          <w:sz w:val="18"/>
          <w:szCs w:val="18"/>
        </w:rPr>
        <w:t>, Raport Związku Banków Polskich, Edycja III, Październik 2018 r. s. 12.</w:t>
      </w:r>
    </w:p>
  </w:footnote>
  <w:footnote w:id="15">
    <w:p w14:paraId="0D2C331D"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Sprawozdanie z działalności urzędu komisji nadzoru finansowego oraz komisji nadzoru finansowego w 2018 roku, s. 71 i 72.</w:t>
      </w:r>
    </w:p>
  </w:footnote>
  <w:footnote w:id="16">
    <w:p w14:paraId="73B1A8E3"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Tamże.</w:t>
      </w:r>
    </w:p>
  </w:footnote>
  <w:footnote w:id="17">
    <w:p w14:paraId="01A90601"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w:t>
      </w:r>
      <w:r w:rsidRPr="00D77FB5">
        <w:rPr>
          <w:rFonts w:ascii="Times New Roman" w:hAnsi="Times New Roman"/>
          <w:i/>
          <w:sz w:val="18"/>
          <w:szCs w:val="18"/>
        </w:rPr>
        <w:t>P</w:t>
      </w:r>
      <w:r w:rsidRPr="00D77FB5">
        <w:rPr>
          <w:rFonts w:ascii="Times New Roman" w:hAnsi="Times New Roman"/>
          <w:i/>
          <w:color w:val="000000"/>
          <w:sz w:val="18"/>
          <w:szCs w:val="18"/>
        </w:rPr>
        <w:t xml:space="preserve">otencjalny wpływ zaostrzenia limitu kosztów </w:t>
      </w:r>
      <w:proofErr w:type="spellStart"/>
      <w:r w:rsidRPr="00D77FB5">
        <w:rPr>
          <w:rFonts w:ascii="Times New Roman" w:hAnsi="Times New Roman"/>
          <w:i/>
          <w:color w:val="000000"/>
          <w:sz w:val="18"/>
          <w:szCs w:val="18"/>
        </w:rPr>
        <w:t>pozaodsetkowych</w:t>
      </w:r>
      <w:proofErr w:type="spellEnd"/>
      <w:r w:rsidRPr="00D77FB5">
        <w:rPr>
          <w:rFonts w:ascii="Times New Roman" w:hAnsi="Times New Roman"/>
          <w:i/>
          <w:color w:val="000000"/>
          <w:sz w:val="18"/>
          <w:szCs w:val="18"/>
        </w:rPr>
        <w:t xml:space="preserve"> na rynek </w:t>
      </w:r>
      <w:proofErr w:type="spellStart"/>
      <w:r w:rsidRPr="00D77FB5">
        <w:rPr>
          <w:rFonts w:ascii="Times New Roman" w:hAnsi="Times New Roman"/>
          <w:i/>
          <w:color w:val="000000"/>
          <w:sz w:val="18"/>
          <w:szCs w:val="18"/>
        </w:rPr>
        <w:t>pozabankowych</w:t>
      </w:r>
      <w:proofErr w:type="spellEnd"/>
      <w:r w:rsidRPr="00D77FB5">
        <w:rPr>
          <w:rFonts w:ascii="Times New Roman" w:hAnsi="Times New Roman"/>
          <w:i/>
          <w:color w:val="000000"/>
          <w:sz w:val="18"/>
          <w:szCs w:val="18"/>
        </w:rPr>
        <w:t xml:space="preserve"> pożyczek konsumenckich w Polsce, </w:t>
      </w:r>
      <w:r w:rsidRPr="00D77FB5">
        <w:rPr>
          <w:rFonts w:ascii="Times New Roman" w:hAnsi="Times New Roman"/>
          <w:color w:val="000000"/>
          <w:sz w:val="18"/>
          <w:szCs w:val="18"/>
        </w:rPr>
        <w:t>raport Ernst &amp; Young, 2017 r.</w:t>
      </w:r>
    </w:p>
  </w:footnote>
  <w:footnote w:id="18">
    <w:p w14:paraId="4C57F974"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Ibidem, s.22.</w:t>
      </w:r>
    </w:p>
  </w:footnote>
  <w:footnote w:id="19">
    <w:p w14:paraId="6609AD9B"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Rynek pożyczek gotówkowych - biznes raport, Gazeta Finansowa 23-29 czerwca 2017 r.</w:t>
      </w:r>
    </w:p>
  </w:footnote>
  <w:footnote w:id="20">
    <w:p w14:paraId="1C561024"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w:t>
      </w:r>
      <w:r w:rsidRPr="00D77FB5">
        <w:rPr>
          <w:rFonts w:ascii="Times New Roman" w:hAnsi="Times New Roman"/>
          <w:i/>
          <w:sz w:val="18"/>
          <w:szCs w:val="18"/>
        </w:rPr>
        <w:t>Kredyt trendy</w:t>
      </w:r>
      <w:r w:rsidRPr="00D77FB5">
        <w:rPr>
          <w:rFonts w:ascii="Times New Roman" w:hAnsi="Times New Roman"/>
          <w:sz w:val="18"/>
          <w:szCs w:val="18"/>
        </w:rPr>
        <w:t>, Raport Biura Informacji Kredytowej, 2018 r. s. 4.</w:t>
      </w:r>
    </w:p>
  </w:footnote>
  <w:footnote w:id="21">
    <w:p w14:paraId="2CB60015"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w:t>
      </w:r>
      <w:r w:rsidRPr="00D77FB5">
        <w:rPr>
          <w:rFonts w:ascii="Times New Roman" w:hAnsi="Times New Roman"/>
          <w:i/>
          <w:color w:val="000000"/>
          <w:sz w:val="18"/>
          <w:szCs w:val="18"/>
        </w:rPr>
        <w:t xml:space="preserve">Sektor pożyczek </w:t>
      </w:r>
      <w:proofErr w:type="spellStart"/>
      <w:r w:rsidRPr="00D77FB5">
        <w:rPr>
          <w:rFonts w:ascii="Times New Roman" w:hAnsi="Times New Roman"/>
          <w:i/>
          <w:color w:val="000000"/>
          <w:sz w:val="18"/>
          <w:szCs w:val="18"/>
        </w:rPr>
        <w:t>pozabankowych</w:t>
      </w:r>
      <w:proofErr w:type="spellEnd"/>
      <w:r w:rsidRPr="00D77FB5">
        <w:rPr>
          <w:rFonts w:ascii="Times New Roman" w:hAnsi="Times New Roman"/>
          <w:i/>
          <w:color w:val="000000"/>
          <w:sz w:val="18"/>
          <w:szCs w:val="18"/>
        </w:rPr>
        <w:t xml:space="preserve"> – dwie strony rynku,</w:t>
      </w:r>
      <w:r w:rsidRPr="00D77FB5">
        <w:rPr>
          <w:rFonts w:ascii="Times New Roman" w:hAnsi="Times New Roman"/>
          <w:color w:val="000000"/>
          <w:sz w:val="18"/>
          <w:szCs w:val="18"/>
        </w:rPr>
        <w:t xml:space="preserve"> Polski Związek Instytucji Pożyczkowych, Fundacja Rozwoju Rynku Finansowego Warszawa, luty 2019 r.</w:t>
      </w:r>
    </w:p>
  </w:footnote>
  <w:footnote w:id="22">
    <w:p w14:paraId="5D2DF8A6"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w:t>
      </w:r>
      <w:r w:rsidRPr="00D77FB5">
        <w:rPr>
          <w:rFonts w:ascii="Times New Roman" w:hAnsi="Times New Roman"/>
          <w:i/>
          <w:sz w:val="18"/>
          <w:szCs w:val="18"/>
        </w:rPr>
        <w:t>Sytuacja finansowa sektora gospodarstw domowych w I kw. 2017 r.,</w:t>
      </w:r>
      <w:r w:rsidRPr="00D77FB5">
        <w:rPr>
          <w:rFonts w:ascii="Times New Roman" w:hAnsi="Times New Roman"/>
          <w:sz w:val="18"/>
          <w:szCs w:val="18"/>
        </w:rPr>
        <w:t xml:space="preserve"> NBP, s. 17.</w:t>
      </w:r>
    </w:p>
  </w:footnote>
  <w:footnote w:id="23">
    <w:p w14:paraId="47A8DC09"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Rynek Firm Pożyczkowych – Raport analityczny, NWAI Dom Maklerski styczeń 2016 r., s. 14.</w:t>
      </w:r>
    </w:p>
  </w:footnote>
  <w:footnote w:id="24">
    <w:p w14:paraId="340E160B" w14:textId="77777777" w:rsidR="00BF291C" w:rsidRPr="00D77FB5" w:rsidRDefault="00BF291C" w:rsidP="008F4B57">
      <w:pPr>
        <w:pStyle w:val="Tekstprzypisudolnego"/>
        <w:ind w:left="142" w:hanging="142"/>
        <w:rPr>
          <w:rFonts w:ascii="Times New Roman" w:hAnsi="Times New Roman"/>
          <w:sz w:val="18"/>
          <w:szCs w:val="18"/>
        </w:rPr>
      </w:pPr>
      <w:r w:rsidRPr="00D77FB5">
        <w:rPr>
          <w:rStyle w:val="Odwoanieprzypisudolnego"/>
          <w:rFonts w:ascii="Times New Roman" w:hAnsi="Times New Roman"/>
          <w:sz w:val="18"/>
          <w:szCs w:val="18"/>
        </w:rPr>
        <w:footnoteRef/>
      </w:r>
      <w:r w:rsidRPr="00D77FB5">
        <w:rPr>
          <w:rFonts w:ascii="Times New Roman" w:hAnsi="Times New Roman"/>
          <w:sz w:val="18"/>
          <w:szCs w:val="18"/>
        </w:rPr>
        <w:t xml:space="preserve"> </w:t>
      </w:r>
      <w:r w:rsidRPr="00D77FB5">
        <w:rPr>
          <w:rFonts w:ascii="Times New Roman" w:hAnsi="Times New Roman"/>
          <w:i/>
          <w:sz w:val="18"/>
          <w:szCs w:val="18"/>
        </w:rPr>
        <w:t xml:space="preserve">Bankowość p2p jako alternatywa dla tradycyjnych banków detalicznych, </w:t>
      </w:r>
      <w:r w:rsidRPr="00D77FB5">
        <w:rPr>
          <w:rFonts w:ascii="Times New Roman" w:hAnsi="Times New Roman"/>
          <w:sz w:val="18"/>
          <w:szCs w:val="18"/>
        </w:rPr>
        <w:t>Krystyna Mitręga-</w:t>
      </w:r>
      <w:proofErr w:type="spellStart"/>
      <w:r w:rsidRPr="00D77FB5">
        <w:rPr>
          <w:rFonts w:ascii="Times New Roman" w:hAnsi="Times New Roman"/>
          <w:sz w:val="18"/>
          <w:szCs w:val="18"/>
        </w:rPr>
        <w:t>Niestrój</w:t>
      </w:r>
      <w:proofErr w:type="spellEnd"/>
      <w:r w:rsidRPr="00D77FB5">
        <w:rPr>
          <w:rFonts w:ascii="Times New Roman" w:hAnsi="Times New Roman"/>
          <w:sz w:val="18"/>
          <w:szCs w:val="18"/>
        </w:rPr>
        <w:t>, 2012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B547CF"/>
    <w:multiLevelType w:val="hybridMultilevel"/>
    <w:tmpl w:val="0EBC83AC"/>
    <w:lvl w:ilvl="0" w:tplc="04150011">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3">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4">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0AF2458"/>
    <w:multiLevelType w:val="hybridMultilevel"/>
    <w:tmpl w:val="736423E4"/>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7">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9">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456B5E"/>
    <w:multiLevelType w:val="hybridMultilevel"/>
    <w:tmpl w:val="892034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3">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nsid w:val="3B707CA8"/>
    <w:multiLevelType w:val="hybridMultilevel"/>
    <w:tmpl w:val="AB0A3E30"/>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5">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7">
    <w:nsid w:val="507565EB"/>
    <w:multiLevelType w:val="hybridMultilevel"/>
    <w:tmpl w:val="4A483F52"/>
    <w:lvl w:ilvl="0" w:tplc="66543674">
      <w:start w:val="1"/>
      <w:numFmt w:val="bullet"/>
      <w:lvlText w:val="–"/>
      <w:lvlJc w:val="left"/>
      <w:pPr>
        <w:ind w:left="720" w:hanging="360"/>
      </w:pPr>
      <w:rPr>
        <w:rFonts w:ascii="Elephant" w:hAnsi="Elephan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9">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2">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4">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nsid w:val="7D0208EF"/>
    <w:multiLevelType w:val="hybridMultilevel"/>
    <w:tmpl w:val="CEF4E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22"/>
  </w:num>
  <w:num w:numId="5">
    <w:abstractNumId w:val="1"/>
  </w:num>
  <w:num w:numId="6">
    <w:abstractNumId w:val="9"/>
  </w:num>
  <w:num w:numId="7">
    <w:abstractNumId w:val="15"/>
  </w:num>
  <w:num w:numId="8">
    <w:abstractNumId w:val="5"/>
  </w:num>
  <w:num w:numId="9">
    <w:abstractNumId w:val="18"/>
  </w:num>
  <w:num w:numId="10">
    <w:abstractNumId w:val="13"/>
  </w:num>
  <w:num w:numId="11">
    <w:abstractNumId w:val="16"/>
  </w:num>
  <w:num w:numId="12">
    <w:abstractNumId w:val="3"/>
  </w:num>
  <w:num w:numId="13">
    <w:abstractNumId w:val="12"/>
  </w:num>
  <w:num w:numId="14">
    <w:abstractNumId w:val="23"/>
  </w:num>
  <w:num w:numId="15">
    <w:abstractNumId w:val="19"/>
  </w:num>
  <w:num w:numId="16">
    <w:abstractNumId w:val="21"/>
  </w:num>
  <w:num w:numId="17">
    <w:abstractNumId w:val="7"/>
  </w:num>
  <w:num w:numId="18">
    <w:abstractNumId w:val="24"/>
  </w:num>
  <w:num w:numId="19">
    <w:abstractNumId w:val="25"/>
  </w:num>
  <w:num w:numId="20">
    <w:abstractNumId w:val="20"/>
  </w:num>
  <w:num w:numId="21">
    <w:abstractNumId w:val="8"/>
  </w:num>
  <w:num w:numId="22">
    <w:abstractNumId w:val="17"/>
  </w:num>
  <w:num w:numId="23">
    <w:abstractNumId w:val="26"/>
  </w:num>
  <w:num w:numId="24">
    <w:abstractNumId w:val="14"/>
  </w:num>
  <w:num w:numId="25">
    <w:abstractNumId w:val="2"/>
  </w:num>
  <w:num w:numId="26">
    <w:abstractNumId w:val="1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CB"/>
    <w:rsid w:val="00000409"/>
    <w:rsid w:val="00000531"/>
    <w:rsid w:val="000008E5"/>
    <w:rsid w:val="000011E4"/>
    <w:rsid w:val="000015EE"/>
    <w:rsid w:val="00001C3B"/>
    <w:rsid w:val="000022D5"/>
    <w:rsid w:val="00003D80"/>
    <w:rsid w:val="00004C6A"/>
    <w:rsid w:val="00007AA9"/>
    <w:rsid w:val="00010350"/>
    <w:rsid w:val="00011C05"/>
    <w:rsid w:val="00011E50"/>
    <w:rsid w:val="00012339"/>
    <w:rsid w:val="00012D11"/>
    <w:rsid w:val="00013EB5"/>
    <w:rsid w:val="00015E37"/>
    <w:rsid w:val="00023836"/>
    <w:rsid w:val="0002454E"/>
    <w:rsid w:val="00025448"/>
    <w:rsid w:val="00030B8D"/>
    <w:rsid w:val="00031699"/>
    <w:rsid w:val="00033101"/>
    <w:rsid w:val="00033DD1"/>
    <w:rsid w:val="00033E2C"/>
    <w:rsid w:val="0003473D"/>
    <w:rsid w:val="00034EB2"/>
    <w:rsid w:val="000351E0"/>
    <w:rsid w:val="0003523F"/>
    <w:rsid w:val="00035675"/>
    <w:rsid w:val="000356A9"/>
    <w:rsid w:val="00041602"/>
    <w:rsid w:val="0004171C"/>
    <w:rsid w:val="00041A2C"/>
    <w:rsid w:val="00044138"/>
    <w:rsid w:val="000445B4"/>
    <w:rsid w:val="00044739"/>
    <w:rsid w:val="000447AA"/>
    <w:rsid w:val="00047D32"/>
    <w:rsid w:val="00051637"/>
    <w:rsid w:val="00052286"/>
    <w:rsid w:val="000542AF"/>
    <w:rsid w:val="00056681"/>
    <w:rsid w:val="000600EA"/>
    <w:rsid w:val="0006017A"/>
    <w:rsid w:val="00062D38"/>
    <w:rsid w:val="00064698"/>
    <w:rsid w:val="000648A7"/>
    <w:rsid w:val="0006618B"/>
    <w:rsid w:val="000670C0"/>
    <w:rsid w:val="00067288"/>
    <w:rsid w:val="000672E2"/>
    <w:rsid w:val="00067A61"/>
    <w:rsid w:val="000704DB"/>
    <w:rsid w:val="00071B99"/>
    <w:rsid w:val="000737EE"/>
    <w:rsid w:val="00074ECB"/>
    <w:rsid w:val="000756E5"/>
    <w:rsid w:val="00076FAA"/>
    <w:rsid w:val="0007704E"/>
    <w:rsid w:val="00077241"/>
    <w:rsid w:val="000809F9"/>
    <w:rsid w:val="00080EC8"/>
    <w:rsid w:val="00082EE4"/>
    <w:rsid w:val="000854B4"/>
    <w:rsid w:val="0008568B"/>
    <w:rsid w:val="00090705"/>
    <w:rsid w:val="00090DB3"/>
    <w:rsid w:val="00092E5D"/>
    <w:rsid w:val="00093B0A"/>
    <w:rsid w:val="000944AC"/>
    <w:rsid w:val="00094CB9"/>
    <w:rsid w:val="000956B2"/>
    <w:rsid w:val="000957A5"/>
    <w:rsid w:val="000969E7"/>
    <w:rsid w:val="00097702"/>
    <w:rsid w:val="000A23DE"/>
    <w:rsid w:val="000A2590"/>
    <w:rsid w:val="000A28C3"/>
    <w:rsid w:val="000A3B82"/>
    <w:rsid w:val="000A4020"/>
    <w:rsid w:val="000A4557"/>
    <w:rsid w:val="000A6F0C"/>
    <w:rsid w:val="000B0655"/>
    <w:rsid w:val="000B1CBB"/>
    <w:rsid w:val="000B47DB"/>
    <w:rsid w:val="000B4A81"/>
    <w:rsid w:val="000B4BB7"/>
    <w:rsid w:val="000B54FB"/>
    <w:rsid w:val="000B6A7C"/>
    <w:rsid w:val="000C12FB"/>
    <w:rsid w:val="000C29B0"/>
    <w:rsid w:val="000C34A7"/>
    <w:rsid w:val="000C430F"/>
    <w:rsid w:val="000C547E"/>
    <w:rsid w:val="000C76FC"/>
    <w:rsid w:val="000C7A86"/>
    <w:rsid w:val="000D38FC"/>
    <w:rsid w:val="000D4918"/>
    <w:rsid w:val="000D4D90"/>
    <w:rsid w:val="000D5B75"/>
    <w:rsid w:val="000D6036"/>
    <w:rsid w:val="000D681F"/>
    <w:rsid w:val="000E124B"/>
    <w:rsid w:val="000E2764"/>
    <w:rsid w:val="000E2D10"/>
    <w:rsid w:val="000E367F"/>
    <w:rsid w:val="000E5E28"/>
    <w:rsid w:val="000E6CFA"/>
    <w:rsid w:val="000F0ED0"/>
    <w:rsid w:val="000F2480"/>
    <w:rsid w:val="000F2DCD"/>
    <w:rsid w:val="000F3204"/>
    <w:rsid w:val="000F3E54"/>
    <w:rsid w:val="000F50BE"/>
    <w:rsid w:val="000F761B"/>
    <w:rsid w:val="00102E9E"/>
    <w:rsid w:val="0010548B"/>
    <w:rsid w:val="0010638E"/>
    <w:rsid w:val="0010693D"/>
    <w:rsid w:val="001072D1"/>
    <w:rsid w:val="00107CF7"/>
    <w:rsid w:val="00110479"/>
    <w:rsid w:val="001109B1"/>
    <w:rsid w:val="001133ED"/>
    <w:rsid w:val="0011592E"/>
    <w:rsid w:val="00116315"/>
    <w:rsid w:val="00117017"/>
    <w:rsid w:val="001218EF"/>
    <w:rsid w:val="00125DB9"/>
    <w:rsid w:val="00130E8E"/>
    <w:rsid w:val="00130ECB"/>
    <w:rsid w:val="0013149A"/>
    <w:rsid w:val="0013216E"/>
    <w:rsid w:val="001338BD"/>
    <w:rsid w:val="00134A25"/>
    <w:rsid w:val="00136442"/>
    <w:rsid w:val="0013688C"/>
    <w:rsid w:val="001378F5"/>
    <w:rsid w:val="00137DC3"/>
    <w:rsid w:val="00137DFB"/>
    <w:rsid w:val="001401B5"/>
    <w:rsid w:val="001422B9"/>
    <w:rsid w:val="00142437"/>
    <w:rsid w:val="00145BE7"/>
    <w:rsid w:val="0014665F"/>
    <w:rsid w:val="0014679B"/>
    <w:rsid w:val="00146C6C"/>
    <w:rsid w:val="00147635"/>
    <w:rsid w:val="00147656"/>
    <w:rsid w:val="0014793F"/>
    <w:rsid w:val="00147F9B"/>
    <w:rsid w:val="00152409"/>
    <w:rsid w:val="00152B1B"/>
    <w:rsid w:val="00153464"/>
    <w:rsid w:val="00153813"/>
    <w:rsid w:val="001541B3"/>
    <w:rsid w:val="0015557D"/>
    <w:rsid w:val="00155ACA"/>
    <w:rsid w:val="00155B15"/>
    <w:rsid w:val="00156CE2"/>
    <w:rsid w:val="001572E2"/>
    <w:rsid w:val="001625BE"/>
    <w:rsid w:val="001643A4"/>
    <w:rsid w:val="001706AE"/>
    <w:rsid w:val="00170C4B"/>
    <w:rsid w:val="00171604"/>
    <w:rsid w:val="001727BB"/>
    <w:rsid w:val="00173C3A"/>
    <w:rsid w:val="001750D9"/>
    <w:rsid w:val="00175109"/>
    <w:rsid w:val="00175208"/>
    <w:rsid w:val="00180A23"/>
    <w:rsid w:val="00180D25"/>
    <w:rsid w:val="00180D6B"/>
    <w:rsid w:val="001817AB"/>
    <w:rsid w:val="00182185"/>
    <w:rsid w:val="00182DBD"/>
    <w:rsid w:val="0018318D"/>
    <w:rsid w:val="00183205"/>
    <w:rsid w:val="00183620"/>
    <w:rsid w:val="0018572C"/>
    <w:rsid w:val="00186E54"/>
    <w:rsid w:val="00186E5C"/>
    <w:rsid w:val="00186F17"/>
    <w:rsid w:val="00187E79"/>
    <w:rsid w:val="00187F0D"/>
    <w:rsid w:val="0019016B"/>
    <w:rsid w:val="001908AE"/>
    <w:rsid w:val="001919D2"/>
    <w:rsid w:val="00192973"/>
    <w:rsid w:val="00192CC5"/>
    <w:rsid w:val="0019361C"/>
    <w:rsid w:val="001956A7"/>
    <w:rsid w:val="0019675B"/>
    <w:rsid w:val="001A118A"/>
    <w:rsid w:val="001A27F4"/>
    <w:rsid w:val="001A2D95"/>
    <w:rsid w:val="001A3D1C"/>
    <w:rsid w:val="001A40A0"/>
    <w:rsid w:val="001A4CDC"/>
    <w:rsid w:val="001A6ABD"/>
    <w:rsid w:val="001A7232"/>
    <w:rsid w:val="001A7B49"/>
    <w:rsid w:val="001B07F5"/>
    <w:rsid w:val="001B087A"/>
    <w:rsid w:val="001B0959"/>
    <w:rsid w:val="001B1830"/>
    <w:rsid w:val="001B3460"/>
    <w:rsid w:val="001B4CA1"/>
    <w:rsid w:val="001B4EE0"/>
    <w:rsid w:val="001B5DFE"/>
    <w:rsid w:val="001B6DA9"/>
    <w:rsid w:val="001B75D8"/>
    <w:rsid w:val="001B7E03"/>
    <w:rsid w:val="001C1060"/>
    <w:rsid w:val="001C2BC4"/>
    <w:rsid w:val="001C2C0F"/>
    <w:rsid w:val="001C389E"/>
    <w:rsid w:val="001C3C63"/>
    <w:rsid w:val="001C5157"/>
    <w:rsid w:val="001C5B97"/>
    <w:rsid w:val="001C6530"/>
    <w:rsid w:val="001D14B7"/>
    <w:rsid w:val="001D21D2"/>
    <w:rsid w:val="001D40F3"/>
    <w:rsid w:val="001D4732"/>
    <w:rsid w:val="001D6A3C"/>
    <w:rsid w:val="001D6D51"/>
    <w:rsid w:val="001E0DEF"/>
    <w:rsid w:val="001E10E5"/>
    <w:rsid w:val="001E3021"/>
    <w:rsid w:val="001E58E4"/>
    <w:rsid w:val="001E5FD9"/>
    <w:rsid w:val="001E7D42"/>
    <w:rsid w:val="001F12A9"/>
    <w:rsid w:val="001F1F30"/>
    <w:rsid w:val="001F5F56"/>
    <w:rsid w:val="001F653A"/>
    <w:rsid w:val="001F6979"/>
    <w:rsid w:val="001F6D29"/>
    <w:rsid w:val="002016FB"/>
    <w:rsid w:val="00202BC6"/>
    <w:rsid w:val="002033D2"/>
    <w:rsid w:val="002040D2"/>
    <w:rsid w:val="002044CF"/>
    <w:rsid w:val="00204F83"/>
    <w:rsid w:val="00205141"/>
    <w:rsid w:val="0020516B"/>
    <w:rsid w:val="002056E1"/>
    <w:rsid w:val="002115C5"/>
    <w:rsid w:val="002117C1"/>
    <w:rsid w:val="002134A5"/>
    <w:rsid w:val="00213559"/>
    <w:rsid w:val="00213969"/>
    <w:rsid w:val="00213DEE"/>
    <w:rsid w:val="00213EFD"/>
    <w:rsid w:val="00216CBE"/>
    <w:rsid w:val="002172F1"/>
    <w:rsid w:val="00220D6E"/>
    <w:rsid w:val="002225AA"/>
    <w:rsid w:val="002229F0"/>
    <w:rsid w:val="00223C7B"/>
    <w:rsid w:val="00223F5C"/>
    <w:rsid w:val="00224AB1"/>
    <w:rsid w:val="00225670"/>
    <w:rsid w:val="0022591E"/>
    <w:rsid w:val="0022687A"/>
    <w:rsid w:val="002302FC"/>
    <w:rsid w:val="00230728"/>
    <w:rsid w:val="00232EAA"/>
    <w:rsid w:val="0023381B"/>
    <w:rsid w:val="00234040"/>
    <w:rsid w:val="00235CD2"/>
    <w:rsid w:val="00241CC0"/>
    <w:rsid w:val="00241E08"/>
    <w:rsid w:val="0024214C"/>
    <w:rsid w:val="00242EC9"/>
    <w:rsid w:val="00245C5D"/>
    <w:rsid w:val="00246A90"/>
    <w:rsid w:val="00247C0D"/>
    <w:rsid w:val="002505DB"/>
    <w:rsid w:val="00250FEC"/>
    <w:rsid w:val="00254DED"/>
    <w:rsid w:val="00255619"/>
    <w:rsid w:val="0025578C"/>
    <w:rsid w:val="00255DAD"/>
    <w:rsid w:val="00256108"/>
    <w:rsid w:val="002563BC"/>
    <w:rsid w:val="00257DBD"/>
    <w:rsid w:val="00257E50"/>
    <w:rsid w:val="002602A7"/>
    <w:rsid w:val="00260F33"/>
    <w:rsid w:val="00261362"/>
    <w:rsid w:val="002613BD"/>
    <w:rsid w:val="00261930"/>
    <w:rsid w:val="002624F1"/>
    <w:rsid w:val="00262616"/>
    <w:rsid w:val="0026362D"/>
    <w:rsid w:val="00263AC3"/>
    <w:rsid w:val="002646CF"/>
    <w:rsid w:val="00264E4D"/>
    <w:rsid w:val="0026543A"/>
    <w:rsid w:val="002677EA"/>
    <w:rsid w:val="00270C81"/>
    <w:rsid w:val="00271282"/>
    <w:rsid w:val="00271558"/>
    <w:rsid w:val="00271CD3"/>
    <w:rsid w:val="0027441E"/>
    <w:rsid w:val="00274565"/>
    <w:rsid w:val="00274862"/>
    <w:rsid w:val="00274FC7"/>
    <w:rsid w:val="00275594"/>
    <w:rsid w:val="00275885"/>
    <w:rsid w:val="00277620"/>
    <w:rsid w:val="00277AAE"/>
    <w:rsid w:val="00280F17"/>
    <w:rsid w:val="00281755"/>
    <w:rsid w:val="00282D72"/>
    <w:rsid w:val="00283402"/>
    <w:rsid w:val="00283DDC"/>
    <w:rsid w:val="00285313"/>
    <w:rsid w:val="00285E45"/>
    <w:rsid w:val="00290FD6"/>
    <w:rsid w:val="00294259"/>
    <w:rsid w:val="00297C3C"/>
    <w:rsid w:val="002A08A1"/>
    <w:rsid w:val="002A0E53"/>
    <w:rsid w:val="002A2C81"/>
    <w:rsid w:val="002A33ED"/>
    <w:rsid w:val="002A40F8"/>
    <w:rsid w:val="002A7D96"/>
    <w:rsid w:val="002B0792"/>
    <w:rsid w:val="002B39CB"/>
    <w:rsid w:val="002B3D1A"/>
    <w:rsid w:val="002B3EAE"/>
    <w:rsid w:val="002B4D5F"/>
    <w:rsid w:val="002B629C"/>
    <w:rsid w:val="002C143F"/>
    <w:rsid w:val="002C26D8"/>
    <w:rsid w:val="002C27D0"/>
    <w:rsid w:val="002C2C9B"/>
    <w:rsid w:val="002C2CCA"/>
    <w:rsid w:val="002C2E10"/>
    <w:rsid w:val="002C4181"/>
    <w:rsid w:val="002C6B16"/>
    <w:rsid w:val="002C7CB3"/>
    <w:rsid w:val="002D03EE"/>
    <w:rsid w:val="002D17D6"/>
    <w:rsid w:val="002D18D7"/>
    <w:rsid w:val="002D21CE"/>
    <w:rsid w:val="002D3406"/>
    <w:rsid w:val="002D556C"/>
    <w:rsid w:val="002D76C4"/>
    <w:rsid w:val="002D77D2"/>
    <w:rsid w:val="002E011E"/>
    <w:rsid w:val="002E050F"/>
    <w:rsid w:val="002E3DA3"/>
    <w:rsid w:val="002E450F"/>
    <w:rsid w:val="002E6B38"/>
    <w:rsid w:val="002E6D63"/>
    <w:rsid w:val="002E6E2B"/>
    <w:rsid w:val="002E7A0C"/>
    <w:rsid w:val="002F1A7A"/>
    <w:rsid w:val="002F2AA5"/>
    <w:rsid w:val="002F500B"/>
    <w:rsid w:val="002F5317"/>
    <w:rsid w:val="002F77B2"/>
    <w:rsid w:val="0030027F"/>
    <w:rsid w:val="00300991"/>
    <w:rsid w:val="00301959"/>
    <w:rsid w:val="00301D61"/>
    <w:rsid w:val="00301F39"/>
    <w:rsid w:val="00304113"/>
    <w:rsid w:val="00305B8A"/>
    <w:rsid w:val="003131A7"/>
    <w:rsid w:val="00313ECE"/>
    <w:rsid w:val="00315CC7"/>
    <w:rsid w:val="00320A0D"/>
    <w:rsid w:val="00322360"/>
    <w:rsid w:val="00322AF8"/>
    <w:rsid w:val="00326414"/>
    <w:rsid w:val="0033046C"/>
    <w:rsid w:val="0033182C"/>
    <w:rsid w:val="00331BF9"/>
    <w:rsid w:val="00333EB6"/>
    <w:rsid w:val="00334083"/>
    <w:rsid w:val="0033495E"/>
    <w:rsid w:val="00334A79"/>
    <w:rsid w:val="00334D8D"/>
    <w:rsid w:val="00335563"/>
    <w:rsid w:val="00337345"/>
    <w:rsid w:val="00337DD2"/>
    <w:rsid w:val="003404D1"/>
    <w:rsid w:val="003424C8"/>
    <w:rsid w:val="003443FF"/>
    <w:rsid w:val="003474CE"/>
    <w:rsid w:val="00350550"/>
    <w:rsid w:val="00355808"/>
    <w:rsid w:val="00356D94"/>
    <w:rsid w:val="00360472"/>
    <w:rsid w:val="00360AAC"/>
    <w:rsid w:val="003614E8"/>
    <w:rsid w:val="00362C7E"/>
    <w:rsid w:val="00363176"/>
    <w:rsid w:val="00363309"/>
    <w:rsid w:val="00363601"/>
    <w:rsid w:val="003650B2"/>
    <w:rsid w:val="00366393"/>
    <w:rsid w:val="00366470"/>
    <w:rsid w:val="003671A2"/>
    <w:rsid w:val="003747C2"/>
    <w:rsid w:val="00375056"/>
    <w:rsid w:val="00376AC9"/>
    <w:rsid w:val="003837C0"/>
    <w:rsid w:val="0038413A"/>
    <w:rsid w:val="00386B75"/>
    <w:rsid w:val="00390010"/>
    <w:rsid w:val="00392E1E"/>
    <w:rsid w:val="00393032"/>
    <w:rsid w:val="00394B69"/>
    <w:rsid w:val="00396628"/>
    <w:rsid w:val="00397078"/>
    <w:rsid w:val="003A3569"/>
    <w:rsid w:val="003A3AAE"/>
    <w:rsid w:val="003A5FBC"/>
    <w:rsid w:val="003A6953"/>
    <w:rsid w:val="003A6AC2"/>
    <w:rsid w:val="003A7761"/>
    <w:rsid w:val="003A7842"/>
    <w:rsid w:val="003B0B1F"/>
    <w:rsid w:val="003B1420"/>
    <w:rsid w:val="003B1B85"/>
    <w:rsid w:val="003B6083"/>
    <w:rsid w:val="003B6CE7"/>
    <w:rsid w:val="003B7AB8"/>
    <w:rsid w:val="003C063A"/>
    <w:rsid w:val="003C1192"/>
    <w:rsid w:val="003C1793"/>
    <w:rsid w:val="003C3838"/>
    <w:rsid w:val="003C3957"/>
    <w:rsid w:val="003C5847"/>
    <w:rsid w:val="003C59C3"/>
    <w:rsid w:val="003C5CBE"/>
    <w:rsid w:val="003C5F23"/>
    <w:rsid w:val="003C786F"/>
    <w:rsid w:val="003D0681"/>
    <w:rsid w:val="003D12F6"/>
    <w:rsid w:val="003D1426"/>
    <w:rsid w:val="003D21F2"/>
    <w:rsid w:val="003D2CE2"/>
    <w:rsid w:val="003D3AB0"/>
    <w:rsid w:val="003D4DF6"/>
    <w:rsid w:val="003E18FE"/>
    <w:rsid w:val="003E2237"/>
    <w:rsid w:val="003E2F4E"/>
    <w:rsid w:val="003E37FC"/>
    <w:rsid w:val="003E4334"/>
    <w:rsid w:val="003E463D"/>
    <w:rsid w:val="003E5A54"/>
    <w:rsid w:val="003E67BC"/>
    <w:rsid w:val="003E720A"/>
    <w:rsid w:val="003E72B1"/>
    <w:rsid w:val="003F543A"/>
    <w:rsid w:val="003F5A31"/>
    <w:rsid w:val="003F5E08"/>
    <w:rsid w:val="003F68CA"/>
    <w:rsid w:val="003F6DA4"/>
    <w:rsid w:val="00400218"/>
    <w:rsid w:val="00401A41"/>
    <w:rsid w:val="00401A72"/>
    <w:rsid w:val="00403E6E"/>
    <w:rsid w:val="00404923"/>
    <w:rsid w:val="00404DB5"/>
    <w:rsid w:val="00405A4C"/>
    <w:rsid w:val="0040741A"/>
    <w:rsid w:val="004113D9"/>
    <w:rsid w:val="00411D87"/>
    <w:rsid w:val="00412049"/>
    <w:rsid w:val="004129B4"/>
    <w:rsid w:val="00413295"/>
    <w:rsid w:val="00413E57"/>
    <w:rsid w:val="00414CFE"/>
    <w:rsid w:val="00415509"/>
    <w:rsid w:val="00415B5B"/>
    <w:rsid w:val="00417EF0"/>
    <w:rsid w:val="00421CB3"/>
    <w:rsid w:val="00422181"/>
    <w:rsid w:val="004229AF"/>
    <w:rsid w:val="00422AED"/>
    <w:rsid w:val="004244A8"/>
    <w:rsid w:val="00425C3C"/>
    <w:rsid w:val="00425F72"/>
    <w:rsid w:val="00425F7A"/>
    <w:rsid w:val="00427736"/>
    <w:rsid w:val="00430424"/>
    <w:rsid w:val="0043271C"/>
    <w:rsid w:val="00435F85"/>
    <w:rsid w:val="004412D4"/>
    <w:rsid w:val="00441787"/>
    <w:rsid w:val="0044431B"/>
    <w:rsid w:val="00444F2D"/>
    <w:rsid w:val="00447C37"/>
    <w:rsid w:val="00452034"/>
    <w:rsid w:val="00452D46"/>
    <w:rsid w:val="00454507"/>
    <w:rsid w:val="00455FA6"/>
    <w:rsid w:val="004566EB"/>
    <w:rsid w:val="00460611"/>
    <w:rsid w:val="00461117"/>
    <w:rsid w:val="00466C70"/>
    <w:rsid w:val="004676D2"/>
    <w:rsid w:val="004702C9"/>
    <w:rsid w:val="0047062A"/>
    <w:rsid w:val="00470BE0"/>
    <w:rsid w:val="004710AD"/>
    <w:rsid w:val="004713E4"/>
    <w:rsid w:val="00472E45"/>
    <w:rsid w:val="00473FEA"/>
    <w:rsid w:val="0047579D"/>
    <w:rsid w:val="00480278"/>
    <w:rsid w:val="00480C37"/>
    <w:rsid w:val="00480C3D"/>
    <w:rsid w:val="00481D46"/>
    <w:rsid w:val="00483262"/>
    <w:rsid w:val="00484107"/>
    <w:rsid w:val="00484351"/>
    <w:rsid w:val="00485CC5"/>
    <w:rsid w:val="00485D4F"/>
    <w:rsid w:val="004861DA"/>
    <w:rsid w:val="00486834"/>
    <w:rsid w:val="004870D9"/>
    <w:rsid w:val="00490B6C"/>
    <w:rsid w:val="00491AA1"/>
    <w:rsid w:val="0049343F"/>
    <w:rsid w:val="00493630"/>
    <w:rsid w:val="00493A47"/>
    <w:rsid w:val="00494DB8"/>
    <w:rsid w:val="0049551A"/>
    <w:rsid w:val="004964FC"/>
    <w:rsid w:val="004A145E"/>
    <w:rsid w:val="004A1F15"/>
    <w:rsid w:val="004A214E"/>
    <w:rsid w:val="004A255C"/>
    <w:rsid w:val="004A2A81"/>
    <w:rsid w:val="004A30B6"/>
    <w:rsid w:val="004A6673"/>
    <w:rsid w:val="004A7BD7"/>
    <w:rsid w:val="004B13D5"/>
    <w:rsid w:val="004B1C7B"/>
    <w:rsid w:val="004B1E30"/>
    <w:rsid w:val="004B44DD"/>
    <w:rsid w:val="004B563F"/>
    <w:rsid w:val="004B7072"/>
    <w:rsid w:val="004B71F7"/>
    <w:rsid w:val="004C005D"/>
    <w:rsid w:val="004C15C2"/>
    <w:rsid w:val="004C36D8"/>
    <w:rsid w:val="004C51EA"/>
    <w:rsid w:val="004C63AE"/>
    <w:rsid w:val="004C6851"/>
    <w:rsid w:val="004C792E"/>
    <w:rsid w:val="004D1248"/>
    <w:rsid w:val="004D1E3C"/>
    <w:rsid w:val="004D2268"/>
    <w:rsid w:val="004D4169"/>
    <w:rsid w:val="004D5D77"/>
    <w:rsid w:val="004D6E14"/>
    <w:rsid w:val="004D763E"/>
    <w:rsid w:val="004E0CFC"/>
    <w:rsid w:val="004E11FE"/>
    <w:rsid w:val="004E41BA"/>
    <w:rsid w:val="004E6A74"/>
    <w:rsid w:val="004F0570"/>
    <w:rsid w:val="004F0CA1"/>
    <w:rsid w:val="004F14A3"/>
    <w:rsid w:val="004F38C4"/>
    <w:rsid w:val="004F4E17"/>
    <w:rsid w:val="004F5121"/>
    <w:rsid w:val="004F60B8"/>
    <w:rsid w:val="004F6DFE"/>
    <w:rsid w:val="0050082F"/>
    <w:rsid w:val="00500C56"/>
    <w:rsid w:val="00501713"/>
    <w:rsid w:val="00502828"/>
    <w:rsid w:val="00504C71"/>
    <w:rsid w:val="00506568"/>
    <w:rsid w:val="005132E0"/>
    <w:rsid w:val="0051551B"/>
    <w:rsid w:val="00515DB9"/>
    <w:rsid w:val="00515F59"/>
    <w:rsid w:val="0051739B"/>
    <w:rsid w:val="00520C57"/>
    <w:rsid w:val="00522085"/>
    <w:rsid w:val="00522D94"/>
    <w:rsid w:val="00524C47"/>
    <w:rsid w:val="00525BFB"/>
    <w:rsid w:val="00527F71"/>
    <w:rsid w:val="00530D23"/>
    <w:rsid w:val="00531058"/>
    <w:rsid w:val="00532CFD"/>
    <w:rsid w:val="00533D89"/>
    <w:rsid w:val="00534990"/>
    <w:rsid w:val="00536564"/>
    <w:rsid w:val="005404AB"/>
    <w:rsid w:val="00541F5A"/>
    <w:rsid w:val="005441CF"/>
    <w:rsid w:val="00544597"/>
    <w:rsid w:val="00544FFE"/>
    <w:rsid w:val="00546E54"/>
    <w:rsid w:val="005473F5"/>
    <w:rsid w:val="005477E7"/>
    <w:rsid w:val="00552794"/>
    <w:rsid w:val="00553856"/>
    <w:rsid w:val="00553D15"/>
    <w:rsid w:val="005542FC"/>
    <w:rsid w:val="005543E7"/>
    <w:rsid w:val="00554F67"/>
    <w:rsid w:val="00556FE3"/>
    <w:rsid w:val="005601EA"/>
    <w:rsid w:val="005606C0"/>
    <w:rsid w:val="005612B1"/>
    <w:rsid w:val="00562C0C"/>
    <w:rsid w:val="00563199"/>
    <w:rsid w:val="005632A2"/>
    <w:rsid w:val="00563599"/>
    <w:rsid w:val="005641E0"/>
    <w:rsid w:val="005644B4"/>
    <w:rsid w:val="00564874"/>
    <w:rsid w:val="0056504A"/>
    <w:rsid w:val="00567963"/>
    <w:rsid w:val="00567E80"/>
    <w:rsid w:val="0057009A"/>
    <w:rsid w:val="00571260"/>
    <w:rsid w:val="0057189C"/>
    <w:rsid w:val="005725B5"/>
    <w:rsid w:val="00573FC1"/>
    <w:rsid w:val="005741EE"/>
    <w:rsid w:val="0057561E"/>
    <w:rsid w:val="00575765"/>
    <w:rsid w:val="005764AA"/>
    <w:rsid w:val="0057668E"/>
    <w:rsid w:val="005807AF"/>
    <w:rsid w:val="0058245A"/>
    <w:rsid w:val="005838A6"/>
    <w:rsid w:val="00583A50"/>
    <w:rsid w:val="005849D4"/>
    <w:rsid w:val="00586796"/>
    <w:rsid w:val="00586963"/>
    <w:rsid w:val="0059188D"/>
    <w:rsid w:val="00593A18"/>
    <w:rsid w:val="0059467D"/>
    <w:rsid w:val="00595473"/>
    <w:rsid w:val="00595E83"/>
    <w:rsid w:val="00596530"/>
    <w:rsid w:val="005967F3"/>
    <w:rsid w:val="00597812"/>
    <w:rsid w:val="005A06DF"/>
    <w:rsid w:val="005A4A02"/>
    <w:rsid w:val="005A5527"/>
    <w:rsid w:val="005A5AE6"/>
    <w:rsid w:val="005B1206"/>
    <w:rsid w:val="005B30F9"/>
    <w:rsid w:val="005B37E8"/>
    <w:rsid w:val="005B38BF"/>
    <w:rsid w:val="005B3CFD"/>
    <w:rsid w:val="005B498D"/>
    <w:rsid w:val="005B59E1"/>
    <w:rsid w:val="005C0056"/>
    <w:rsid w:val="005C0306"/>
    <w:rsid w:val="005C285E"/>
    <w:rsid w:val="005C7027"/>
    <w:rsid w:val="005D0535"/>
    <w:rsid w:val="005D1224"/>
    <w:rsid w:val="005D1F72"/>
    <w:rsid w:val="005D38C1"/>
    <w:rsid w:val="005D3A6F"/>
    <w:rsid w:val="005D4D46"/>
    <w:rsid w:val="005D501E"/>
    <w:rsid w:val="005D61D6"/>
    <w:rsid w:val="005D63C9"/>
    <w:rsid w:val="005D7668"/>
    <w:rsid w:val="005E0A78"/>
    <w:rsid w:val="005E0D13"/>
    <w:rsid w:val="005E27A1"/>
    <w:rsid w:val="005E4810"/>
    <w:rsid w:val="005E4EE4"/>
    <w:rsid w:val="005E5047"/>
    <w:rsid w:val="005E60C2"/>
    <w:rsid w:val="005E6A00"/>
    <w:rsid w:val="005E7205"/>
    <w:rsid w:val="005E7371"/>
    <w:rsid w:val="005E7C95"/>
    <w:rsid w:val="005F116C"/>
    <w:rsid w:val="005F2131"/>
    <w:rsid w:val="005F220E"/>
    <w:rsid w:val="005F2826"/>
    <w:rsid w:val="005F3E95"/>
    <w:rsid w:val="005F6DD0"/>
    <w:rsid w:val="0060008F"/>
    <w:rsid w:val="00600EE0"/>
    <w:rsid w:val="00603F64"/>
    <w:rsid w:val="00605EF6"/>
    <w:rsid w:val="00606455"/>
    <w:rsid w:val="00607EE0"/>
    <w:rsid w:val="00610A31"/>
    <w:rsid w:val="00611BA2"/>
    <w:rsid w:val="00613356"/>
    <w:rsid w:val="006147DB"/>
    <w:rsid w:val="00614929"/>
    <w:rsid w:val="00616511"/>
    <w:rsid w:val="006176ED"/>
    <w:rsid w:val="006202F3"/>
    <w:rsid w:val="0062097A"/>
    <w:rsid w:val="00621DA6"/>
    <w:rsid w:val="00621F1A"/>
    <w:rsid w:val="00622264"/>
    <w:rsid w:val="00623CFE"/>
    <w:rsid w:val="00626977"/>
    <w:rsid w:val="00627221"/>
    <w:rsid w:val="00627EE8"/>
    <w:rsid w:val="006301FE"/>
    <w:rsid w:val="0063155E"/>
    <w:rsid w:val="006316FA"/>
    <w:rsid w:val="00634CB1"/>
    <w:rsid w:val="00635439"/>
    <w:rsid w:val="00636BDE"/>
    <w:rsid w:val="006370D2"/>
    <w:rsid w:val="0064072C"/>
    <w:rsid w:val="0064074F"/>
    <w:rsid w:val="00641F55"/>
    <w:rsid w:val="0064564F"/>
    <w:rsid w:val="00645B5F"/>
    <w:rsid w:val="00645E4A"/>
    <w:rsid w:val="006503A1"/>
    <w:rsid w:val="00653688"/>
    <w:rsid w:val="00654793"/>
    <w:rsid w:val="00654828"/>
    <w:rsid w:val="00655D11"/>
    <w:rsid w:val="006569E4"/>
    <w:rsid w:val="00657363"/>
    <w:rsid w:val="00657893"/>
    <w:rsid w:val="006600E2"/>
    <w:rsid w:val="0066091B"/>
    <w:rsid w:val="00660CB9"/>
    <w:rsid w:val="00660CF5"/>
    <w:rsid w:val="0066238D"/>
    <w:rsid w:val="0066372D"/>
    <w:rsid w:val="006651D9"/>
    <w:rsid w:val="006652AB"/>
    <w:rsid w:val="006660E9"/>
    <w:rsid w:val="00667249"/>
    <w:rsid w:val="00667558"/>
    <w:rsid w:val="006703F0"/>
    <w:rsid w:val="00671523"/>
    <w:rsid w:val="00671B0C"/>
    <w:rsid w:val="0067218B"/>
    <w:rsid w:val="0067342D"/>
    <w:rsid w:val="00673D1A"/>
    <w:rsid w:val="006754EF"/>
    <w:rsid w:val="00676231"/>
    <w:rsid w:val="00676B2C"/>
    <w:rsid w:val="00676C8D"/>
    <w:rsid w:val="00676F1F"/>
    <w:rsid w:val="00677381"/>
    <w:rsid w:val="00677414"/>
    <w:rsid w:val="00677A43"/>
    <w:rsid w:val="00681434"/>
    <w:rsid w:val="006815F5"/>
    <w:rsid w:val="006832CF"/>
    <w:rsid w:val="00683CCE"/>
    <w:rsid w:val="0068560B"/>
    <w:rsid w:val="0068601E"/>
    <w:rsid w:val="00686B84"/>
    <w:rsid w:val="006873FF"/>
    <w:rsid w:val="00687BB2"/>
    <w:rsid w:val="00690C73"/>
    <w:rsid w:val="00693247"/>
    <w:rsid w:val="00693F70"/>
    <w:rsid w:val="0069486B"/>
    <w:rsid w:val="0069534A"/>
    <w:rsid w:val="0069598C"/>
    <w:rsid w:val="006964AA"/>
    <w:rsid w:val="006968B8"/>
    <w:rsid w:val="006A23D2"/>
    <w:rsid w:val="006A4352"/>
    <w:rsid w:val="006A4904"/>
    <w:rsid w:val="006A5277"/>
    <w:rsid w:val="006A548F"/>
    <w:rsid w:val="006A701A"/>
    <w:rsid w:val="006B1A13"/>
    <w:rsid w:val="006B64DC"/>
    <w:rsid w:val="006B7A91"/>
    <w:rsid w:val="006C18E9"/>
    <w:rsid w:val="006C1AD2"/>
    <w:rsid w:val="006C2A75"/>
    <w:rsid w:val="006C4544"/>
    <w:rsid w:val="006C5375"/>
    <w:rsid w:val="006C544A"/>
    <w:rsid w:val="006C5B48"/>
    <w:rsid w:val="006C5D12"/>
    <w:rsid w:val="006D1703"/>
    <w:rsid w:val="006D1EB2"/>
    <w:rsid w:val="006D2908"/>
    <w:rsid w:val="006D4704"/>
    <w:rsid w:val="006D5A3C"/>
    <w:rsid w:val="006D63C0"/>
    <w:rsid w:val="006D6A2D"/>
    <w:rsid w:val="006E0BD7"/>
    <w:rsid w:val="006E1E18"/>
    <w:rsid w:val="006E31CE"/>
    <w:rsid w:val="006E34D3"/>
    <w:rsid w:val="006E7814"/>
    <w:rsid w:val="006F1435"/>
    <w:rsid w:val="006F1658"/>
    <w:rsid w:val="006F1709"/>
    <w:rsid w:val="006F1A40"/>
    <w:rsid w:val="006F1C49"/>
    <w:rsid w:val="006F35A3"/>
    <w:rsid w:val="006F3738"/>
    <w:rsid w:val="006F78C4"/>
    <w:rsid w:val="00700290"/>
    <w:rsid w:val="0070084C"/>
    <w:rsid w:val="007031A0"/>
    <w:rsid w:val="00704186"/>
    <w:rsid w:val="00705A29"/>
    <w:rsid w:val="00706C0F"/>
    <w:rsid w:val="00707498"/>
    <w:rsid w:val="00711A65"/>
    <w:rsid w:val="0071276E"/>
    <w:rsid w:val="00713463"/>
    <w:rsid w:val="00714133"/>
    <w:rsid w:val="00714DA4"/>
    <w:rsid w:val="007158B2"/>
    <w:rsid w:val="00716081"/>
    <w:rsid w:val="007164F3"/>
    <w:rsid w:val="00717501"/>
    <w:rsid w:val="00717D0C"/>
    <w:rsid w:val="00720022"/>
    <w:rsid w:val="007204A4"/>
    <w:rsid w:val="00722B48"/>
    <w:rsid w:val="00723FCB"/>
    <w:rsid w:val="00724164"/>
    <w:rsid w:val="00725577"/>
    <w:rsid w:val="00725DE7"/>
    <w:rsid w:val="0072636A"/>
    <w:rsid w:val="00726B44"/>
    <w:rsid w:val="00730E97"/>
    <w:rsid w:val="007318DD"/>
    <w:rsid w:val="00733167"/>
    <w:rsid w:val="00733D0A"/>
    <w:rsid w:val="007340CE"/>
    <w:rsid w:val="00735B1D"/>
    <w:rsid w:val="00737991"/>
    <w:rsid w:val="00740D2C"/>
    <w:rsid w:val="00741198"/>
    <w:rsid w:val="00744BF9"/>
    <w:rsid w:val="00745013"/>
    <w:rsid w:val="00745261"/>
    <w:rsid w:val="00752623"/>
    <w:rsid w:val="00752908"/>
    <w:rsid w:val="00752F53"/>
    <w:rsid w:val="007546DB"/>
    <w:rsid w:val="007555F3"/>
    <w:rsid w:val="00757A26"/>
    <w:rsid w:val="00760296"/>
    <w:rsid w:val="00760F1F"/>
    <w:rsid w:val="007611A4"/>
    <w:rsid w:val="00763ACD"/>
    <w:rsid w:val="0076423E"/>
    <w:rsid w:val="0076446E"/>
    <w:rsid w:val="007646CB"/>
    <w:rsid w:val="0076658F"/>
    <w:rsid w:val="00766884"/>
    <w:rsid w:val="007677E3"/>
    <w:rsid w:val="0077040A"/>
    <w:rsid w:val="007717DE"/>
    <w:rsid w:val="00772D64"/>
    <w:rsid w:val="007736CA"/>
    <w:rsid w:val="0077420D"/>
    <w:rsid w:val="007763F5"/>
    <w:rsid w:val="00776EB3"/>
    <w:rsid w:val="00777AF3"/>
    <w:rsid w:val="00777CCF"/>
    <w:rsid w:val="00780109"/>
    <w:rsid w:val="007821BA"/>
    <w:rsid w:val="00784893"/>
    <w:rsid w:val="00784E75"/>
    <w:rsid w:val="00785566"/>
    <w:rsid w:val="00785AE7"/>
    <w:rsid w:val="00786288"/>
    <w:rsid w:val="00786E02"/>
    <w:rsid w:val="00792609"/>
    <w:rsid w:val="00792887"/>
    <w:rsid w:val="007943E2"/>
    <w:rsid w:val="00794F2C"/>
    <w:rsid w:val="00797CDF"/>
    <w:rsid w:val="007A2072"/>
    <w:rsid w:val="007A3BC7"/>
    <w:rsid w:val="007A4044"/>
    <w:rsid w:val="007A49D3"/>
    <w:rsid w:val="007A5AC4"/>
    <w:rsid w:val="007A6326"/>
    <w:rsid w:val="007A6524"/>
    <w:rsid w:val="007B0FDD"/>
    <w:rsid w:val="007B2803"/>
    <w:rsid w:val="007B4802"/>
    <w:rsid w:val="007B5319"/>
    <w:rsid w:val="007B531A"/>
    <w:rsid w:val="007B64BF"/>
    <w:rsid w:val="007B6668"/>
    <w:rsid w:val="007B6B33"/>
    <w:rsid w:val="007B6BBB"/>
    <w:rsid w:val="007C0236"/>
    <w:rsid w:val="007C2701"/>
    <w:rsid w:val="007C2EE0"/>
    <w:rsid w:val="007C6581"/>
    <w:rsid w:val="007C7A00"/>
    <w:rsid w:val="007C7DD0"/>
    <w:rsid w:val="007D117F"/>
    <w:rsid w:val="007D1571"/>
    <w:rsid w:val="007D2192"/>
    <w:rsid w:val="007D3337"/>
    <w:rsid w:val="007D4CE3"/>
    <w:rsid w:val="007E332A"/>
    <w:rsid w:val="007E7E18"/>
    <w:rsid w:val="007F0021"/>
    <w:rsid w:val="007F25E7"/>
    <w:rsid w:val="007F2F52"/>
    <w:rsid w:val="007F3B39"/>
    <w:rsid w:val="007F481F"/>
    <w:rsid w:val="007F569B"/>
    <w:rsid w:val="007F789F"/>
    <w:rsid w:val="00801F71"/>
    <w:rsid w:val="00802F0B"/>
    <w:rsid w:val="008052CF"/>
    <w:rsid w:val="00805B98"/>
    <w:rsid w:val="00805F28"/>
    <w:rsid w:val="0080732B"/>
    <w:rsid w:val="0080749F"/>
    <w:rsid w:val="0081075B"/>
    <w:rsid w:val="00811D46"/>
    <w:rsid w:val="00812039"/>
    <w:rsid w:val="008125B0"/>
    <w:rsid w:val="008144CB"/>
    <w:rsid w:val="008159D2"/>
    <w:rsid w:val="00815BF0"/>
    <w:rsid w:val="008168FE"/>
    <w:rsid w:val="008176C0"/>
    <w:rsid w:val="00820B1B"/>
    <w:rsid w:val="00821717"/>
    <w:rsid w:val="00821C34"/>
    <w:rsid w:val="00823628"/>
    <w:rsid w:val="00823957"/>
    <w:rsid w:val="00823E35"/>
    <w:rsid w:val="00824210"/>
    <w:rsid w:val="00824451"/>
    <w:rsid w:val="00825201"/>
    <w:rsid w:val="008263C0"/>
    <w:rsid w:val="0082742B"/>
    <w:rsid w:val="008275CD"/>
    <w:rsid w:val="00830C9C"/>
    <w:rsid w:val="00830ED6"/>
    <w:rsid w:val="00832F80"/>
    <w:rsid w:val="008337BB"/>
    <w:rsid w:val="00834168"/>
    <w:rsid w:val="00841422"/>
    <w:rsid w:val="008415AE"/>
    <w:rsid w:val="00841D3B"/>
    <w:rsid w:val="0084314C"/>
    <w:rsid w:val="00843171"/>
    <w:rsid w:val="00845F79"/>
    <w:rsid w:val="00853174"/>
    <w:rsid w:val="00855E23"/>
    <w:rsid w:val="00857046"/>
    <w:rsid w:val="008575C3"/>
    <w:rsid w:val="00857B37"/>
    <w:rsid w:val="00862088"/>
    <w:rsid w:val="00862AF0"/>
    <w:rsid w:val="00862C62"/>
    <w:rsid w:val="00862FEE"/>
    <w:rsid w:val="00863D28"/>
    <w:rsid w:val="008648C3"/>
    <w:rsid w:val="00864BAC"/>
    <w:rsid w:val="00866025"/>
    <w:rsid w:val="00866869"/>
    <w:rsid w:val="00867070"/>
    <w:rsid w:val="008673F1"/>
    <w:rsid w:val="00870043"/>
    <w:rsid w:val="00870403"/>
    <w:rsid w:val="00875F05"/>
    <w:rsid w:val="00876EB3"/>
    <w:rsid w:val="00877E98"/>
    <w:rsid w:val="00880AB5"/>
    <w:rsid w:val="00880F26"/>
    <w:rsid w:val="00882821"/>
    <w:rsid w:val="00882B3B"/>
    <w:rsid w:val="00884089"/>
    <w:rsid w:val="0088588D"/>
    <w:rsid w:val="00885A5F"/>
    <w:rsid w:val="00885B37"/>
    <w:rsid w:val="00890FE0"/>
    <w:rsid w:val="00896C2E"/>
    <w:rsid w:val="008A0ED3"/>
    <w:rsid w:val="008A1A8E"/>
    <w:rsid w:val="008A35DD"/>
    <w:rsid w:val="008A3E31"/>
    <w:rsid w:val="008A40F4"/>
    <w:rsid w:val="008A500A"/>
    <w:rsid w:val="008A5095"/>
    <w:rsid w:val="008A608F"/>
    <w:rsid w:val="008B0784"/>
    <w:rsid w:val="008B15A8"/>
    <w:rsid w:val="008B1A9A"/>
    <w:rsid w:val="008B235E"/>
    <w:rsid w:val="008B25C7"/>
    <w:rsid w:val="008B33FC"/>
    <w:rsid w:val="008B4FE6"/>
    <w:rsid w:val="008B6C37"/>
    <w:rsid w:val="008C3E9C"/>
    <w:rsid w:val="008C629A"/>
    <w:rsid w:val="008D0938"/>
    <w:rsid w:val="008D1D39"/>
    <w:rsid w:val="008D1FD5"/>
    <w:rsid w:val="008D3C9C"/>
    <w:rsid w:val="008D4757"/>
    <w:rsid w:val="008D5213"/>
    <w:rsid w:val="008D6600"/>
    <w:rsid w:val="008D6FA2"/>
    <w:rsid w:val="008D74F1"/>
    <w:rsid w:val="008E18F7"/>
    <w:rsid w:val="008E1E10"/>
    <w:rsid w:val="008E2528"/>
    <w:rsid w:val="008E2586"/>
    <w:rsid w:val="008E291B"/>
    <w:rsid w:val="008E2E12"/>
    <w:rsid w:val="008E3EF5"/>
    <w:rsid w:val="008E4F2F"/>
    <w:rsid w:val="008E6A22"/>
    <w:rsid w:val="008E709E"/>
    <w:rsid w:val="008E74B0"/>
    <w:rsid w:val="008F18BB"/>
    <w:rsid w:val="008F4B57"/>
    <w:rsid w:val="008F588A"/>
    <w:rsid w:val="008F5D58"/>
    <w:rsid w:val="008F73C9"/>
    <w:rsid w:val="009008A8"/>
    <w:rsid w:val="00900C92"/>
    <w:rsid w:val="009016DE"/>
    <w:rsid w:val="00901C10"/>
    <w:rsid w:val="00902D0C"/>
    <w:rsid w:val="00902FF5"/>
    <w:rsid w:val="00903DA0"/>
    <w:rsid w:val="009058D2"/>
    <w:rsid w:val="00905C3E"/>
    <w:rsid w:val="009063B0"/>
    <w:rsid w:val="00907106"/>
    <w:rsid w:val="0091068F"/>
    <w:rsid w:val="009107FD"/>
    <w:rsid w:val="00910928"/>
    <w:rsid w:val="0091137C"/>
    <w:rsid w:val="00911567"/>
    <w:rsid w:val="009141AF"/>
    <w:rsid w:val="00915069"/>
    <w:rsid w:val="00917AAE"/>
    <w:rsid w:val="00920B73"/>
    <w:rsid w:val="00921FEC"/>
    <w:rsid w:val="0092518A"/>
    <w:rsid w:val="009251A9"/>
    <w:rsid w:val="00930699"/>
    <w:rsid w:val="00931F69"/>
    <w:rsid w:val="00933EF9"/>
    <w:rsid w:val="00934123"/>
    <w:rsid w:val="00934707"/>
    <w:rsid w:val="00935F77"/>
    <w:rsid w:val="00936E85"/>
    <w:rsid w:val="009374C7"/>
    <w:rsid w:val="009378C2"/>
    <w:rsid w:val="0094219A"/>
    <w:rsid w:val="0094245A"/>
    <w:rsid w:val="00955774"/>
    <w:rsid w:val="009560B5"/>
    <w:rsid w:val="00964474"/>
    <w:rsid w:val="0096759B"/>
    <w:rsid w:val="009703D4"/>
    <w:rsid w:val="009703D6"/>
    <w:rsid w:val="0097181B"/>
    <w:rsid w:val="00974471"/>
    <w:rsid w:val="009753B4"/>
    <w:rsid w:val="00976112"/>
    <w:rsid w:val="00976DC5"/>
    <w:rsid w:val="009818C7"/>
    <w:rsid w:val="00982DD4"/>
    <w:rsid w:val="009841E5"/>
    <w:rsid w:val="0098479F"/>
    <w:rsid w:val="00984A8A"/>
    <w:rsid w:val="00985063"/>
    <w:rsid w:val="009857B6"/>
    <w:rsid w:val="00985A8D"/>
    <w:rsid w:val="00986610"/>
    <w:rsid w:val="009868A1"/>
    <w:rsid w:val="009877DC"/>
    <w:rsid w:val="00991F96"/>
    <w:rsid w:val="0099276F"/>
    <w:rsid w:val="0099282A"/>
    <w:rsid w:val="009935E6"/>
    <w:rsid w:val="00995269"/>
    <w:rsid w:val="009954AF"/>
    <w:rsid w:val="00996F0A"/>
    <w:rsid w:val="00997606"/>
    <w:rsid w:val="009A1D86"/>
    <w:rsid w:val="009A7E16"/>
    <w:rsid w:val="009A7ED8"/>
    <w:rsid w:val="009B049C"/>
    <w:rsid w:val="009B04E1"/>
    <w:rsid w:val="009B11C8"/>
    <w:rsid w:val="009B2BCF"/>
    <w:rsid w:val="009B2FF8"/>
    <w:rsid w:val="009B5BA3"/>
    <w:rsid w:val="009C07D1"/>
    <w:rsid w:val="009C2B4D"/>
    <w:rsid w:val="009C3366"/>
    <w:rsid w:val="009C4E30"/>
    <w:rsid w:val="009C7371"/>
    <w:rsid w:val="009C797C"/>
    <w:rsid w:val="009D0027"/>
    <w:rsid w:val="009D0655"/>
    <w:rsid w:val="009D0A12"/>
    <w:rsid w:val="009D1D45"/>
    <w:rsid w:val="009D328E"/>
    <w:rsid w:val="009E1E98"/>
    <w:rsid w:val="009E3ABE"/>
    <w:rsid w:val="009E3C4B"/>
    <w:rsid w:val="009E42B5"/>
    <w:rsid w:val="009F0637"/>
    <w:rsid w:val="009F08CF"/>
    <w:rsid w:val="009F1464"/>
    <w:rsid w:val="009F1DC6"/>
    <w:rsid w:val="009F3450"/>
    <w:rsid w:val="009F5141"/>
    <w:rsid w:val="009F5E42"/>
    <w:rsid w:val="009F62A6"/>
    <w:rsid w:val="009F674F"/>
    <w:rsid w:val="009F799E"/>
    <w:rsid w:val="00A02020"/>
    <w:rsid w:val="00A026B1"/>
    <w:rsid w:val="00A02F25"/>
    <w:rsid w:val="00A056CB"/>
    <w:rsid w:val="00A07417"/>
    <w:rsid w:val="00A07A29"/>
    <w:rsid w:val="00A10FF1"/>
    <w:rsid w:val="00A112D5"/>
    <w:rsid w:val="00A114F6"/>
    <w:rsid w:val="00A11A26"/>
    <w:rsid w:val="00A144D2"/>
    <w:rsid w:val="00A147F5"/>
    <w:rsid w:val="00A1506B"/>
    <w:rsid w:val="00A15E4A"/>
    <w:rsid w:val="00A17CB2"/>
    <w:rsid w:val="00A20314"/>
    <w:rsid w:val="00A23191"/>
    <w:rsid w:val="00A275E8"/>
    <w:rsid w:val="00A31861"/>
    <w:rsid w:val="00A319C0"/>
    <w:rsid w:val="00A33560"/>
    <w:rsid w:val="00A34927"/>
    <w:rsid w:val="00A364E4"/>
    <w:rsid w:val="00A371A5"/>
    <w:rsid w:val="00A422C4"/>
    <w:rsid w:val="00A4438E"/>
    <w:rsid w:val="00A459EC"/>
    <w:rsid w:val="00A468FB"/>
    <w:rsid w:val="00A46C84"/>
    <w:rsid w:val="00A47BDF"/>
    <w:rsid w:val="00A50309"/>
    <w:rsid w:val="00A51CD7"/>
    <w:rsid w:val="00A52232"/>
    <w:rsid w:val="00A52ADB"/>
    <w:rsid w:val="00A533E8"/>
    <w:rsid w:val="00A537D3"/>
    <w:rsid w:val="00A54111"/>
    <w:rsid w:val="00A542D9"/>
    <w:rsid w:val="00A5456B"/>
    <w:rsid w:val="00A56E64"/>
    <w:rsid w:val="00A57BB2"/>
    <w:rsid w:val="00A60B17"/>
    <w:rsid w:val="00A60C07"/>
    <w:rsid w:val="00A6160B"/>
    <w:rsid w:val="00A624C3"/>
    <w:rsid w:val="00A62551"/>
    <w:rsid w:val="00A64BB6"/>
    <w:rsid w:val="00A6641C"/>
    <w:rsid w:val="00A719ED"/>
    <w:rsid w:val="00A72365"/>
    <w:rsid w:val="00A767D2"/>
    <w:rsid w:val="00A77616"/>
    <w:rsid w:val="00A804BC"/>
    <w:rsid w:val="00A805DA"/>
    <w:rsid w:val="00A80A3C"/>
    <w:rsid w:val="00A80E7D"/>
    <w:rsid w:val="00A81086"/>
    <w:rsid w:val="00A811B4"/>
    <w:rsid w:val="00A8285D"/>
    <w:rsid w:val="00A84604"/>
    <w:rsid w:val="00A866F8"/>
    <w:rsid w:val="00A86965"/>
    <w:rsid w:val="00A87CDE"/>
    <w:rsid w:val="00A90392"/>
    <w:rsid w:val="00A912EB"/>
    <w:rsid w:val="00A915FE"/>
    <w:rsid w:val="00A92BAF"/>
    <w:rsid w:val="00A936F2"/>
    <w:rsid w:val="00A945DB"/>
    <w:rsid w:val="00A94737"/>
    <w:rsid w:val="00A94BA3"/>
    <w:rsid w:val="00A94EF4"/>
    <w:rsid w:val="00A9524B"/>
    <w:rsid w:val="00A95FD7"/>
    <w:rsid w:val="00A96CBA"/>
    <w:rsid w:val="00A97137"/>
    <w:rsid w:val="00A97DBD"/>
    <w:rsid w:val="00AA0700"/>
    <w:rsid w:val="00AA1A8E"/>
    <w:rsid w:val="00AA2195"/>
    <w:rsid w:val="00AA5B32"/>
    <w:rsid w:val="00AA61CB"/>
    <w:rsid w:val="00AA68BB"/>
    <w:rsid w:val="00AB1959"/>
    <w:rsid w:val="00AB196F"/>
    <w:rsid w:val="00AB1ACD"/>
    <w:rsid w:val="00AB277F"/>
    <w:rsid w:val="00AB3FF9"/>
    <w:rsid w:val="00AB4099"/>
    <w:rsid w:val="00AB449A"/>
    <w:rsid w:val="00AB4ECB"/>
    <w:rsid w:val="00AB6FFA"/>
    <w:rsid w:val="00AC6153"/>
    <w:rsid w:val="00AC682D"/>
    <w:rsid w:val="00AC7B93"/>
    <w:rsid w:val="00AD025D"/>
    <w:rsid w:val="00AD14F9"/>
    <w:rsid w:val="00AD17D7"/>
    <w:rsid w:val="00AD35D6"/>
    <w:rsid w:val="00AD58C5"/>
    <w:rsid w:val="00AD7182"/>
    <w:rsid w:val="00AD7417"/>
    <w:rsid w:val="00AE0702"/>
    <w:rsid w:val="00AE1369"/>
    <w:rsid w:val="00AE2EDE"/>
    <w:rsid w:val="00AE36C4"/>
    <w:rsid w:val="00AE3850"/>
    <w:rsid w:val="00AE3ED5"/>
    <w:rsid w:val="00AE472C"/>
    <w:rsid w:val="00AE5375"/>
    <w:rsid w:val="00AE5A75"/>
    <w:rsid w:val="00AE6C45"/>
    <w:rsid w:val="00AE6CF8"/>
    <w:rsid w:val="00AF177E"/>
    <w:rsid w:val="00AF27DD"/>
    <w:rsid w:val="00AF4CAC"/>
    <w:rsid w:val="00B0037D"/>
    <w:rsid w:val="00B03A4B"/>
    <w:rsid w:val="00B03E0D"/>
    <w:rsid w:val="00B050FA"/>
    <w:rsid w:val="00B054F8"/>
    <w:rsid w:val="00B07832"/>
    <w:rsid w:val="00B078D2"/>
    <w:rsid w:val="00B07C82"/>
    <w:rsid w:val="00B14F6E"/>
    <w:rsid w:val="00B15799"/>
    <w:rsid w:val="00B17112"/>
    <w:rsid w:val="00B209CB"/>
    <w:rsid w:val="00B20D23"/>
    <w:rsid w:val="00B2219A"/>
    <w:rsid w:val="00B25E9C"/>
    <w:rsid w:val="00B3258A"/>
    <w:rsid w:val="00B34ACC"/>
    <w:rsid w:val="00B34EF4"/>
    <w:rsid w:val="00B3581B"/>
    <w:rsid w:val="00B3671D"/>
    <w:rsid w:val="00B36B81"/>
    <w:rsid w:val="00B36B84"/>
    <w:rsid w:val="00B36FEE"/>
    <w:rsid w:val="00B37C80"/>
    <w:rsid w:val="00B41BFB"/>
    <w:rsid w:val="00B421F0"/>
    <w:rsid w:val="00B445F9"/>
    <w:rsid w:val="00B461DF"/>
    <w:rsid w:val="00B4685C"/>
    <w:rsid w:val="00B5092B"/>
    <w:rsid w:val="00B5194E"/>
    <w:rsid w:val="00B51AF5"/>
    <w:rsid w:val="00B51CFF"/>
    <w:rsid w:val="00B51E45"/>
    <w:rsid w:val="00B52EA6"/>
    <w:rsid w:val="00B531FC"/>
    <w:rsid w:val="00B547C6"/>
    <w:rsid w:val="00B55347"/>
    <w:rsid w:val="00B56B98"/>
    <w:rsid w:val="00B57E5E"/>
    <w:rsid w:val="00B61936"/>
    <w:rsid w:val="00B61F37"/>
    <w:rsid w:val="00B664C4"/>
    <w:rsid w:val="00B66C36"/>
    <w:rsid w:val="00B66C9E"/>
    <w:rsid w:val="00B67254"/>
    <w:rsid w:val="00B7190D"/>
    <w:rsid w:val="00B7237B"/>
    <w:rsid w:val="00B76641"/>
    <w:rsid w:val="00B76B98"/>
    <w:rsid w:val="00B76BD1"/>
    <w:rsid w:val="00B7770F"/>
    <w:rsid w:val="00B77A89"/>
    <w:rsid w:val="00B77B27"/>
    <w:rsid w:val="00B8134E"/>
    <w:rsid w:val="00B81B55"/>
    <w:rsid w:val="00B824DF"/>
    <w:rsid w:val="00B82586"/>
    <w:rsid w:val="00B84613"/>
    <w:rsid w:val="00B879B0"/>
    <w:rsid w:val="00B87AF0"/>
    <w:rsid w:val="00B9037B"/>
    <w:rsid w:val="00B90AC1"/>
    <w:rsid w:val="00B910BD"/>
    <w:rsid w:val="00B91756"/>
    <w:rsid w:val="00B9337C"/>
    <w:rsid w:val="00B93834"/>
    <w:rsid w:val="00B938E6"/>
    <w:rsid w:val="00B94884"/>
    <w:rsid w:val="00B94E6F"/>
    <w:rsid w:val="00B95AAD"/>
    <w:rsid w:val="00B96469"/>
    <w:rsid w:val="00B975F1"/>
    <w:rsid w:val="00BA0DA2"/>
    <w:rsid w:val="00BA2981"/>
    <w:rsid w:val="00BA2B55"/>
    <w:rsid w:val="00BA42EE"/>
    <w:rsid w:val="00BA48F9"/>
    <w:rsid w:val="00BA7375"/>
    <w:rsid w:val="00BB0DCA"/>
    <w:rsid w:val="00BB20E0"/>
    <w:rsid w:val="00BB2666"/>
    <w:rsid w:val="00BB49CC"/>
    <w:rsid w:val="00BB4FAA"/>
    <w:rsid w:val="00BB5618"/>
    <w:rsid w:val="00BB5674"/>
    <w:rsid w:val="00BB6B80"/>
    <w:rsid w:val="00BB74F1"/>
    <w:rsid w:val="00BC1745"/>
    <w:rsid w:val="00BC26DC"/>
    <w:rsid w:val="00BC3773"/>
    <w:rsid w:val="00BC381A"/>
    <w:rsid w:val="00BC4F16"/>
    <w:rsid w:val="00BC70A4"/>
    <w:rsid w:val="00BD0962"/>
    <w:rsid w:val="00BD18B5"/>
    <w:rsid w:val="00BD1EED"/>
    <w:rsid w:val="00BD2F2A"/>
    <w:rsid w:val="00BD315E"/>
    <w:rsid w:val="00BD4176"/>
    <w:rsid w:val="00BD4393"/>
    <w:rsid w:val="00BD43CD"/>
    <w:rsid w:val="00BD6BFB"/>
    <w:rsid w:val="00BD7E56"/>
    <w:rsid w:val="00BE0368"/>
    <w:rsid w:val="00BE037E"/>
    <w:rsid w:val="00BE357F"/>
    <w:rsid w:val="00BE4450"/>
    <w:rsid w:val="00BE515F"/>
    <w:rsid w:val="00BE7529"/>
    <w:rsid w:val="00BF0DA2"/>
    <w:rsid w:val="00BF109C"/>
    <w:rsid w:val="00BF291C"/>
    <w:rsid w:val="00BF34FA"/>
    <w:rsid w:val="00BF4144"/>
    <w:rsid w:val="00C002FA"/>
    <w:rsid w:val="00C00365"/>
    <w:rsid w:val="00C004B6"/>
    <w:rsid w:val="00C0298B"/>
    <w:rsid w:val="00C02D88"/>
    <w:rsid w:val="00C047A7"/>
    <w:rsid w:val="00C05259"/>
    <w:rsid w:val="00C05DE5"/>
    <w:rsid w:val="00C0635C"/>
    <w:rsid w:val="00C06C22"/>
    <w:rsid w:val="00C06FC1"/>
    <w:rsid w:val="00C109A6"/>
    <w:rsid w:val="00C10E4C"/>
    <w:rsid w:val="00C11791"/>
    <w:rsid w:val="00C12968"/>
    <w:rsid w:val="00C14B8B"/>
    <w:rsid w:val="00C174FD"/>
    <w:rsid w:val="00C207FD"/>
    <w:rsid w:val="00C22352"/>
    <w:rsid w:val="00C228D1"/>
    <w:rsid w:val="00C2320F"/>
    <w:rsid w:val="00C2361C"/>
    <w:rsid w:val="00C254DE"/>
    <w:rsid w:val="00C26975"/>
    <w:rsid w:val="00C3035B"/>
    <w:rsid w:val="00C317F6"/>
    <w:rsid w:val="00C32CEB"/>
    <w:rsid w:val="00C33027"/>
    <w:rsid w:val="00C33411"/>
    <w:rsid w:val="00C33ECF"/>
    <w:rsid w:val="00C35A11"/>
    <w:rsid w:val="00C37667"/>
    <w:rsid w:val="00C379ED"/>
    <w:rsid w:val="00C41D2C"/>
    <w:rsid w:val="00C43204"/>
    <w:rsid w:val="00C435DB"/>
    <w:rsid w:val="00C43E44"/>
    <w:rsid w:val="00C44D73"/>
    <w:rsid w:val="00C47AB3"/>
    <w:rsid w:val="00C50B42"/>
    <w:rsid w:val="00C516FF"/>
    <w:rsid w:val="00C52A60"/>
    <w:rsid w:val="00C52BFA"/>
    <w:rsid w:val="00C53D1D"/>
    <w:rsid w:val="00C53F26"/>
    <w:rsid w:val="00C540BC"/>
    <w:rsid w:val="00C57B7E"/>
    <w:rsid w:val="00C61468"/>
    <w:rsid w:val="00C62B8F"/>
    <w:rsid w:val="00C64407"/>
    <w:rsid w:val="00C64C25"/>
    <w:rsid w:val="00C64F7D"/>
    <w:rsid w:val="00C651B9"/>
    <w:rsid w:val="00C65F14"/>
    <w:rsid w:val="00C65FE1"/>
    <w:rsid w:val="00C67309"/>
    <w:rsid w:val="00C6798E"/>
    <w:rsid w:val="00C67C75"/>
    <w:rsid w:val="00C67FDF"/>
    <w:rsid w:val="00C70A79"/>
    <w:rsid w:val="00C70C6C"/>
    <w:rsid w:val="00C71869"/>
    <w:rsid w:val="00C7608B"/>
    <w:rsid w:val="00C7614E"/>
    <w:rsid w:val="00C76F7C"/>
    <w:rsid w:val="00C771B9"/>
    <w:rsid w:val="00C77A4A"/>
    <w:rsid w:val="00C77BF1"/>
    <w:rsid w:val="00C80D60"/>
    <w:rsid w:val="00C82FBD"/>
    <w:rsid w:val="00C835C2"/>
    <w:rsid w:val="00C83A30"/>
    <w:rsid w:val="00C85267"/>
    <w:rsid w:val="00C8721B"/>
    <w:rsid w:val="00C8797C"/>
    <w:rsid w:val="00C90643"/>
    <w:rsid w:val="00C914F6"/>
    <w:rsid w:val="00C93541"/>
    <w:rsid w:val="00C9372C"/>
    <w:rsid w:val="00C9470E"/>
    <w:rsid w:val="00C95CEB"/>
    <w:rsid w:val="00CA1054"/>
    <w:rsid w:val="00CA1B4E"/>
    <w:rsid w:val="00CA2BBA"/>
    <w:rsid w:val="00CA4978"/>
    <w:rsid w:val="00CA4B49"/>
    <w:rsid w:val="00CA5144"/>
    <w:rsid w:val="00CA61BF"/>
    <w:rsid w:val="00CA63EB"/>
    <w:rsid w:val="00CA69F1"/>
    <w:rsid w:val="00CA741D"/>
    <w:rsid w:val="00CB0FB4"/>
    <w:rsid w:val="00CB10B0"/>
    <w:rsid w:val="00CB14CF"/>
    <w:rsid w:val="00CB284B"/>
    <w:rsid w:val="00CB3EC3"/>
    <w:rsid w:val="00CB4BF0"/>
    <w:rsid w:val="00CB6991"/>
    <w:rsid w:val="00CC1C93"/>
    <w:rsid w:val="00CC28A5"/>
    <w:rsid w:val="00CC2F66"/>
    <w:rsid w:val="00CC6194"/>
    <w:rsid w:val="00CC6305"/>
    <w:rsid w:val="00CC7443"/>
    <w:rsid w:val="00CC78A5"/>
    <w:rsid w:val="00CD0516"/>
    <w:rsid w:val="00CD052A"/>
    <w:rsid w:val="00CD32DE"/>
    <w:rsid w:val="00CD3459"/>
    <w:rsid w:val="00CD4A60"/>
    <w:rsid w:val="00CD756B"/>
    <w:rsid w:val="00CE2666"/>
    <w:rsid w:val="00CE2DD8"/>
    <w:rsid w:val="00CE5238"/>
    <w:rsid w:val="00CE734F"/>
    <w:rsid w:val="00CF09AD"/>
    <w:rsid w:val="00CF112E"/>
    <w:rsid w:val="00CF36E6"/>
    <w:rsid w:val="00CF5F4F"/>
    <w:rsid w:val="00D00D90"/>
    <w:rsid w:val="00D0176C"/>
    <w:rsid w:val="00D01D1D"/>
    <w:rsid w:val="00D02F9D"/>
    <w:rsid w:val="00D034E7"/>
    <w:rsid w:val="00D03F9B"/>
    <w:rsid w:val="00D0429E"/>
    <w:rsid w:val="00D04896"/>
    <w:rsid w:val="00D054A6"/>
    <w:rsid w:val="00D05E4E"/>
    <w:rsid w:val="00D079DA"/>
    <w:rsid w:val="00D11657"/>
    <w:rsid w:val="00D11CFD"/>
    <w:rsid w:val="00D15B92"/>
    <w:rsid w:val="00D1797A"/>
    <w:rsid w:val="00D218DC"/>
    <w:rsid w:val="00D225B1"/>
    <w:rsid w:val="00D22749"/>
    <w:rsid w:val="00D24357"/>
    <w:rsid w:val="00D24E56"/>
    <w:rsid w:val="00D26761"/>
    <w:rsid w:val="00D26C11"/>
    <w:rsid w:val="00D2703E"/>
    <w:rsid w:val="00D2758E"/>
    <w:rsid w:val="00D30FC0"/>
    <w:rsid w:val="00D31643"/>
    <w:rsid w:val="00D31AEB"/>
    <w:rsid w:val="00D324CC"/>
    <w:rsid w:val="00D32ECD"/>
    <w:rsid w:val="00D33D59"/>
    <w:rsid w:val="00D34BBE"/>
    <w:rsid w:val="00D34DB1"/>
    <w:rsid w:val="00D3510D"/>
    <w:rsid w:val="00D359DC"/>
    <w:rsid w:val="00D361E4"/>
    <w:rsid w:val="00D376E3"/>
    <w:rsid w:val="00D4261C"/>
    <w:rsid w:val="00D42A8F"/>
    <w:rsid w:val="00D439F6"/>
    <w:rsid w:val="00D459C6"/>
    <w:rsid w:val="00D45A20"/>
    <w:rsid w:val="00D476D6"/>
    <w:rsid w:val="00D50729"/>
    <w:rsid w:val="00D50C19"/>
    <w:rsid w:val="00D50FC0"/>
    <w:rsid w:val="00D51B34"/>
    <w:rsid w:val="00D52303"/>
    <w:rsid w:val="00D5379E"/>
    <w:rsid w:val="00D57E25"/>
    <w:rsid w:val="00D60B2D"/>
    <w:rsid w:val="00D60C0D"/>
    <w:rsid w:val="00D62643"/>
    <w:rsid w:val="00D6405B"/>
    <w:rsid w:val="00D64C0F"/>
    <w:rsid w:val="00D66A52"/>
    <w:rsid w:val="00D67933"/>
    <w:rsid w:val="00D717E4"/>
    <w:rsid w:val="00D72EFE"/>
    <w:rsid w:val="00D7321F"/>
    <w:rsid w:val="00D76227"/>
    <w:rsid w:val="00D76768"/>
    <w:rsid w:val="00D77D88"/>
    <w:rsid w:val="00D77DF1"/>
    <w:rsid w:val="00D77FB5"/>
    <w:rsid w:val="00D83EC1"/>
    <w:rsid w:val="00D8673E"/>
    <w:rsid w:val="00D86AFF"/>
    <w:rsid w:val="00D87AC3"/>
    <w:rsid w:val="00D87D04"/>
    <w:rsid w:val="00D87DA5"/>
    <w:rsid w:val="00D91859"/>
    <w:rsid w:val="00D929D4"/>
    <w:rsid w:val="00D95A44"/>
    <w:rsid w:val="00D95D16"/>
    <w:rsid w:val="00D9743B"/>
    <w:rsid w:val="00D97914"/>
    <w:rsid w:val="00D97C76"/>
    <w:rsid w:val="00DA027C"/>
    <w:rsid w:val="00DA1BB2"/>
    <w:rsid w:val="00DA2DAB"/>
    <w:rsid w:val="00DA438F"/>
    <w:rsid w:val="00DA4F67"/>
    <w:rsid w:val="00DA730E"/>
    <w:rsid w:val="00DA768F"/>
    <w:rsid w:val="00DB02B4"/>
    <w:rsid w:val="00DB1D43"/>
    <w:rsid w:val="00DB207A"/>
    <w:rsid w:val="00DB2185"/>
    <w:rsid w:val="00DB2D0B"/>
    <w:rsid w:val="00DB4278"/>
    <w:rsid w:val="00DB538D"/>
    <w:rsid w:val="00DB77E4"/>
    <w:rsid w:val="00DC275C"/>
    <w:rsid w:val="00DC2A07"/>
    <w:rsid w:val="00DC469D"/>
    <w:rsid w:val="00DC4B0D"/>
    <w:rsid w:val="00DC5291"/>
    <w:rsid w:val="00DC5AEA"/>
    <w:rsid w:val="00DC7FE1"/>
    <w:rsid w:val="00DD00C3"/>
    <w:rsid w:val="00DD0E6F"/>
    <w:rsid w:val="00DD29DE"/>
    <w:rsid w:val="00DD3F3F"/>
    <w:rsid w:val="00DD54E3"/>
    <w:rsid w:val="00DD5572"/>
    <w:rsid w:val="00DD6A48"/>
    <w:rsid w:val="00DE0066"/>
    <w:rsid w:val="00DE0BAC"/>
    <w:rsid w:val="00DE5D80"/>
    <w:rsid w:val="00DE6B8B"/>
    <w:rsid w:val="00DE78DE"/>
    <w:rsid w:val="00DE7A5A"/>
    <w:rsid w:val="00DF0678"/>
    <w:rsid w:val="00DF28AA"/>
    <w:rsid w:val="00DF3023"/>
    <w:rsid w:val="00DF349D"/>
    <w:rsid w:val="00DF4D29"/>
    <w:rsid w:val="00DF58CD"/>
    <w:rsid w:val="00DF65DE"/>
    <w:rsid w:val="00DF764A"/>
    <w:rsid w:val="00E00BE7"/>
    <w:rsid w:val="00E00EE0"/>
    <w:rsid w:val="00E019A5"/>
    <w:rsid w:val="00E028D5"/>
    <w:rsid w:val="00E02EC8"/>
    <w:rsid w:val="00E037F5"/>
    <w:rsid w:val="00E042F6"/>
    <w:rsid w:val="00E043BB"/>
    <w:rsid w:val="00E04627"/>
    <w:rsid w:val="00E04ECB"/>
    <w:rsid w:val="00E05A09"/>
    <w:rsid w:val="00E06CA1"/>
    <w:rsid w:val="00E0703B"/>
    <w:rsid w:val="00E07192"/>
    <w:rsid w:val="00E14D7B"/>
    <w:rsid w:val="00E15FC0"/>
    <w:rsid w:val="00E172B8"/>
    <w:rsid w:val="00E17FB4"/>
    <w:rsid w:val="00E20700"/>
    <w:rsid w:val="00E20B75"/>
    <w:rsid w:val="00E20B7F"/>
    <w:rsid w:val="00E214F2"/>
    <w:rsid w:val="00E22FD9"/>
    <w:rsid w:val="00E2371E"/>
    <w:rsid w:val="00E23DE9"/>
    <w:rsid w:val="00E24A0A"/>
    <w:rsid w:val="00E24BD7"/>
    <w:rsid w:val="00E26523"/>
    <w:rsid w:val="00E26809"/>
    <w:rsid w:val="00E26DB8"/>
    <w:rsid w:val="00E32A88"/>
    <w:rsid w:val="00E3412D"/>
    <w:rsid w:val="00E34FBC"/>
    <w:rsid w:val="00E35F73"/>
    <w:rsid w:val="00E36B2A"/>
    <w:rsid w:val="00E36E05"/>
    <w:rsid w:val="00E37611"/>
    <w:rsid w:val="00E4078B"/>
    <w:rsid w:val="00E41B10"/>
    <w:rsid w:val="00E41FDC"/>
    <w:rsid w:val="00E42B1F"/>
    <w:rsid w:val="00E433BD"/>
    <w:rsid w:val="00E51005"/>
    <w:rsid w:val="00E57322"/>
    <w:rsid w:val="00E6028E"/>
    <w:rsid w:val="00E6062F"/>
    <w:rsid w:val="00E628CB"/>
    <w:rsid w:val="00E62AD9"/>
    <w:rsid w:val="00E63524"/>
    <w:rsid w:val="00E638C8"/>
    <w:rsid w:val="00E639BB"/>
    <w:rsid w:val="00E655CB"/>
    <w:rsid w:val="00E72DE5"/>
    <w:rsid w:val="00E72E72"/>
    <w:rsid w:val="00E74CAD"/>
    <w:rsid w:val="00E7509B"/>
    <w:rsid w:val="00E76696"/>
    <w:rsid w:val="00E80490"/>
    <w:rsid w:val="00E805E6"/>
    <w:rsid w:val="00E81280"/>
    <w:rsid w:val="00E84EFC"/>
    <w:rsid w:val="00E85E87"/>
    <w:rsid w:val="00E86590"/>
    <w:rsid w:val="00E87961"/>
    <w:rsid w:val="00E907FF"/>
    <w:rsid w:val="00E91E61"/>
    <w:rsid w:val="00E9243C"/>
    <w:rsid w:val="00E946EA"/>
    <w:rsid w:val="00EA0EF9"/>
    <w:rsid w:val="00EA3540"/>
    <w:rsid w:val="00EA42D1"/>
    <w:rsid w:val="00EA42EF"/>
    <w:rsid w:val="00EA651C"/>
    <w:rsid w:val="00EA6F22"/>
    <w:rsid w:val="00EB0EDE"/>
    <w:rsid w:val="00EB1571"/>
    <w:rsid w:val="00EB2DD1"/>
    <w:rsid w:val="00EB3442"/>
    <w:rsid w:val="00EB453E"/>
    <w:rsid w:val="00EB6B37"/>
    <w:rsid w:val="00EC1E9C"/>
    <w:rsid w:val="00EC29FE"/>
    <w:rsid w:val="00EC3B47"/>
    <w:rsid w:val="00EC3C70"/>
    <w:rsid w:val="00EC3FB0"/>
    <w:rsid w:val="00EC5A2A"/>
    <w:rsid w:val="00EC5A39"/>
    <w:rsid w:val="00EC6469"/>
    <w:rsid w:val="00EC6F2E"/>
    <w:rsid w:val="00ED3A3D"/>
    <w:rsid w:val="00ED441F"/>
    <w:rsid w:val="00ED538A"/>
    <w:rsid w:val="00ED6F1C"/>
    <w:rsid w:val="00ED6FBC"/>
    <w:rsid w:val="00ED7B33"/>
    <w:rsid w:val="00EE2F16"/>
    <w:rsid w:val="00EE3300"/>
    <w:rsid w:val="00EE3861"/>
    <w:rsid w:val="00EE41E3"/>
    <w:rsid w:val="00EE48F3"/>
    <w:rsid w:val="00EF000D"/>
    <w:rsid w:val="00EF0727"/>
    <w:rsid w:val="00EF0755"/>
    <w:rsid w:val="00EF2E73"/>
    <w:rsid w:val="00EF7683"/>
    <w:rsid w:val="00EF7795"/>
    <w:rsid w:val="00EF7A2D"/>
    <w:rsid w:val="00F013BC"/>
    <w:rsid w:val="00F04F8D"/>
    <w:rsid w:val="00F05C75"/>
    <w:rsid w:val="00F06FA9"/>
    <w:rsid w:val="00F10AD0"/>
    <w:rsid w:val="00F116CC"/>
    <w:rsid w:val="00F12BD1"/>
    <w:rsid w:val="00F12CD0"/>
    <w:rsid w:val="00F15327"/>
    <w:rsid w:val="00F168CF"/>
    <w:rsid w:val="00F16A64"/>
    <w:rsid w:val="00F226CE"/>
    <w:rsid w:val="00F241FA"/>
    <w:rsid w:val="00F249FE"/>
    <w:rsid w:val="00F253B4"/>
    <w:rsid w:val="00F2555C"/>
    <w:rsid w:val="00F26CA6"/>
    <w:rsid w:val="00F272BD"/>
    <w:rsid w:val="00F27823"/>
    <w:rsid w:val="00F31DF3"/>
    <w:rsid w:val="00F33AE5"/>
    <w:rsid w:val="00F34E97"/>
    <w:rsid w:val="00F3597D"/>
    <w:rsid w:val="00F35DBA"/>
    <w:rsid w:val="00F36010"/>
    <w:rsid w:val="00F365EB"/>
    <w:rsid w:val="00F36830"/>
    <w:rsid w:val="00F40169"/>
    <w:rsid w:val="00F41525"/>
    <w:rsid w:val="00F4153F"/>
    <w:rsid w:val="00F427B4"/>
    <w:rsid w:val="00F42F7D"/>
    <w:rsid w:val="00F43271"/>
    <w:rsid w:val="00F4376D"/>
    <w:rsid w:val="00F441DA"/>
    <w:rsid w:val="00F45399"/>
    <w:rsid w:val="00F46397"/>
    <w:rsid w:val="00F465EA"/>
    <w:rsid w:val="00F54E7B"/>
    <w:rsid w:val="00F55A88"/>
    <w:rsid w:val="00F57964"/>
    <w:rsid w:val="00F60008"/>
    <w:rsid w:val="00F60A9F"/>
    <w:rsid w:val="00F624B0"/>
    <w:rsid w:val="00F63484"/>
    <w:rsid w:val="00F64985"/>
    <w:rsid w:val="00F64AA9"/>
    <w:rsid w:val="00F650B5"/>
    <w:rsid w:val="00F70B4D"/>
    <w:rsid w:val="00F72194"/>
    <w:rsid w:val="00F74005"/>
    <w:rsid w:val="00F74EB4"/>
    <w:rsid w:val="00F75B14"/>
    <w:rsid w:val="00F7656B"/>
    <w:rsid w:val="00F76884"/>
    <w:rsid w:val="00F80FDD"/>
    <w:rsid w:val="00F812E7"/>
    <w:rsid w:val="00F82035"/>
    <w:rsid w:val="00F82D94"/>
    <w:rsid w:val="00F82F9A"/>
    <w:rsid w:val="00F83D24"/>
    <w:rsid w:val="00F83DD9"/>
    <w:rsid w:val="00F83F40"/>
    <w:rsid w:val="00F85ECF"/>
    <w:rsid w:val="00F87595"/>
    <w:rsid w:val="00F875D3"/>
    <w:rsid w:val="00F87FEF"/>
    <w:rsid w:val="00F92786"/>
    <w:rsid w:val="00F942F0"/>
    <w:rsid w:val="00F9488B"/>
    <w:rsid w:val="00F95D8E"/>
    <w:rsid w:val="00FA117A"/>
    <w:rsid w:val="00FA3007"/>
    <w:rsid w:val="00FA44A4"/>
    <w:rsid w:val="00FA7EDF"/>
    <w:rsid w:val="00FB072D"/>
    <w:rsid w:val="00FB0825"/>
    <w:rsid w:val="00FB374C"/>
    <w:rsid w:val="00FB386A"/>
    <w:rsid w:val="00FB66F7"/>
    <w:rsid w:val="00FB6A85"/>
    <w:rsid w:val="00FB70B5"/>
    <w:rsid w:val="00FC0786"/>
    <w:rsid w:val="00FC08C9"/>
    <w:rsid w:val="00FC1040"/>
    <w:rsid w:val="00FC18AE"/>
    <w:rsid w:val="00FC1A83"/>
    <w:rsid w:val="00FC1C77"/>
    <w:rsid w:val="00FC3714"/>
    <w:rsid w:val="00FC45E0"/>
    <w:rsid w:val="00FC49EF"/>
    <w:rsid w:val="00FD0A55"/>
    <w:rsid w:val="00FD304B"/>
    <w:rsid w:val="00FD494A"/>
    <w:rsid w:val="00FD7D58"/>
    <w:rsid w:val="00FD7DE8"/>
    <w:rsid w:val="00FE065E"/>
    <w:rsid w:val="00FE202A"/>
    <w:rsid w:val="00FE36E2"/>
    <w:rsid w:val="00FE7A99"/>
    <w:rsid w:val="00FF01C0"/>
    <w:rsid w:val="00FF11AD"/>
    <w:rsid w:val="00FF18BA"/>
    <w:rsid w:val="00FF2971"/>
    <w:rsid w:val="00FF34D4"/>
    <w:rsid w:val="00FF4652"/>
    <w:rsid w:val="00FF4B49"/>
    <w:rsid w:val="00FF71F5"/>
    <w:rsid w:val="00FF7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0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Style8">
    <w:name w:val="Style8"/>
    <w:basedOn w:val="Normalny"/>
    <w:uiPriority w:val="99"/>
    <w:rsid w:val="00182DBD"/>
    <w:pPr>
      <w:widowControl w:val="0"/>
      <w:autoSpaceDE w:val="0"/>
      <w:autoSpaceDN w:val="0"/>
      <w:adjustRightInd w:val="0"/>
      <w:spacing w:line="422" w:lineRule="exact"/>
      <w:ind w:firstLine="509"/>
      <w:jc w:val="both"/>
    </w:pPr>
    <w:rPr>
      <w:rFonts w:ascii="Times New Roman" w:eastAsia="Times New Roman" w:hAnsi="Times New Roman"/>
      <w:sz w:val="24"/>
      <w:szCs w:val="24"/>
      <w:lang w:eastAsia="pl-PL"/>
    </w:rPr>
  </w:style>
  <w:style w:type="character" w:customStyle="1" w:styleId="FontStyle16">
    <w:name w:val="Font Style16"/>
    <w:uiPriority w:val="99"/>
    <w:rsid w:val="00182DBD"/>
    <w:rPr>
      <w:rFonts w:ascii="Times New Roman" w:hAnsi="Times New Roman" w:cs="Times New Roman"/>
      <w:sz w:val="22"/>
      <w:szCs w:val="22"/>
    </w:rPr>
  </w:style>
  <w:style w:type="character" w:customStyle="1" w:styleId="FontStyle17">
    <w:name w:val="Font Style17"/>
    <w:uiPriority w:val="99"/>
    <w:rsid w:val="00BB4FAA"/>
    <w:rPr>
      <w:rFonts w:ascii="Times New Roman" w:hAnsi="Times New Roman" w:cs="Times New Roman"/>
      <w:sz w:val="22"/>
      <w:szCs w:val="22"/>
    </w:rPr>
  </w:style>
  <w:style w:type="paragraph" w:customStyle="1" w:styleId="Default">
    <w:name w:val="Default"/>
    <w:rsid w:val="009A7E16"/>
    <w:pPr>
      <w:autoSpaceDE w:val="0"/>
      <w:autoSpaceDN w:val="0"/>
      <w:adjustRightInd w:val="0"/>
    </w:pPr>
    <w:rPr>
      <w:rFonts w:ascii="Arial" w:hAnsi="Arial" w:cs="Arial"/>
      <w:color w:val="000000"/>
      <w:sz w:val="24"/>
      <w:szCs w:val="24"/>
      <w:lang w:eastAsia="en-US"/>
    </w:rPr>
  </w:style>
  <w:style w:type="paragraph" w:styleId="Poprawka">
    <w:name w:val="Revision"/>
    <w:hidden/>
    <w:uiPriority w:val="99"/>
    <w:semiHidden/>
    <w:rsid w:val="00AE2EDE"/>
    <w:rPr>
      <w:sz w:val="22"/>
      <w:szCs w:val="22"/>
      <w:lang w:eastAsia="en-US"/>
    </w:rPr>
  </w:style>
  <w:style w:type="paragraph" w:styleId="Bezodstpw">
    <w:name w:val="No Spacing"/>
    <w:uiPriority w:val="1"/>
    <w:qFormat/>
    <w:rsid w:val="00E805E6"/>
    <w:rPr>
      <w:sz w:val="24"/>
      <w:szCs w:val="22"/>
      <w:lang w:eastAsia="en-US"/>
    </w:rPr>
  </w:style>
  <w:style w:type="table" w:styleId="Kolorowalistaakcent1">
    <w:name w:val="Colorful List Accent 1"/>
    <w:basedOn w:val="Standardowy"/>
    <w:uiPriority w:val="72"/>
    <w:rsid w:val="00FC1040"/>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Style8">
    <w:name w:val="Style8"/>
    <w:basedOn w:val="Normalny"/>
    <w:uiPriority w:val="99"/>
    <w:rsid w:val="00182DBD"/>
    <w:pPr>
      <w:widowControl w:val="0"/>
      <w:autoSpaceDE w:val="0"/>
      <w:autoSpaceDN w:val="0"/>
      <w:adjustRightInd w:val="0"/>
      <w:spacing w:line="422" w:lineRule="exact"/>
      <w:ind w:firstLine="509"/>
      <w:jc w:val="both"/>
    </w:pPr>
    <w:rPr>
      <w:rFonts w:ascii="Times New Roman" w:eastAsia="Times New Roman" w:hAnsi="Times New Roman"/>
      <w:sz w:val="24"/>
      <w:szCs w:val="24"/>
      <w:lang w:eastAsia="pl-PL"/>
    </w:rPr>
  </w:style>
  <w:style w:type="character" w:customStyle="1" w:styleId="FontStyle16">
    <w:name w:val="Font Style16"/>
    <w:uiPriority w:val="99"/>
    <w:rsid w:val="00182DBD"/>
    <w:rPr>
      <w:rFonts w:ascii="Times New Roman" w:hAnsi="Times New Roman" w:cs="Times New Roman"/>
      <w:sz w:val="22"/>
      <w:szCs w:val="22"/>
    </w:rPr>
  </w:style>
  <w:style w:type="character" w:customStyle="1" w:styleId="FontStyle17">
    <w:name w:val="Font Style17"/>
    <w:uiPriority w:val="99"/>
    <w:rsid w:val="00BB4FAA"/>
    <w:rPr>
      <w:rFonts w:ascii="Times New Roman" w:hAnsi="Times New Roman" w:cs="Times New Roman"/>
      <w:sz w:val="22"/>
      <w:szCs w:val="22"/>
    </w:rPr>
  </w:style>
  <w:style w:type="paragraph" w:customStyle="1" w:styleId="Default">
    <w:name w:val="Default"/>
    <w:rsid w:val="009A7E16"/>
    <w:pPr>
      <w:autoSpaceDE w:val="0"/>
      <w:autoSpaceDN w:val="0"/>
      <w:adjustRightInd w:val="0"/>
    </w:pPr>
    <w:rPr>
      <w:rFonts w:ascii="Arial" w:hAnsi="Arial" w:cs="Arial"/>
      <w:color w:val="000000"/>
      <w:sz w:val="24"/>
      <w:szCs w:val="24"/>
      <w:lang w:eastAsia="en-US"/>
    </w:rPr>
  </w:style>
  <w:style w:type="paragraph" w:styleId="Poprawka">
    <w:name w:val="Revision"/>
    <w:hidden/>
    <w:uiPriority w:val="99"/>
    <w:semiHidden/>
    <w:rsid w:val="00AE2EDE"/>
    <w:rPr>
      <w:sz w:val="22"/>
      <w:szCs w:val="22"/>
      <w:lang w:eastAsia="en-US"/>
    </w:rPr>
  </w:style>
  <w:style w:type="paragraph" w:styleId="Bezodstpw">
    <w:name w:val="No Spacing"/>
    <w:uiPriority w:val="1"/>
    <w:qFormat/>
    <w:rsid w:val="00E805E6"/>
    <w:rPr>
      <w:sz w:val="24"/>
      <w:szCs w:val="22"/>
      <w:lang w:eastAsia="en-US"/>
    </w:rPr>
  </w:style>
  <w:style w:type="table" w:styleId="Kolorowalistaakcent1">
    <w:name w:val="Colorful List Accent 1"/>
    <w:basedOn w:val="Standardowy"/>
    <w:uiPriority w:val="72"/>
    <w:rsid w:val="00FC1040"/>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62886391">
      <w:bodyDiv w:val="1"/>
      <w:marLeft w:val="0"/>
      <w:marRight w:val="0"/>
      <w:marTop w:val="0"/>
      <w:marBottom w:val="0"/>
      <w:divBdr>
        <w:top w:val="none" w:sz="0" w:space="0" w:color="auto"/>
        <w:left w:val="none" w:sz="0" w:space="0" w:color="auto"/>
        <w:bottom w:val="none" w:sz="0" w:space="0" w:color="auto"/>
        <w:right w:val="none" w:sz="0" w:space="0" w:color="auto"/>
      </w:divBdr>
    </w:div>
    <w:div w:id="342784292">
      <w:bodyDiv w:val="1"/>
      <w:marLeft w:val="0"/>
      <w:marRight w:val="0"/>
      <w:marTop w:val="0"/>
      <w:marBottom w:val="0"/>
      <w:divBdr>
        <w:top w:val="none" w:sz="0" w:space="0" w:color="auto"/>
        <w:left w:val="none" w:sz="0" w:space="0" w:color="auto"/>
        <w:bottom w:val="none" w:sz="0" w:space="0" w:color="auto"/>
        <w:right w:val="none" w:sz="0" w:space="0" w:color="auto"/>
      </w:divBdr>
    </w:div>
    <w:div w:id="413279009">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02227084">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19165883">
      <w:bodyDiv w:val="1"/>
      <w:marLeft w:val="0"/>
      <w:marRight w:val="0"/>
      <w:marTop w:val="0"/>
      <w:marBottom w:val="0"/>
      <w:divBdr>
        <w:top w:val="none" w:sz="0" w:space="0" w:color="auto"/>
        <w:left w:val="none" w:sz="0" w:space="0" w:color="auto"/>
        <w:bottom w:val="none" w:sz="0" w:space="0" w:color="auto"/>
        <w:right w:val="none" w:sz="0" w:space="0" w:color="auto"/>
      </w:divBdr>
    </w:div>
    <w:div w:id="1031032005">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45975641">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74366056">
      <w:bodyDiv w:val="1"/>
      <w:marLeft w:val="0"/>
      <w:marRight w:val="0"/>
      <w:marTop w:val="0"/>
      <w:marBottom w:val="0"/>
      <w:divBdr>
        <w:top w:val="none" w:sz="0" w:space="0" w:color="auto"/>
        <w:left w:val="none" w:sz="0" w:space="0" w:color="auto"/>
        <w:bottom w:val="none" w:sz="0" w:space="0" w:color="auto"/>
        <w:right w:val="none" w:sz="0" w:space="0" w:color="auto"/>
      </w:divBdr>
    </w:div>
    <w:div w:id="1526990108">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18203111">
      <w:bodyDiv w:val="1"/>
      <w:marLeft w:val="0"/>
      <w:marRight w:val="0"/>
      <w:marTop w:val="0"/>
      <w:marBottom w:val="0"/>
      <w:divBdr>
        <w:top w:val="none" w:sz="0" w:space="0" w:color="auto"/>
        <w:left w:val="none" w:sz="0" w:space="0" w:color="auto"/>
        <w:bottom w:val="none" w:sz="0" w:space="0" w:color="auto"/>
        <w:right w:val="none" w:sz="0" w:space="0" w:color="auto"/>
      </w:divBdr>
    </w:div>
    <w:div w:id="196098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rd.pl/Centrum-prasowe/Informacje-prasowe/2019/Dlugi-emerytow---dziadek-za-wnuczka--wnuczek-na-babci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2">
                <a:lumMod val="75000"/>
              </a:schemeClr>
            </a:solidFill>
          </c:spPr>
          <c:invertIfNegative val="0"/>
          <c:dLbls>
            <c:dLbl>
              <c:idx val="4"/>
              <c:layout>
                <c:manualLayout>
                  <c:x val="-2.7777777777777779E-3"/>
                  <c:y val="1.3888888888888888E-2"/>
                </c:manualLayout>
              </c:layout>
              <c:spPr/>
              <c:txPr>
                <a:bodyPr/>
                <a:lstStyle/>
                <a:p>
                  <a:pPr>
                    <a:defRPr sz="749" b="0" i="0" u="none" strike="noStrike" baseline="0">
                      <a:solidFill>
                        <a:srgbClr val="000000"/>
                      </a:solidFill>
                      <a:latin typeface="Calibri"/>
                      <a:ea typeface="Calibri"/>
                      <a:cs typeface="Calibri"/>
                    </a:defRPr>
                  </a:pPr>
                  <a:endParaRPr lang="pl-PL"/>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13B0-48DE-83AB-99835DBD2BD2}"/>
                </c:ext>
              </c:extLst>
            </c:dLbl>
            <c:spPr>
              <a:noFill/>
              <a:ln>
                <a:noFill/>
              </a:ln>
              <a:effectLst/>
            </c:spPr>
            <c:txPr>
              <a:bodyPr wrap="square" lIns="38100" tIns="19050" rIns="38100" bIns="19050" anchor="ctr">
                <a:spAutoFit/>
              </a:bodyPr>
              <a:lstStyle/>
              <a:p>
                <a:pPr>
                  <a:defRPr sz="749" b="0" i="0" u="none" strike="noStrike" baseline="0">
                    <a:solidFill>
                      <a:srgbClr val="000000"/>
                    </a:solidFill>
                    <a:latin typeface="Calibri"/>
                    <a:ea typeface="Calibri"/>
                    <a:cs typeface="Calibri"/>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Arkusz1!$F$23:$F$27</c:f>
              <c:numCache>
                <c:formatCode>General</c:formatCode>
                <c:ptCount val="5"/>
                <c:pt idx="0">
                  <c:v>2013</c:v>
                </c:pt>
                <c:pt idx="1">
                  <c:v>2014</c:v>
                </c:pt>
                <c:pt idx="2">
                  <c:v>2015</c:v>
                </c:pt>
                <c:pt idx="3">
                  <c:v>2016</c:v>
                </c:pt>
                <c:pt idx="4">
                  <c:v>2017</c:v>
                </c:pt>
              </c:numCache>
            </c:numRef>
          </c:cat>
          <c:val>
            <c:numRef>
              <c:f>Arkusz1!$E$23:$E$27</c:f>
              <c:numCache>
                <c:formatCode>_-* #\ ##0\ _z_ł_-;\-* #\ ##0\ _z_ł_-;_-* "-"??\ _z_ł_-;_-@_-</c:formatCode>
                <c:ptCount val="5"/>
                <c:pt idx="0">
                  <c:v>728414</c:v>
                </c:pt>
                <c:pt idx="1">
                  <c:v>1109555</c:v>
                </c:pt>
                <c:pt idx="2">
                  <c:v>1271011</c:v>
                </c:pt>
                <c:pt idx="3">
                  <c:v>2052281</c:v>
                </c:pt>
                <c:pt idx="4">
                  <c:v>2868510</c:v>
                </c:pt>
              </c:numCache>
            </c:numRef>
          </c:val>
          <c:extLst xmlns:c16r2="http://schemas.microsoft.com/office/drawing/2015/06/chart">
            <c:ext xmlns:c16="http://schemas.microsoft.com/office/drawing/2014/chart" uri="{C3380CC4-5D6E-409C-BE32-E72D297353CC}">
              <c16:uniqueId val="{00000001-13B0-48DE-83AB-99835DBD2BD2}"/>
            </c:ext>
          </c:extLst>
        </c:ser>
        <c:dLbls>
          <c:showLegendKey val="0"/>
          <c:showVal val="0"/>
          <c:showCatName val="0"/>
          <c:showSerName val="0"/>
          <c:showPercent val="0"/>
          <c:showBubbleSize val="0"/>
        </c:dLbls>
        <c:gapWidth val="150"/>
        <c:axId val="233779200"/>
        <c:axId val="233781120"/>
      </c:barChart>
      <c:catAx>
        <c:axId val="233779200"/>
        <c:scaling>
          <c:orientation val="minMax"/>
        </c:scaling>
        <c:delete val="0"/>
        <c:axPos val="b"/>
        <c:numFmt formatCode="General" sourceLinked="1"/>
        <c:majorTickMark val="out"/>
        <c:minorTickMark val="none"/>
        <c:tickLblPos val="nextTo"/>
        <c:txPr>
          <a:bodyPr rot="0" vert="horz"/>
          <a:lstStyle/>
          <a:p>
            <a:pPr>
              <a:defRPr sz="749" b="0" i="0" u="none" strike="noStrike" baseline="0">
                <a:solidFill>
                  <a:srgbClr val="000000"/>
                </a:solidFill>
                <a:latin typeface="Calibri"/>
                <a:ea typeface="Calibri"/>
                <a:cs typeface="Calibri"/>
              </a:defRPr>
            </a:pPr>
            <a:endParaRPr lang="pl-PL"/>
          </a:p>
        </c:txPr>
        <c:crossAx val="233781120"/>
        <c:crosses val="autoZero"/>
        <c:auto val="1"/>
        <c:lblAlgn val="ctr"/>
        <c:lblOffset val="100"/>
        <c:noMultiLvlLbl val="0"/>
      </c:catAx>
      <c:valAx>
        <c:axId val="233781120"/>
        <c:scaling>
          <c:orientation val="minMax"/>
          <c:min val="50000"/>
        </c:scaling>
        <c:delete val="0"/>
        <c:axPos val="l"/>
        <c:majorGridlines/>
        <c:title>
          <c:tx>
            <c:rich>
              <a:bodyPr/>
              <a:lstStyle/>
              <a:p>
                <a:pPr>
                  <a:defRPr sz="824" b="1" i="0" u="none" strike="noStrike" baseline="0">
                    <a:solidFill>
                      <a:srgbClr val="000000"/>
                    </a:solidFill>
                    <a:latin typeface="Calibri"/>
                    <a:ea typeface="Calibri"/>
                    <a:cs typeface="Calibri"/>
                  </a:defRPr>
                </a:pPr>
                <a:r>
                  <a:rPr lang="pl-PL"/>
                  <a:t>Tys. zł.</a:t>
                </a:r>
              </a:p>
            </c:rich>
          </c:tx>
          <c:layout>
            <c:manualLayout>
              <c:xMode val="edge"/>
              <c:yMode val="edge"/>
              <c:x val="3.0555648629027751E-2"/>
              <c:y val="0.38874049834679753"/>
            </c:manualLayout>
          </c:layout>
          <c:overlay val="0"/>
        </c:title>
        <c:numFmt formatCode="_-* #\ ##0\ _z_ł_-;\-* #\ ##0\ _z_ł_-;_-* &quot;-&quot;??\ _z_ł_-;_-@_-" sourceLinked="1"/>
        <c:majorTickMark val="out"/>
        <c:minorTickMark val="none"/>
        <c:tickLblPos val="nextTo"/>
        <c:txPr>
          <a:bodyPr rot="0" vert="horz"/>
          <a:lstStyle/>
          <a:p>
            <a:pPr>
              <a:defRPr sz="749" b="0" i="0" u="none" strike="noStrike" baseline="0">
                <a:solidFill>
                  <a:srgbClr val="000000"/>
                </a:solidFill>
                <a:latin typeface="Calibri"/>
                <a:ea typeface="Calibri"/>
                <a:cs typeface="Calibri"/>
              </a:defRPr>
            </a:pPr>
            <a:endParaRPr lang="pl-PL"/>
          </a:p>
        </c:txPr>
        <c:crossAx val="233779200"/>
        <c:crosses val="autoZero"/>
        <c:crossBetween val="between"/>
      </c:valAx>
    </c:plotArea>
    <c:plotVisOnly val="1"/>
    <c:dispBlanksAs val="gap"/>
    <c:showDLblsOverMax val="0"/>
  </c:chart>
  <c:spPr>
    <a:ln>
      <a:noFill/>
    </a:ln>
  </c:spPr>
  <c:txPr>
    <a:bodyPr/>
    <a:lstStyle/>
    <a:p>
      <a:pPr>
        <a:defRPr sz="749" b="0" i="0" u="none" strike="noStrike" baseline="0">
          <a:solidFill>
            <a:srgbClr val="000000"/>
          </a:solidFill>
          <a:latin typeface="Calibri"/>
          <a:ea typeface="Calibri"/>
          <a:cs typeface="Calibri"/>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2">
                <a:lumMod val="75000"/>
              </a:schemeClr>
            </a:solidFill>
          </c:spPr>
          <c:invertIfNegative val="0"/>
          <c:dLbls>
            <c:dLbl>
              <c:idx val="4"/>
              <c:layout>
                <c:manualLayout>
                  <c:x val="-2.7777777777777779E-3"/>
                  <c:y val="1.3888888888888888E-2"/>
                </c:manualLayout>
              </c:layout>
              <c:spPr/>
              <c:txPr>
                <a:bodyPr/>
                <a:lstStyle/>
                <a:p>
                  <a:pPr>
                    <a:defRPr sz="890" b="0" i="0" u="none" strike="noStrike" baseline="0">
                      <a:solidFill>
                        <a:srgbClr val="000000"/>
                      </a:solidFill>
                      <a:latin typeface="Calibri"/>
                      <a:ea typeface="Calibri"/>
                      <a:cs typeface="Calibri"/>
                    </a:defRPr>
                  </a:pPr>
                  <a:endParaRPr lang="pl-PL"/>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8956-4C2D-90B4-7137F944A77E}"/>
                </c:ext>
              </c:extLst>
            </c:dLbl>
            <c:spPr>
              <a:noFill/>
              <a:ln>
                <a:noFill/>
              </a:ln>
              <a:effectLst/>
            </c:spPr>
            <c:txPr>
              <a:bodyPr wrap="square" lIns="38100" tIns="19050" rIns="38100" bIns="19050" anchor="ctr">
                <a:spAutoFit/>
              </a:bodyPr>
              <a:lstStyle/>
              <a:p>
                <a:pPr>
                  <a:defRPr sz="890" b="0" i="0" u="none" strike="noStrike" baseline="0">
                    <a:solidFill>
                      <a:srgbClr val="000000"/>
                    </a:solidFill>
                    <a:latin typeface="Calibri"/>
                    <a:ea typeface="Calibri"/>
                    <a:cs typeface="Calibri"/>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Arkusz1!$F$23:$F$27</c:f>
              <c:numCache>
                <c:formatCode>General</c:formatCode>
                <c:ptCount val="5"/>
                <c:pt idx="0">
                  <c:v>2013</c:v>
                </c:pt>
                <c:pt idx="1">
                  <c:v>2014</c:v>
                </c:pt>
                <c:pt idx="2">
                  <c:v>2015</c:v>
                </c:pt>
                <c:pt idx="3">
                  <c:v>2016</c:v>
                </c:pt>
                <c:pt idx="4">
                  <c:v>2017</c:v>
                </c:pt>
              </c:numCache>
            </c:numRef>
          </c:cat>
          <c:val>
            <c:numRef>
              <c:f>Arkusz1!$E$23:$E$27</c:f>
              <c:numCache>
                <c:formatCode>_-* #\ ##0\ _z_ł_-;\-* #\ ##0\ _z_ł_-;_-* "-"??\ _z_ł_-;_-@_-</c:formatCode>
                <c:ptCount val="5"/>
                <c:pt idx="0">
                  <c:v>728414</c:v>
                </c:pt>
                <c:pt idx="1">
                  <c:v>1109555</c:v>
                </c:pt>
                <c:pt idx="2">
                  <c:v>1271011</c:v>
                </c:pt>
                <c:pt idx="3">
                  <c:v>2052281</c:v>
                </c:pt>
                <c:pt idx="4">
                  <c:v>2868510</c:v>
                </c:pt>
              </c:numCache>
            </c:numRef>
          </c:val>
          <c:extLst xmlns:c16r2="http://schemas.microsoft.com/office/drawing/2015/06/chart">
            <c:ext xmlns:c16="http://schemas.microsoft.com/office/drawing/2014/chart" uri="{C3380CC4-5D6E-409C-BE32-E72D297353CC}">
              <c16:uniqueId val="{00000001-8956-4C2D-90B4-7137F944A77E}"/>
            </c:ext>
          </c:extLst>
        </c:ser>
        <c:dLbls>
          <c:showLegendKey val="0"/>
          <c:showVal val="0"/>
          <c:showCatName val="0"/>
          <c:showSerName val="0"/>
          <c:showPercent val="0"/>
          <c:showBubbleSize val="0"/>
        </c:dLbls>
        <c:gapWidth val="150"/>
        <c:axId val="129027456"/>
        <c:axId val="129029248"/>
      </c:barChart>
      <c:catAx>
        <c:axId val="129027456"/>
        <c:scaling>
          <c:orientation val="minMax"/>
        </c:scaling>
        <c:delete val="0"/>
        <c:axPos val="b"/>
        <c:numFmt formatCode="General" sourceLinked="1"/>
        <c:majorTickMark val="out"/>
        <c:minorTickMark val="none"/>
        <c:tickLblPos val="nextTo"/>
        <c:txPr>
          <a:bodyPr rot="0" vert="horz"/>
          <a:lstStyle/>
          <a:p>
            <a:pPr>
              <a:defRPr sz="890" b="0" i="0" u="none" strike="noStrike" baseline="0">
                <a:solidFill>
                  <a:srgbClr val="000000"/>
                </a:solidFill>
                <a:latin typeface="Calibri"/>
                <a:ea typeface="Calibri"/>
                <a:cs typeface="Calibri"/>
              </a:defRPr>
            </a:pPr>
            <a:endParaRPr lang="pl-PL"/>
          </a:p>
        </c:txPr>
        <c:crossAx val="129029248"/>
        <c:crosses val="autoZero"/>
        <c:auto val="1"/>
        <c:lblAlgn val="ctr"/>
        <c:lblOffset val="100"/>
        <c:noMultiLvlLbl val="0"/>
      </c:catAx>
      <c:valAx>
        <c:axId val="129029248"/>
        <c:scaling>
          <c:orientation val="minMax"/>
          <c:min val="50000"/>
        </c:scaling>
        <c:delete val="0"/>
        <c:axPos val="l"/>
        <c:majorGridlines/>
        <c:title>
          <c:tx>
            <c:rich>
              <a:bodyPr/>
              <a:lstStyle/>
              <a:p>
                <a:pPr>
                  <a:defRPr sz="979" b="1" i="0" u="none" strike="noStrike" baseline="0">
                    <a:solidFill>
                      <a:srgbClr val="000000"/>
                    </a:solidFill>
                    <a:latin typeface="Calibri"/>
                    <a:ea typeface="Calibri"/>
                    <a:cs typeface="Calibri"/>
                  </a:defRPr>
                </a:pPr>
                <a:r>
                  <a:rPr lang="pl-PL"/>
                  <a:t>Tys. zł.</a:t>
                </a:r>
              </a:p>
            </c:rich>
          </c:tx>
          <c:layout>
            <c:manualLayout>
              <c:xMode val="edge"/>
              <c:yMode val="edge"/>
              <c:x val="3.0555648629027751E-2"/>
              <c:y val="0.38874049834679753"/>
            </c:manualLayout>
          </c:layout>
          <c:overlay val="0"/>
        </c:title>
        <c:numFmt formatCode="_-* #\ ##0\ _z_ł_-;\-* #\ ##0\ _z_ł_-;_-* &quot;-&quot;??\ _z_ł_-;_-@_-" sourceLinked="1"/>
        <c:majorTickMark val="out"/>
        <c:minorTickMark val="none"/>
        <c:tickLblPos val="nextTo"/>
        <c:txPr>
          <a:bodyPr rot="0" vert="horz"/>
          <a:lstStyle/>
          <a:p>
            <a:pPr>
              <a:defRPr sz="890" b="0" i="0" u="none" strike="noStrike" baseline="0">
                <a:solidFill>
                  <a:srgbClr val="000000"/>
                </a:solidFill>
                <a:latin typeface="Calibri"/>
                <a:ea typeface="Calibri"/>
                <a:cs typeface="Calibri"/>
              </a:defRPr>
            </a:pPr>
            <a:endParaRPr lang="pl-PL"/>
          </a:p>
        </c:txPr>
        <c:crossAx val="129027456"/>
        <c:crosses val="autoZero"/>
        <c:crossBetween val="between"/>
      </c:valAx>
    </c:plotArea>
    <c:plotVisOnly val="1"/>
    <c:dispBlanksAs val="gap"/>
    <c:showDLblsOverMax val="0"/>
  </c:chart>
  <c:spPr>
    <a:ln>
      <a:noFill/>
    </a:ln>
  </c:spPr>
  <c:txPr>
    <a:bodyPr/>
    <a:lstStyle/>
    <a:p>
      <a:pPr>
        <a:defRPr sz="890" b="0" i="0" u="none" strike="noStrike" baseline="0">
          <a:solidFill>
            <a:srgbClr val="000000"/>
          </a:solidFill>
          <a:latin typeface="Calibri"/>
          <a:ea typeface="Calibri"/>
          <a:cs typeface="Calibri"/>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DBB3-4D85-4A68-B448-E1670C81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7719</Words>
  <Characters>46319</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53931</CharactersWithSpaces>
  <SharedDoc>false</SharedDoc>
  <HLinks>
    <vt:vector size="42" baseType="variant">
      <vt:variant>
        <vt:i4>8192090</vt:i4>
      </vt:variant>
      <vt:variant>
        <vt:i4>3</vt:i4>
      </vt:variant>
      <vt:variant>
        <vt:i4>0</vt:i4>
      </vt:variant>
      <vt:variant>
        <vt:i4>5</vt:i4>
      </vt:variant>
      <vt:variant>
        <vt:lpwstr>https://www.knf.gov.pl/podmioty/Podmioty_sektora_kas_spoldzielczych</vt:lpwstr>
      </vt:variant>
      <vt:variant>
        <vt:lpwstr/>
      </vt:variant>
      <vt:variant>
        <vt:i4>393222</vt:i4>
      </vt:variant>
      <vt:variant>
        <vt:i4>15</vt:i4>
      </vt:variant>
      <vt:variant>
        <vt:i4>0</vt:i4>
      </vt:variant>
      <vt:variant>
        <vt:i4>5</vt:i4>
      </vt:variant>
      <vt:variant>
        <vt:lpwstr>https://krd.pl/Centrum-prasowe/Informacje-prasowe/2019/Dlugi-emerytow---dziadek-za-wnuczka--wnuczek-na-babcie</vt:lpwstr>
      </vt:variant>
      <vt:variant>
        <vt:lpwstr/>
      </vt:variant>
      <vt:variant>
        <vt:i4>7012407</vt:i4>
      </vt:variant>
      <vt:variant>
        <vt:i4>12</vt:i4>
      </vt:variant>
      <vt:variant>
        <vt:i4>0</vt:i4>
      </vt:variant>
      <vt:variant>
        <vt:i4>5</vt:i4>
      </vt:variant>
      <vt:variant>
        <vt:lpwstr>https://krd.pl/Centrum-prasowe/Informacje-prasowe/2017/Zadluzone-jest-zycie-staruszka---emeryci-tona-w-dlugach</vt:lpwstr>
      </vt:variant>
      <vt:variant>
        <vt:lpwstr/>
      </vt:variant>
      <vt:variant>
        <vt:i4>393248</vt:i4>
      </vt:variant>
      <vt:variant>
        <vt:i4>9</vt:i4>
      </vt:variant>
      <vt:variant>
        <vt:i4>0</vt:i4>
      </vt:variant>
      <vt:variant>
        <vt:i4>5</vt:i4>
      </vt:variant>
      <vt:variant>
        <vt:lpwstr>https://bip.knf.gov.pl/?l=/Komisja/050_Kary/kary.html</vt:lpwstr>
      </vt:variant>
      <vt:variant>
        <vt:lpwstr/>
      </vt:variant>
      <vt:variant>
        <vt:i4>1245195</vt:i4>
      </vt:variant>
      <vt:variant>
        <vt:i4>6</vt:i4>
      </vt:variant>
      <vt:variant>
        <vt:i4>0</vt:i4>
      </vt:variant>
      <vt:variant>
        <vt:i4>5</vt:i4>
      </vt:variant>
      <vt:variant>
        <vt:lpwstr>http://statystyka.policja.pl/st/kodeks-karny/przestepstwa-przeciwko-17/63940,Lichwa-art-304.html</vt:lpwstr>
      </vt:variant>
      <vt:variant>
        <vt:lpwstr/>
      </vt:variant>
      <vt:variant>
        <vt:i4>393222</vt:i4>
      </vt:variant>
      <vt:variant>
        <vt:i4>3</vt:i4>
      </vt:variant>
      <vt:variant>
        <vt:i4>0</vt:i4>
      </vt:variant>
      <vt:variant>
        <vt:i4>5</vt:i4>
      </vt:variant>
      <vt:variant>
        <vt:lpwstr>https://krd.pl/Centrum-prasowe/Informacje-prasowe/2019/Dlugi-emerytow---dziadek-za-wnuczka--wnuczek-na-babcie</vt:lpwstr>
      </vt:variant>
      <vt:variant>
        <vt:lpwstr/>
      </vt:variant>
      <vt:variant>
        <vt:i4>7012407</vt:i4>
      </vt:variant>
      <vt:variant>
        <vt:i4>0</vt:i4>
      </vt:variant>
      <vt:variant>
        <vt:i4>0</vt:i4>
      </vt:variant>
      <vt:variant>
        <vt:i4>5</vt:i4>
      </vt:variant>
      <vt:variant>
        <vt:lpwstr>https://krd.pl/Centrum-prasowe/Informacje-prasowe/2017/Zadluzone-jest-zycie-staruszka---emeryci-tona-w-dlugach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2019-06-28T10:47:00Z</dcterms:created>
  <dcterms:modified xsi:type="dcterms:W3CDTF">2019-06-28T10:47:00Z</dcterms:modified>
</cp:coreProperties>
</file>