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248C" w14:textId="77777777" w:rsidR="00A87D68" w:rsidRPr="00A87D68" w:rsidRDefault="00A87D68" w:rsidP="00A87D6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Dekret 2020-1828 av den 31 december 2020 om förbud mot vissa plastprodukter för engångsbruk</w:t>
      </w:r>
    </w:p>
    <w:p w14:paraId="6361B4B2" w14:textId="77777777" w:rsidR="00A87D68" w:rsidRPr="00A87D68" w:rsidRDefault="00A87D68" w:rsidP="00A87D6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Ursprunglig version</w:t>
      </w:r>
      <w:r>
        <w:rPr>
          <w:b/>
          <w:sz w:val="24"/>
          <w:rFonts w:ascii="Times New Roman" w:hAnsi="Times New Roman"/>
        </w:rPr>
        <w:t xml:space="preserve"> </w:t>
      </w:r>
    </w:p>
    <w:p w14:paraId="365E0674"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Grupper som berörs: fysiska eller juridiska personer som, mot betalning eller gratis, levererar, använder, distribuerar eller tillhandahåller vissa engångsprodukter i plast för den ekonomiska verksamheten.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Ämne: tillämpningsvillkor för förbudet mot tillhandahållande av vissa engångsprodukter i plast.</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Ikraftträdande: detta dekret träder i kraft dagen efter offentliggörandet, med undantag av vissa bestämmelser i artikel 2 som träder i kraft den 3 juli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Meddelande: i dekretet fastställs villkoren för tillämpningen av vissa bestämmelser i lagen av den 10 februari 2020 mot avfall och för den cirkulära ekonomin, som förbjuder tillhandahållande av vissa plastprodukter för engångsbruk.</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Häri förtydligas förbudet mot vissa engångsprodukter i plast i enlighet med de nya förbud som antagits inom ramen för lagen.</w:t>
      </w:r>
      <w:r>
        <w:rPr>
          <w:sz w:val="24"/>
          <w:rFonts w:ascii="Times New Roman" w:hAnsi="Times New Roman"/>
        </w:rPr>
        <w:t xml:space="preserve"> </w:t>
      </w:r>
      <w:r>
        <w:rPr>
          <w:sz w:val="24"/>
          <w:rFonts w:ascii="Times New Roman" w:hAnsi="Times New Roman"/>
        </w:rPr>
        <w:t xml:space="preserve">Enligt lagen ska ett förbud mot tillhandahållande av engångsprodukter i plast införas stegvis efter avveckling av befintliga lager och senast den 1 juli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Miljölagen, som ändras genom detta dekret, finns tillgänglig i sin ändrade lydelse på webbplatsen Légifrance (</w:t>
      </w:r>
      <w:r>
        <w:rPr>
          <w:sz w:val="24"/>
          <w:rFonts w:ascii="Times New Roman" w:hAnsi="Times New Roman"/>
        </w:rPr>
        <w:t xml:space="preserve">https://www.legifrance.gouv.fr</w:t>
      </w:r>
      <w:r>
        <w:rPr>
          <w:sz w:val="24"/>
          <w:rFonts w:ascii="Times New Roman" w:hAnsi="Times New Roman"/>
        </w:rPr>
        <w:t xml:space="preserve">).</w:t>
      </w:r>
      <w:r>
        <w:rPr>
          <w:sz w:val="24"/>
          <w:rFonts w:ascii="Times New Roman" w:hAnsi="Times New Roman"/>
        </w:rPr>
        <w:t xml:space="preserve"> </w:t>
      </w:r>
    </w:p>
    <w:p w14:paraId="7702FDAA"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Premiärministern har antagit detta dekret</w:t>
      </w:r>
    </w:p>
    <w:p w14:paraId="65FEAD9C"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på grundval av rapporten från ministern för ekologisk och solidarisk omställning,</w:t>
      </w:r>
    </w:p>
    <w:p w14:paraId="03A62F73" w14:textId="66C8E04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(EU) 2017/745 av den 5 april 2017 om medicintekniska produkter, om ändring av direktiv 2001/83/EG, förordning (EG) nr 178/2002 och förordning (EG) nr 1223/2009 och om upphävande av rådets direktiv 90/385/EEG och 93/42/EEG,</w:t>
      </w:r>
    </w:p>
    <w:p w14:paraId="3FAA5957" w14:textId="7A51292C"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direktiv 90/385/EEG om tillnärmning av medlemsstaternas lagstiftning om aktiva medicintekniska produkter för implantation,</w:t>
      </w:r>
    </w:p>
    <w:p w14:paraId="5D6156F0" w14:textId="16A58415"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direktiv 93/42/EEG om medicintekniska produkter,</w:t>
      </w:r>
    </w:p>
    <w:p w14:paraId="7AA0FEDF" w14:textId="61DC597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94/62/EG av den 20 december 1994 om förpackningar och förpackningsavfall, särskilt i dess ändrade lydelse enligt Europaparlamentets och rådets direktiv 2004/12/EG av den 11 februari 2004,</w:t>
      </w:r>
    </w:p>
    <w:p w14:paraId="47DD7FAF"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2008/98/EG av den 19 november 2008 om avfall och om upphävande av vissa direktiv, senast ändrat genom direktiv (EU) 2018/851 av den 30 maj 2018,</w:t>
      </w:r>
    </w:p>
    <w:p w14:paraId="65EA85D0"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(EU) 2015/1535 av den 9 september 2015 om ett informationsförfarande beträffande tekniska föreskrifter och föreskrifter för informationssamhällets tjänster samt anmälan nr 2020/401/F till Europeiska kommissionen den 26 juni 2020,</w:t>
      </w:r>
    </w:p>
    <w:p w14:paraId="6B1E7B4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(EU) 2019/904 av den 5 juni 2019 om minskning av vissa plastprodukters inverkan på miljön,</w:t>
      </w:r>
    </w:p>
    <w:p w14:paraId="605A4402"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miljölagen, särskilt artikel L. 541-15-10,</w:t>
      </w:r>
    </w:p>
    <w:p w14:paraId="4C7612C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dekret nr 2019-1451 av den 24 december 2019 om förbud mot vissa plastprodukter för engångsbruk,</w:t>
      </w:r>
    </w:p>
    <w:p w14:paraId="4ECDA807"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de synpunkter som framfördes vid det offentliga samråd som genomfördes mellan den </w:t>
      </w:r>
      <w:r>
        <w:rPr>
          <w:sz w:val="24"/>
          <w:rFonts w:ascii="Times New Roman" w:hAnsi="Times New Roman"/>
        </w:rPr>
        <w:t xml:space="preserve">22 juni och den </w:t>
      </w:r>
      <w:r>
        <w:rPr>
          <w:sz w:val="24"/>
          <w:rFonts w:ascii="Times New Roman" w:hAnsi="Times New Roman"/>
        </w:rPr>
        <w:t xml:space="preserve">13 juli 2020, i enlighet med artikel L123-19-1 i miljölagen (code de l'environnement).</w:t>
      </w:r>
    </w:p>
    <w:p w14:paraId="502A584C" w14:textId="5C1939DD" w:rsidR="00A87D68" w:rsidRPr="00A87D68"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Härigenom föreskrivs följande:</w:t>
      </w:r>
    </w:p>
    <w:p w14:paraId="038A3261"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1</w:t>
      </w:r>
    </w:p>
    <w:p w14:paraId="34556B73"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Underavsnitt 3 i avsnitt 10 av kapitel I i titel IV av bok V i författningsdelen av miljölagen ska ändras på följande sätt:</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I artikel D541-330(1) ska följande ord läggas till:</w:t>
      </w:r>
      <w:r>
        <w:rPr>
          <w:sz w:val="24"/>
          <w:rFonts w:ascii="Times New Roman" w:hAnsi="Times New Roman"/>
        </w:rPr>
        <w:t xml:space="preserve"> </w:t>
      </w:r>
      <w:r>
        <w:rPr>
          <w:sz w:val="24"/>
          <w:rFonts w:ascii="Times New Roman" w:hAnsi="Times New Roman"/>
        </w:rPr>
        <w:t xml:space="preserve">”samt färger, bläck och lim”.</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Artikel D541-330(6) ska ersättas med följande stycke:</w:t>
      </w:r>
      <w:r>
        <w:rPr>
          <w:sz w:val="24"/>
          <w:rFonts w:ascii="Times New Roman" w:hAnsi="Times New Roman"/>
        </w:rPr>
        <w:br/>
      </w: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”Oxonedbrytbar plast: plaster som innehåller tillsatser som under oxidationseffekten leder till fragmentering av plastmaterialet i mikrofragment eller till kemisk nedbrytning.” 3.</w:t>
      </w:r>
      <w:r>
        <w:rPr>
          <w:sz w:val="24"/>
          <w:rFonts w:ascii="Times New Roman" w:hAnsi="Times New Roman"/>
        </w:rPr>
        <w:t xml:space="preserve"> </w:t>
      </w:r>
      <w:r>
        <w:rPr>
          <w:sz w:val="24"/>
          <w:rFonts w:ascii="Times New Roman" w:hAnsi="Times New Roman"/>
        </w:rPr>
        <w:t xml:space="preserve">Artikel D541-330(7) ska ersättas med tre stycken med följande lydelse:</w:t>
      </w: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”Koppar och glas”:</w:t>
      </w:r>
      <w:r>
        <w:rPr>
          <w:sz w:val="24"/>
          <w:rFonts w:ascii="Times New Roman" w:hAnsi="Times New Roman"/>
        </w:rPr>
        <w:br/>
      </w:r>
      <w:r>
        <w:rPr>
          <w:sz w:val="24"/>
          <w:rFonts w:ascii="Times New Roman" w:hAnsi="Times New Roman"/>
        </w:rPr>
        <w:t xml:space="preserve">”a) Dryckeskoppar och glas tillverkade helt eller delvis av expanderad polystyren, inbegripet tillslutningsanordningar och lock.</w:t>
      </w:r>
      <w:r>
        <w:rPr>
          <w:sz w:val="24"/>
          <w:rFonts w:ascii="Times New Roman" w:hAnsi="Times New Roman"/>
        </w:rPr>
        <w:br/>
      </w:r>
      <w:r>
        <w:rPr>
          <w:sz w:val="24"/>
          <w:rFonts w:ascii="Times New Roman" w:hAnsi="Times New Roman"/>
        </w:rPr>
        <w:t xml:space="preserve">”b) Dryckeskoppar och andra dricksglas än de som anges i (a) och som är tillverkade helt av plast.”</w:t>
      </w:r>
      <w:r>
        <w:rPr>
          <w:sz w:val="24"/>
          <w:rFonts w:ascii="Times New Roman" w:hAnsi="Times New Roman"/>
        </w:rPr>
        <w:br/>
      </w: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I artikel D541-330(8) ska följande mening läggas till:</w:t>
      </w:r>
      <w:r>
        <w:rPr>
          <w:sz w:val="24"/>
          <w:rFonts w:ascii="Times New Roman" w:hAnsi="Times New Roman"/>
        </w:rPr>
        <w:t xml:space="preserve"> </w:t>
      </w:r>
      <w:r>
        <w:rPr>
          <w:sz w:val="24"/>
          <w:rFonts w:ascii="Times New Roman" w:hAnsi="Times New Roman"/>
        </w:rPr>
        <w:t xml:space="preserve">”och med ”andra plattor”: plattor tillverkade delvis av plast, inklusive plastfolie.”</w:t>
      </w:r>
      <w:r>
        <w:rPr>
          <w:sz w:val="24"/>
          <w:rFonts w:ascii="Times New Roman" w:hAnsi="Times New Roman"/>
        </w:rPr>
        <w:br/>
      </w: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Punkterna 9 till 15 i artikel D541-330 ska ersättas med punkterna 9 till 13 enligt följande:</w:t>
      </w:r>
      <w:r>
        <w:rPr>
          <w:sz w:val="24"/>
          <w:rFonts w:ascii="Times New Roman" w:hAnsi="Times New Roman"/>
        </w:rPr>
        <w:br/>
      </w:r>
      <w:r>
        <w:rPr>
          <w:sz w:val="24"/>
          <w:rFonts w:ascii="Times New Roman" w:hAnsi="Times New Roman"/>
        </w:rPr>
        <w:t xml:space="preserve">”9.</w:t>
      </w:r>
      <w:r>
        <w:rPr>
          <w:sz w:val="24"/>
          <w:rFonts w:ascii="Times New Roman" w:hAnsi="Times New Roman"/>
        </w:rPr>
        <w:t xml:space="preserve"> </w:t>
      </w:r>
      <w:r>
        <w:rPr>
          <w:sz w:val="24"/>
          <w:rFonts w:ascii="Times New Roman" w:hAnsi="Times New Roman"/>
        </w:rPr>
        <w:t xml:space="preserve">bestick: gafflar, knivar, skedar, ätpinnar och andra liknande bordsredskap som används till att lyfta, skära eller blanda livsmedel, med undantag av bestick som används vid kriminalvårdsanstalter, vårdinrättningar eller inom flyg-, järnvägs- och sjötransporter och doseringsredskap för andra produkter än livsmedel.” 10.</w:t>
      </w:r>
      <w:r>
        <w:rPr>
          <w:sz w:val="24"/>
          <w:rFonts w:ascii="Times New Roman" w:hAnsi="Times New Roman"/>
        </w:rPr>
        <w:t xml:space="preserve"> </w:t>
      </w:r>
      <w:r>
        <w:rPr>
          <w:sz w:val="24"/>
          <w:rFonts w:ascii="Times New Roman" w:hAnsi="Times New Roman"/>
        </w:rPr>
        <w:t xml:space="preserve">”Expanderade behållare av polystyren eller :kärl”:</w:t>
      </w:r>
      <w:r>
        <w:rPr>
          <w:sz w:val="24"/>
          <w:rFonts w:ascii="Times New Roman" w:hAnsi="Times New Roman"/>
        </w:rPr>
        <w:br/>
      </w:r>
      <w:r>
        <w:rPr>
          <w:sz w:val="24"/>
          <w:rFonts w:ascii="Times New Roman" w:hAnsi="Times New Roman"/>
        </w:rPr>
        <w:t xml:space="preserve">”a) expanderade livsmedelsbehållare av polystyren avsedda för konsumtion på plats eller i farten, dvs. behållare såsom lådor, med eller utan tillslutningsanordningar, som används för att hålla livsmedel som är avsedda för omedelbar konsumtion, antingen på plats eller för att tas med, som vanligen konsumeras direkt från behållaren och är färdiga att konsumeras utan vidare beredning, t.ex. matlagning, kokning eller upphettning, med undantag för dryckesbehållare, tallrikar och påsar samt förpackningar som innehåller livsmedel.</w:t>
      </w:r>
    </w:p>
    <w:p w14:paraId="3611C100" w14:textId="62260021"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 expanderade behållare för drycker av polystyren, inklusive lock och lock till dessa.</w:t>
      </w:r>
    </w:p>
    <w:p w14:paraId="2B76CB27" w14:textId="0E74E8C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sugrör som inte är avsedda att användas för medicinska behov: sugrör som tillhandahålls på användningsplatsen eller sådana som säljs separat eller i paket till slutkonsumenten, utom sådana som omfattas av direktiv 90/385/EEG, direktiv 93/42/EEG eller förordning (EU) 2017/745,</w:t>
      </w:r>
    </w:p>
    <w:p w14:paraId="09EEDEF2"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”12.</w:t>
      </w:r>
      <w:r>
        <w:rPr>
          <w:sz w:val="24"/>
          <w:rFonts w:ascii="Times New Roman" w:hAnsi="Times New Roman"/>
        </w:rPr>
        <w:t xml:space="preserve"> </w:t>
      </w:r>
      <w:r>
        <w:rPr>
          <w:sz w:val="24"/>
          <w:rFonts w:ascii="Times New Roman" w:hAnsi="Times New Roman"/>
        </w:rPr>
        <w:t xml:space="preserve">”Lock till engångsmuggar”: lock till glas eller muggar för drycker,</w:t>
      </w:r>
    </w:p>
    <w:p w14:paraId="74B9A58F" w14:textId="3464612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”13.</w:t>
      </w:r>
      <w:r>
        <w:rPr>
          <w:sz w:val="24"/>
          <w:rFonts w:ascii="Times New Roman" w:hAnsi="Times New Roman"/>
        </w:rPr>
        <w:t xml:space="preserve"> </w:t>
      </w:r>
      <w:r>
        <w:rPr>
          <w:sz w:val="24"/>
          <w:rFonts w:ascii="Times New Roman" w:hAnsi="Times New Roman"/>
        </w:rPr>
        <w:t xml:space="preserve">”Konfetti”: konfetti som avses att användas för dekorativa eller festliga ändamål,”</w:t>
      </w:r>
    </w:p>
    <w:p w14:paraId="1D5475A7" w14:textId="5C3C0670" w:rsidR="00A87D68" w:rsidRPr="00A87D68" w:rsidRDefault="00A87D68" w:rsidP="000967A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Artikel D541-331 ska ha följande lydelse:</w:t>
      </w:r>
      <w:r>
        <w:rPr>
          <w:sz w:val="24"/>
          <w:rFonts w:ascii="Times New Roman" w:hAnsi="Times New Roman"/>
        </w:rPr>
        <w:br/>
      </w:r>
      <w:r>
        <w:rPr>
          <w:sz w:val="24"/>
          <w:rFonts w:ascii="Times New Roman" w:hAnsi="Times New Roman"/>
        </w:rPr>
        <w:t xml:space="preserve">”Artikel D541-331.</w:t>
      </w:r>
      <w:r>
        <w:rPr>
          <w:sz w:val="24"/>
          <w:rFonts w:ascii="Times New Roman" w:hAnsi="Times New Roman"/>
        </w:rPr>
        <w:t xml:space="preserve"> </w:t>
      </w:r>
      <w:r>
        <w:rPr>
          <w:sz w:val="24"/>
          <w:rFonts w:ascii="Times New Roman" w:hAnsi="Times New Roman"/>
        </w:rPr>
        <w:t xml:space="preserve">”Förbudet mot tillhandahållande av engångsprodukter i plast som avses i 1 och 2 i artikel L541-15-10(III) omfattar inte produkter som är förpackningar i den mening som avses i artikel R543-43 i miljölagen.</w:t>
      </w:r>
      <w:r>
        <w:rPr>
          <w:sz w:val="24"/>
          <w:rFonts w:ascii="Times New Roman" w:hAnsi="Times New Roman"/>
        </w:rPr>
        <w:t xml:space="preserve"> </w:t>
      </w:r>
    </w:p>
    <w:p w14:paraId="4C324688"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Artikel D541-332 ska ändras på följande sätt :</w:t>
      </w:r>
    </w:p>
    <w:p w14:paraId="3FC8B87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D541-332.</w:t>
      </w:r>
      <w:r>
        <w:rPr>
          <w:sz w:val="24"/>
          <w:rFonts w:ascii="Times New Roman" w:hAnsi="Times New Roman"/>
        </w:rPr>
        <w:t xml:space="preserve"> </w:t>
      </w:r>
      <w:r>
        <w:rPr>
          <w:sz w:val="24"/>
          <w:rFonts w:ascii="Times New Roman" w:hAnsi="Times New Roman"/>
        </w:rPr>
        <w:t xml:space="preserve">”Förbudet mot tillhandahållande av engångsprodukter i plast som avses i underpunkterna 1 och 2 i artikel L541-15-10(III) omfattar även plastprodukter vars hållbarhet och hållfasthet är jämförbar med engångsprodukter.</w:t>
      </w:r>
      <w:r>
        <w:rPr>
          <w:sz w:val="24"/>
          <w:rFonts w:ascii="Times New Roman" w:hAnsi="Times New Roman"/>
        </w:rPr>
        <w:t xml:space="preserve"> </w:t>
      </w:r>
      <w:r>
        <w:rPr>
          <w:sz w:val="24"/>
          <w:rFonts w:ascii="Times New Roman" w:hAnsi="Times New Roman"/>
        </w:rPr>
        <w:t xml:space="preserve">Produkter som är utformade, tillverkade och utsläppta på marknaden i syfte att under sin livscykel användas flera gånger genom att återföras till en producent och fyllas på nytt omfattas inte av detta förbud.</w:t>
      </w:r>
      <w:r>
        <w:rPr>
          <w:sz w:val="24"/>
          <w:rFonts w:ascii="Times New Roman" w:hAnsi="Times New Roman"/>
        </w:rPr>
        <w:t xml:space="preserve"> </w:t>
      </w:r>
    </w:p>
    <w:p w14:paraId="12592D4F"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8.</w:t>
      </w:r>
      <w:r>
        <w:rPr>
          <w:sz w:val="24"/>
          <w:rFonts w:ascii="Times New Roman" w:hAnsi="Times New Roman"/>
        </w:rPr>
        <w:t xml:space="preserve"> </w:t>
      </w:r>
      <w:r>
        <w:rPr>
          <w:sz w:val="24"/>
          <w:rFonts w:ascii="Times New Roman" w:hAnsi="Times New Roman"/>
        </w:rPr>
        <w:t xml:space="preserve">Artikel D541-334 ska upphävas.</w:t>
      </w:r>
    </w:p>
    <w:p w14:paraId="022BEA26"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2</w:t>
      </w:r>
    </w:p>
    <w:p w14:paraId="69C25AFD"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Artikel D541-330 ska ändras på följande sätt: a) I 7(b), efter orden:</w:t>
      </w:r>
      <w:r>
        <w:rPr>
          <w:sz w:val="24"/>
          <w:rFonts w:ascii="Times New Roman" w:hAnsi="Times New Roman"/>
        </w:rPr>
        <w:t xml:space="preserve"> </w:t>
      </w:r>
      <w:r>
        <w:rPr>
          <w:sz w:val="24"/>
          <w:rFonts w:ascii="Times New Roman" w:hAnsi="Times New Roman"/>
        </w:rPr>
        <w:t xml:space="preserve">”tillverkad helt av plast” ska följande infogas:</w:t>
      </w:r>
      <w:r>
        <w:rPr>
          <w:sz w:val="24"/>
          <w:rFonts w:ascii="Times New Roman" w:hAnsi="Times New Roman"/>
        </w:rPr>
        <w:t xml:space="preserve"> </w:t>
      </w:r>
      <w:r>
        <w:rPr>
          <w:sz w:val="24"/>
          <w:rFonts w:ascii="Times New Roman" w:hAnsi="Times New Roman"/>
        </w:rPr>
        <w:t xml:space="preserve">”eller delvis tillverkade av plast, med ett innehåll som överstiger en högsta halt som fastställs i en ordning som anger den högsta tillåtna plasthalten och de villkor under vilka plastinnehållet gradvis ska minskas till noll”. B) I 9, orden:</w:t>
      </w:r>
      <w:r>
        <w:rPr>
          <w:sz w:val="24"/>
          <w:rFonts w:ascii="Times New Roman" w:hAnsi="Times New Roman"/>
        </w:rPr>
        <w:t xml:space="preserve"> </w:t>
      </w:r>
      <w:r>
        <w:rPr>
          <w:sz w:val="24"/>
          <w:rFonts w:ascii="Times New Roman" w:hAnsi="Times New Roman"/>
        </w:rPr>
        <w:t xml:space="preserve">”bestick som används i fängelser, hälso- och sjukvårdsanläggningar samt inom flyg-, järnvägs- och sjötransporter och” ska raderas. C) I 11, orden:</w:t>
      </w:r>
      <w:r>
        <w:rPr>
          <w:sz w:val="24"/>
          <w:rFonts w:ascii="Times New Roman" w:hAnsi="Times New Roman"/>
        </w:rPr>
        <w:t xml:space="preserve"> </w:t>
      </w:r>
      <w:r>
        <w:rPr>
          <w:sz w:val="24"/>
          <w:rFonts w:ascii="Times New Roman" w:hAnsi="Times New Roman"/>
        </w:rPr>
        <w:t xml:space="preserve">”tillhandahålls på användningsstället eller säljs individuellt eller i satser till slutkonsumenten” ska ersättas med följande:</w:t>
      </w:r>
      <w:r>
        <w:rPr>
          <w:sz w:val="24"/>
          <w:rFonts w:ascii="Times New Roman" w:hAnsi="Times New Roman"/>
        </w:rPr>
        <w:t xml:space="preserve"> </w:t>
      </w:r>
      <w:r>
        <w:rPr>
          <w:sz w:val="24"/>
          <w:rFonts w:ascii="Times New Roman" w:hAnsi="Times New Roman"/>
        </w:rPr>
        <w:t xml:space="preserve">”som förtecknas i del B i bilagan till direktiv (EU) 2019/904”. 2.</w:t>
      </w:r>
      <w:r>
        <w:rPr>
          <w:sz w:val="24"/>
          <w:rFonts w:ascii="Times New Roman" w:hAnsi="Times New Roman"/>
        </w:rPr>
        <w:t xml:space="preserve"> </w:t>
      </w:r>
      <w:r>
        <w:rPr>
          <w:sz w:val="24"/>
          <w:rFonts w:ascii="Times New Roman" w:hAnsi="Times New Roman"/>
        </w:rPr>
        <w:t xml:space="preserve">I artikel D541-331 ska orden</w:t>
      </w:r>
      <w:r>
        <w:rPr>
          <w:sz w:val="24"/>
          <w:rFonts w:ascii="Times New Roman" w:hAnsi="Times New Roman"/>
        </w:rPr>
        <w:t xml:space="preserve"> </w:t>
      </w:r>
      <w:r>
        <w:rPr>
          <w:sz w:val="24"/>
          <w:rFonts w:ascii="Times New Roman" w:hAnsi="Times New Roman"/>
        </w:rPr>
        <w:t xml:space="preserve">”är inte tillämplig” ersättas med följande:</w:t>
      </w:r>
      <w:r>
        <w:rPr>
          <w:sz w:val="24"/>
          <w:rFonts w:ascii="Times New Roman" w:hAnsi="Times New Roman"/>
        </w:rPr>
        <w:t xml:space="preserve"> </w:t>
      </w:r>
      <w:r>
        <w:rPr>
          <w:sz w:val="24"/>
          <w:rFonts w:ascii="Times New Roman" w:hAnsi="Times New Roman"/>
        </w:rPr>
        <w:t xml:space="preserve">”tillämpas också”.</w:t>
      </w:r>
    </w:p>
    <w:p w14:paraId="60299C0A"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3</w:t>
      </w:r>
    </w:p>
    <w:p w14:paraId="37540D57"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I. – Bestämmelserna i detta dekret ska tillämpas från och med dagen efter offentliggörandet i Europeiska gemenskapernas officiella tidning, med undantag av artikel 2, som träder i kraft den 3 juli 2021.</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Produkter som är förbjudna att tillhandahållas i enlighet med artikel L541-15-10(III)(2) ska omfattas av en lagringsklareringsperiod till och med den 1 juli 2021, förutsatt att de har tillverkats eller importerats före den 1 januari 2021, med undantag för produkter vars förbud mot att tillhandahållas träder i kraft den 3 juli 2021 i enlighet med denna artikel och som inte omfattas av en sådan period.</w:t>
      </w:r>
    </w:p>
    <w:p w14:paraId="2E90970D"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4</w:t>
      </w:r>
    </w:p>
    <w:p w14:paraId="7BFF9C6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3 i ovannämnda dekret nr 2019-1451 av den 24 december 2019 ska upphöra att gälla.</w:t>
      </w:r>
    </w:p>
    <w:p w14:paraId="181FC442"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5</w:t>
      </w:r>
    </w:p>
    <w:p w14:paraId="15B8CB4E"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Ministern för ekologisk och solidarisk omställning och ekonomi- och finansministern ansvarar var och en inom sitt område för genomförandet av detta dekret, som kommer att offentliggöras i Republiken Frankrikes officiella tidning (Journal officiel).</w:t>
      </w:r>
    </w:p>
    <w:p w14:paraId="6D5C3312"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Daterat den 31 december 2020.</w:t>
      </w:r>
    </w:p>
    <w:p w14:paraId="05201B2D"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 Av premiärministern:</w:t>
      </w:r>
    </w:p>
    <w:p w14:paraId="3BBF34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Minister för ekologisk övergång, Barbara Pompili</w:t>
      </w:r>
    </w:p>
    <w:p w14:paraId="314F45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Bruno Le Maire, ekonomi-, finans- och återhämtningsminister</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4827"/>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1398</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5</cp:revision>
  <dcterms:created xsi:type="dcterms:W3CDTF">2021-01-04T15:16:00Z</dcterms:created>
  <dcterms:modified xsi:type="dcterms:W3CDTF">2021-04-13T11:47:00Z</dcterms:modified>
</cp:coreProperties>
</file>